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E46BC" w:rsidRPr="00560C4C" w:rsidP="000E46BC">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t</w:t>
      </w:r>
      <w:r w:rsidRPr="000E46BC">
        <w:rPr>
          <w:rFonts w:ascii="Calibri" w:hAnsi="Calibri" w:cs="Calibri"/>
          <w:sz w:val="28"/>
          <w:szCs w:val="28"/>
        </w:rPr>
        <w:t xml:space="preserve">he </w:t>
      </w:r>
      <w:r>
        <w:rPr>
          <w:rFonts w:ascii="Calibri" w:hAnsi="Calibri" w:cs="Calibri"/>
          <w:sz w:val="28"/>
          <w:szCs w:val="28"/>
        </w:rPr>
        <w:br/>
      </w:r>
      <w:r w:rsidRPr="000E46BC">
        <w:rPr>
          <w:rFonts w:ascii="Calibri" w:hAnsi="Calibri" w:cs="Calibri"/>
          <w:sz w:val="28"/>
          <w:szCs w:val="28"/>
        </w:rPr>
        <w:t>Country Land and Business Association</w:t>
      </w:r>
    </w:p>
    <w:p w:rsidR="000E46BC">
      <w:pPr>
        <w:jc w:val="both"/>
        <w:rPr>
          <w:rFonts w:ascii="Arial Bold" w:hAnsi="Arial Bold"/>
          <w:b/>
          <w:bCs/>
          <w:sz w:val="32"/>
          <w:szCs w:val="32"/>
        </w:rPr>
      </w:pPr>
    </w:p>
    <w:p w:rsidR="00A05F76">
      <w:pPr>
        <w:pStyle w:val="Heading1"/>
        <w:jc w:val="both"/>
      </w:pPr>
      <w:r>
        <w:t xml:space="preserve">Introduction </w:t>
      </w:r>
    </w:p>
    <w:p w:rsidR="00A05F76">
      <w:pPr>
        <w:jc w:val="both"/>
        <w:rPr>
          <w:shd w:val="clear" w:color="auto" w:fill="FFFF00"/>
        </w:rPr>
      </w:pPr>
    </w:p>
    <w:p w:rsidR="00A05F76">
      <w:pPr>
        <w:pStyle w:val="ListParagraph"/>
        <w:numPr>
          <w:ilvl w:val="0"/>
          <w:numId w:val="1"/>
        </w:numPr>
        <w:jc w:val="both"/>
      </w:pPr>
      <w:r>
        <w:t>The Country Land and Business Association (CLA) is a membership organisation for owners of land, property and businesses in rural England and Wales. Our 25,000 members are engaged in all sectors of the rural economy and include farmers, landowners as well as diversified businesses, including those offering visitor accommodation. The CLA also provides the Secretariat for the Rural Tourism Partnership, which is a group consisting of organisations and public bodies, whose combined 125,000 members have an inter</w:t>
      </w:r>
      <w:r>
        <w:t>est in the rural tourism sector.</w:t>
      </w:r>
    </w:p>
    <w:p w:rsidR="00A05F76">
      <w:pPr>
        <w:autoSpaceDE w:val="0"/>
        <w:jc w:val="both"/>
        <w:rPr>
          <w:rFonts w:eastAsia="Calibri" w:cs="Arial"/>
          <w:color w:val="000000"/>
          <w:sz w:val="24"/>
        </w:rPr>
      </w:pPr>
    </w:p>
    <w:p w:rsidR="00A05F76">
      <w:pPr>
        <w:pStyle w:val="ListParagraph"/>
        <w:numPr>
          <w:ilvl w:val="0"/>
          <w:numId w:val="1"/>
        </w:numPr>
        <w:jc w:val="both"/>
        <w:rPr>
          <w:rFonts w:cs="Arial"/>
        </w:rPr>
      </w:pPr>
      <w:r>
        <w:rPr>
          <w:rFonts w:cs="Arial"/>
        </w:rPr>
        <w:t>The CLA welcomes this opportunity to respond to the Call for Evidence by the Select Committee on Culture, Media and Sport in relation to their Tourism Inquiry published on 9 April 2026.</w:t>
      </w:r>
    </w:p>
    <w:p w:rsidR="00A05F76">
      <w:pPr>
        <w:jc w:val="both"/>
      </w:pPr>
    </w:p>
    <w:p w:rsidR="00A05F76">
      <w:pPr>
        <w:pStyle w:val="Heading1"/>
        <w:jc w:val="both"/>
      </w:pPr>
      <w:bookmarkStart w:id="0" w:name="_Hlk175299163"/>
      <w:r>
        <w:t xml:space="preserve">General Comments </w:t>
      </w:r>
    </w:p>
    <w:p w:rsidR="00A05F76">
      <w:pPr>
        <w:jc w:val="both"/>
      </w:pPr>
      <w:bookmarkEnd w:id="0"/>
    </w:p>
    <w:p w:rsidR="00A05F76">
      <w:pPr>
        <w:pStyle w:val="ListParagraph"/>
        <w:numPr>
          <w:ilvl w:val="0"/>
          <w:numId w:val="1"/>
        </w:numPr>
        <w:jc w:val="both"/>
      </w:pPr>
      <w:r>
        <w:t>A major challenge for the UK tourism industry is its poor cost competitiveness as a tourism destination. The application of a 20% VAT rate on tourism and hospitality, alongside high business rate liabilities, rising operational and workforce costs, and the potential introduction of visitor levies all place the UK at a significant disadvantage relative to European competitors. This is particularly problematic given the UK’s less reliable weather. These cost pressures weaken the affordability of the UK touris</w:t>
      </w:r>
      <w:r>
        <w:t>m offer, suppressing both domestic and inbound demand and undermining competitiveness.</w:t>
      </w:r>
    </w:p>
    <w:p w:rsidR="00A05F76">
      <w:pPr>
        <w:jc w:val="both"/>
      </w:pPr>
    </w:p>
    <w:p w:rsidR="00A05F76">
      <w:pPr>
        <w:pStyle w:val="ListParagraph"/>
        <w:numPr>
          <w:ilvl w:val="0"/>
          <w:numId w:val="1"/>
        </w:numPr>
        <w:jc w:val="both"/>
      </w:pPr>
      <w:r>
        <w:t>Rural and coastal tourism destinations face additional and deeply embedded disadvantages resulting from long term underinvestment in infrastructure and services. Poor transport connectivity, declining public service networks, unreliable digital infrastructure and restricted access to housing contribute directly to lower productivity and reduced economic resilience. These areas are consistently less able to attract investment, retain skilled labour or scale tourism businesses, reinforcing the rural productiv</w:t>
      </w:r>
      <w:r>
        <w:t>ity gap and limiting the sector’s contribution to local economic growth.</w:t>
      </w:r>
    </w:p>
    <w:p w:rsidR="00A05F76">
      <w:pPr>
        <w:jc w:val="both"/>
      </w:pPr>
    </w:p>
    <w:p w:rsidR="00A05F76">
      <w:pPr>
        <w:pStyle w:val="ListParagraph"/>
        <w:numPr>
          <w:ilvl w:val="0"/>
          <w:numId w:val="1"/>
        </w:numPr>
        <w:jc w:val="both"/>
      </w:pPr>
      <w:r>
        <w:t>Reductions in public transport provision, high rail costs and fragmented bus and rail services have made many rural and peripheral destinations increasingly inaccessible. This has increased reliance on private car travel, conflicting with sustainability objectives. The presumption in favour of sustainable development results in many planning applications, which would diversify the tourism offer or improve the local area, being destined to fail. This is a direct result of the assessments of planning applicat</w:t>
      </w:r>
      <w:r>
        <w:t xml:space="preserve">ions being too narrowly focussed on existing service provision rather than on the wider benefits the development could bring. This contributes to a self-reinforcing cycle of decline in which the loss of services limits development, and the absence of development accelerates service withdrawal. </w:t>
      </w:r>
    </w:p>
    <w:p w:rsidR="00A05F76">
      <w:pPr>
        <w:pStyle w:val="ListParagraph"/>
        <w:ind w:left="540"/>
        <w:jc w:val="both"/>
      </w:pPr>
    </w:p>
    <w:p w:rsidR="00A05F76">
      <w:pPr>
        <w:pStyle w:val="ListParagraph"/>
        <w:numPr>
          <w:ilvl w:val="0"/>
          <w:numId w:val="1"/>
        </w:numPr>
        <w:jc w:val="both"/>
        <w:rPr>
          <w:b/>
          <w:bCs/>
        </w:rPr>
      </w:pPr>
      <w:r>
        <w:rPr>
          <w:b/>
          <w:bCs/>
        </w:rPr>
        <w:t xml:space="preserve">The CLA therefore has three main recommendations: </w:t>
      </w:r>
    </w:p>
    <w:p w:rsidR="00A05F76">
      <w:pPr>
        <w:pStyle w:val="ListParagraph"/>
        <w:numPr>
          <w:ilvl w:val="1"/>
          <w:numId w:val="1"/>
        </w:numPr>
        <w:jc w:val="both"/>
      </w:pPr>
      <w:r>
        <w:rPr>
          <w:b/>
          <w:bCs/>
        </w:rPr>
        <w:t>Taxation</w:t>
      </w:r>
      <w:r>
        <w:t>: Reduce the 20% VAT rate on tourism, ensure any visitor levy is outside VAT, and reform business rates to lower cost pressures.</w:t>
      </w:r>
    </w:p>
    <w:p w:rsidR="00A05F76">
      <w:pPr>
        <w:pStyle w:val="ListParagraph"/>
        <w:numPr>
          <w:ilvl w:val="1"/>
          <w:numId w:val="1"/>
        </w:numPr>
        <w:jc w:val="both"/>
      </w:pPr>
      <w:r>
        <w:rPr>
          <w:b/>
          <w:bCs/>
        </w:rPr>
        <w:t>Funding</w:t>
      </w:r>
      <w:r>
        <w:t>: Reverse cu</w:t>
      </w:r>
      <w:r>
        <w:t>ts to the GREAT campaign, increase funding for VisitBritain/VisitEngland and LVEPs, invest in rural transport and full fibre broadband, and restore capital support through grants or long-term low interest loans.</w:t>
      </w:r>
    </w:p>
    <w:p w:rsidR="00A05F76">
      <w:pPr>
        <w:pStyle w:val="ListParagraph"/>
        <w:numPr>
          <w:ilvl w:val="1"/>
          <w:numId w:val="1"/>
        </w:numPr>
        <w:jc w:val="both"/>
      </w:pPr>
      <w:r>
        <w:rPr>
          <w:b/>
          <w:bCs/>
        </w:rPr>
        <w:t>Planning reform</w:t>
      </w:r>
      <w:r>
        <w:t>: Extend Class R permitted development right (PDR) to more rural buildings, amend Class B PDR to extend temporary use limits from 28 to 60 days; and ensure full planning application decisions give greater weight to economic benefits while removing barriers that restrict diversification and year-round activity.</w:t>
      </w:r>
    </w:p>
    <w:p w:rsidR="00A05F76">
      <w:pPr>
        <w:ind w:left="720"/>
        <w:jc w:val="both"/>
        <w:rPr>
          <w:b/>
          <w:bCs/>
        </w:rPr>
      </w:pPr>
    </w:p>
    <w:p w:rsidR="00A05F76">
      <w:pPr>
        <w:jc w:val="both"/>
        <w:rPr>
          <w:rFonts w:eastAsia="Yu Gothic Light"/>
          <w:b/>
          <w:bCs/>
          <w:kern w:val="3"/>
          <w:sz w:val="24"/>
        </w:rPr>
      </w:pPr>
      <w:r>
        <w:rPr>
          <w:rFonts w:eastAsia="Yu Gothic Light"/>
          <w:b/>
          <w:bCs/>
          <w:kern w:val="3"/>
          <w:sz w:val="24"/>
        </w:rPr>
        <w:t xml:space="preserve">Response to Consultations Questions </w:t>
      </w:r>
      <w:bookmarkStart w:id="1" w:name="_Hlk175299934"/>
    </w:p>
    <w:p w:rsidR="00A05F76">
      <w:pPr>
        <w:jc w:val="both"/>
        <w:rPr>
          <w:rFonts w:eastAsia="Calibri" w:cs="Arial"/>
          <w:color w:val="000000"/>
        </w:rPr>
      </w:pPr>
    </w:p>
    <w:p w:rsidR="00A05F76">
      <w:pPr>
        <w:jc w:val="both"/>
        <w:rPr>
          <w:rFonts w:cs="Arial"/>
          <w:b/>
          <w:bCs/>
          <w:i/>
          <w:iCs/>
        </w:rPr>
      </w:pPr>
      <w:r>
        <w:rPr>
          <w:rFonts w:cs="Arial"/>
          <w:b/>
          <w:bCs/>
          <w:i/>
          <w:iCs/>
        </w:rPr>
        <w:t>Question 1: How effective are government policies in supporting the growth, competitiveness and long-term resilience of the tourism sector?</w:t>
      </w:r>
    </w:p>
    <w:p w:rsidR="00A05F76">
      <w:pPr>
        <w:jc w:val="both"/>
        <w:rPr>
          <w:rFonts w:cs="Arial"/>
        </w:rPr>
      </w:pPr>
    </w:p>
    <w:p w:rsidR="00A05F76">
      <w:pPr>
        <w:pStyle w:val="ListParagraph"/>
        <w:numPr>
          <w:ilvl w:val="0"/>
          <w:numId w:val="1"/>
        </w:numPr>
        <w:jc w:val="both"/>
      </w:pPr>
      <w:r>
        <w:t>We consider Government policy to be mostly ineffective at supporting the growth, competitiveness and long</w:t>
      </w:r>
      <w:r>
        <w:noBreakHyphen/>
        <w:t>term resilience of the tourism sector, particularly within rural areas. Recent interventions such as changes to the Furnished Holiday Lets tax regime, reforms to business rates in Wales, the potential introduction of visitor levies, often referred to as tourism taxes, and ongoing inflationary pressures have contributed to a climate of uncertainty. This uncertainty has reduced investor confidence and undermined the ability of tourism businesses to plan for the long term, limiting growth and resilience.</w:t>
      </w:r>
    </w:p>
    <w:p w:rsidR="00A05F76">
      <w:pPr>
        <w:jc w:val="both"/>
      </w:pPr>
    </w:p>
    <w:p w:rsidR="00A05F76">
      <w:pPr>
        <w:pStyle w:val="ListParagraph"/>
        <w:numPr>
          <w:ilvl w:val="0"/>
          <w:numId w:val="1"/>
        </w:numPr>
        <w:jc w:val="both"/>
      </w:pPr>
      <w:r>
        <w:t>A key concern is the application of the standard 20% VAT rate on tourism and hospitality businesses. This high percentage of VAT makes UK holidays more expensive for both domestic and inbound visitors, harming the price competitiveness of UK tourism. This is especially the case given that many competing European destinations apply reduced VAT rates for tourism (See our answer to Question 4 for more detail). Combined with the proposal to introduce tourism levies in England, this risks further increasing cost</w:t>
      </w:r>
      <w:r>
        <w:t>s for visitors and discouraging demand. Without VAT reform or targeted tax reliefs, new policies will continue to undermine the growth and resilience of the industry.</w:t>
      </w:r>
    </w:p>
    <w:p w:rsidR="00A05F76">
      <w:pPr>
        <w:pStyle w:val="ListParagraph"/>
        <w:ind w:left="540" w:hanging="540"/>
        <w:jc w:val="both"/>
      </w:pPr>
    </w:p>
    <w:p w:rsidR="00A05F76">
      <w:pPr>
        <w:pStyle w:val="ListParagraph"/>
        <w:numPr>
          <w:ilvl w:val="0"/>
          <w:numId w:val="1"/>
        </w:numPr>
        <w:jc w:val="both"/>
      </w:pPr>
      <w:r>
        <w:t>The changes to Business Rates in Wales demonstrate a limited understanding of the operational realities faced by rural tourism businesses. Smaller enterprises typically operate on very narrow margins and are highly seasonal in nature. Increasing the Business Rate threshold to 182 days significantly restricts access to Small Business Rate Relief, placing additional financial pressure on these businesses. For many CLA members in Wales, this has resulted in properties being reclassified for Council Tax and bec</w:t>
      </w:r>
      <w:r>
        <w:t>oming subject to second</w:t>
      </w:r>
      <w:r>
        <w:noBreakHyphen/>
        <w:t xml:space="preserve">home premiums. </w:t>
      </w:r>
    </w:p>
    <w:p w:rsidR="00A05F76">
      <w:pPr>
        <w:pStyle w:val="ListParagraph"/>
        <w:ind w:left="540"/>
        <w:jc w:val="both"/>
      </w:pPr>
    </w:p>
    <w:p w:rsidR="00A05F76">
      <w:pPr>
        <w:pStyle w:val="ListParagraph"/>
        <w:numPr>
          <w:ilvl w:val="0"/>
          <w:numId w:val="1"/>
        </w:numPr>
        <w:jc w:val="both"/>
        <w:rPr>
          <w:rFonts w:eastAsia="Arial" w:cs="Arial"/>
        </w:rPr>
      </w:pPr>
      <w:r>
        <w:rPr>
          <w:rFonts w:eastAsia="Arial" w:cs="Arial"/>
        </w:rPr>
        <w:t>A Welsh CLA member had previously been eligible for Small Business Rate Relief, based on a rateable value of £3,600, paying no rates for previous years. The member who is based in a recognised tourism hotspot county of Pembrokeshire was issued with council tax demands for the financial years 2023/2024 and 2024/2025, which included a 200% second home premium, resulting in a total liability of £10,886.15. However, the property in question qualified for an exemption from the second home premium owing to a plan</w:t>
      </w:r>
      <w:r>
        <w:rPr>
          <w:rFonts w:eastAsia="Arial" w:cs="Arial"/>
        </w:rPr>
        <w:t>ning restriction limiting its use to visitor accommodation only. Due to significant backlogs within both the local authority and the Valuation Office Agency (VOA), the error was not promptly resolved, leading to the member receiving court summons for an incorrectly assessed liability.</w:t>
      </w:r>
    </w:p>
    <w:p w:rsidR="00A05F76">
      <w:pPr>
        <w:pStyle w:val="ListParagraph"/>
        <w:ind w:left="540"/>
        <w:jc w:val="both"/>
      </w:pPr>
    </w:p>
    <w:p w:rsidR="00A05F76">
      <w:pPr>
        <w:pStyle w:val="ListParagraph"/>
        <w:numPr>
          <w:ilvl w:val="0"/>
          <w:numId w:val="1"/>
        </w:numPr>
        <w:jc w:val="both"/>
      </w:pPr>
      <w:r>
        <w:t xml:space="preserve">This approach undermines competitiveness, discourages investment, and stifles innovation within the tourism sector. Such measures should not be replicated in England, where the eligibility criteria remain more proportionate, requiring 140 days available to let and 70 days actually let to qualify for relief. This policy strikes a more effective balance. </w:t>
      </w:r>
    </w:p>
    <w:p w:rsidR="00A05F76">
      <w:pPr>
        <w:pStyle w:val="ListParagraph"/>
        <w:ind w:left="540" w:hanging="540"/>
        <w:jc w:val="both"/>
      </w:pPr>
    </w:p>
    <w:p w:rsidR="00A05F76">
      <w:pPr>
        <w:pStyle w:val="ListParagraph"/>
        <w:numPr>
          <w:ilvl w:val="0"/>
          <w:numId w:val="1"/>
        </w:numPr>
        <w:jc w:val="both"/>
      </w:pPr>
      <w:r>
        <w:t>The lack of a coherent, long</w:t>
      </w:r>
      <w:r>
        <w:noBreakHyphen/>
        <w:t xml:space="preserve">term government approach to connectivity continues to hinder the development of the tourism sector. Reductions in public transport provision, </w:t>
      </w:r>
      <w:r>
        <w:t>combined with fragmented and unreliable bus and rail services, have significantly diminished accessibility to rural destinations. As a result, visitors and businesses are increasingly reliant on private car use, which conflicts with sustainability objectives and increases tourism’s contribution to greenhouse gas emissions. It also creates serious challenges for rural</w:t>
      </w:r>
      <w:r>
        <w:t xml:space="preserve"> tourism businesses seeking planning permission to grow; developments are often deemed unsustainable due to their unavoidable dependence on private vehicles in areas with little or no public transport provision. </w:t>
      </w:r>
    </w:p>
    <w:p w:rsidR="00A05F76">
      <w:pPr>
        <w:pStyle w:val="ListParagraph"/>
        <w:jc w:val="both"/>
      </w:pPr>
    </w:p>
    <w:p w:rsidR="00A05F76">
      <w:pPr>
        <w:pStyle w:val="ListParagraph"/>
        <w:numPr>
          <w:ilvl w:val="0"/>
          <w:numId w:val="1"/>
        </w:numPr>
        <w:jc w:val="both"/>
      </w:pPr>
      <w:r>
        <w:t xml:space="preserve">Without this economic activity, rural areas continue to decline as existing services and facilities such as post offices, village shops, and pubs continue to close. As these establishments close and transport services are reduced, villages become more unsustainable and are further prevented from growth. The CLA requests that when assessments on planning applications are undertaken, the services that could be supported if development were enabled must be emphasised. </w:t>
      </w:r>
    </w:p>
    <w:p w:rsidR="00A05F76">
      <w:pPr>
        <w:jc w:val="both"/>
        <w:rPr>
          <w:rFonts w:eastAsia="Calibri" w:cs="Arial"/>
        </w:rPr>
      </w:pPr>
    </w:p>
    <w:p w:rsidR="00A05F76">
      <w:pPr>
        <w:jc w:val="both"/>
      </w:pPr>
      <w:r>
        <w:rPr>
          <w:rFonts w:cs="Arial"/>
          <w:b/>
          <w:bCs/>
          <w:i/>
          <w:iCs/>
        </w:rPr>
        <w:t>Question 2: What are the main barriers to international competitiveness? How effectively does the UK promote itself overseas as a destination and what more could be done to strengthen its international profile?</w:t>
      </w:r>
    </w:p>
    <w:p w:rsidR="00A05F76">
      <w:pPr>
        <w:jc w:val="both"/>
        <w:rPr>
          <w:lang w:eastAsia="en-GB"/>
        </w:rPr>
      </w:pPr>
    </w:p>
    <w:p w:rsidR="00A05F76">
      <w:pPr>
        <w:pStyle w:val="ListParagraph"/>
        <w:numPr>
          <w:ilvl w:val="0"/>
          <w:numId w:val="1"/>
        </w:numPr>
        <w:jc w:val="both"/>
      </w:pPr>
      <w:r>
        <w:rPr>
          <w:rFonts w:cs="Arial"/>
        </w:rPr>
        <w:t xml:space="preserve">Question not answered. </w:t>
      </w:r>
    </w:p>
    <w:p w:rsidR="00A05F76">
      <w:pPr>
        <w:jc w:val="both"/>
      </w:pPr>
    </w:p>
    <w:p w:rsidR="00A05F76">
      <w:pPr>
        <w:jc w:val="both"/>
        <w:rPr>
          <w:rFonts w:cs="Arial"/>
          <w:b/>
          <w:bCs/>
          <w:i/>
          <w:iCs/>
        </w:rPr>
      </w:pPr>
      <w:bookmarkEnd w:id="1"/>
      <w:r>
        <w:rPr>
          <w:rFonts w:cs="Arial"/>
          <w:b/>
          <w:bCs/>
          <w:i/>
          <w:iCs/>
        </w:rPr>
        <w:t>Question 3: How does the UK’s recent tourism performance (including visitor numbers, length of stay and visitor spend) compare with other major European tourism destinations? </w:t>
      </w:r>
    </w:p>
    <w:p w:rsidR="00A05F76">
      <w:pPr>
        <w:jc w:val="both"/>
      </w:pPr>
    </w:p>
    <w:p w:rsidR="00A05F76">
      <w:pPr>
        <w:pStyle w:val="ListParagraph"/>
        <w:numPr>
          <w:ilvl w:val="0"/>
          <w:numId w:val="1"/>
        </w:numPr>
        <w:jc w:val="both"/>
      </w:pPr>
      <w:r>
        <w:rPr>
          <w:rFonts w:cs="Arial"/>
        </w:rPr>
        <w:t xml:space="preserve">We have no evidence to answer this question. </w:t>
      </w:r>
    </w:p>
    <w:p w:rsidR="00A05F76">
      <w:pPr>
        <w:jc w:val="both"/>
      </w:pPr>
    </w:p>
    <w:p w:rsidR="00A05F76">
      <w:pPr>
        <w:jc w:val="both"/>
        <w:rPr>
          <w:rFonts w:cs="Arial"/>
          <w:b/>
          <w:bCs/>
          <w:i/>
          <w:iCs/>
        </w:rPr>
      </w:pPr>
      <w:r>
        <w:rPr>
          <w:rFonts w:cs="Arial"/>
          <w:b/>
          <w:bCs/>
          <w:i/>
          <w:iCs/>
        </w:rPr>
        <w:t>Question 4: What factors explain any divergence in growth trends between the UK and European countries?</w:t>
      </w:r>
    </w:p>
    <w:p w:rsidR="00A05F76">
      <w:pPr>
        <w:jc w:val="both"/>
      </w:pPr>
    </w:p>
    <w:p w:rsidR="00A05F76">
      <w:pPr>
        <w:pStyle w:val="ListParagraph"/>
        <w:numPr>
          <w:ilvl w:val="0"/>
          <w:numId w:val="1"/>
        </w:numPr>
        <w:jc w:val="both"/>
      </w:pPr>
      <w:r>
        <w:t>Currently, the UK imposes VAT at 20%, irrespective of the activities taking place. Several popular EU destinations have far lower VAT rates for tourism: Ireland at 9% (from July 2024), France at 10%, Spain at 10%, Italy at 10% and Greece at 13%. This disparity places the UK tourism sector at a clear competitive disadvantage. Higher VAT rates contribute directly to higher visitor prices for accommodation, attractions, and hospitality, making the UK a less attractive choice for both international and domestic</w:t>
      </w:r>
      <w:r>
        <w:t xml:space="preserve"> tourists. These elevated costs are particularly damaging given the UK’s unreliable weather. As a result, the current VAT regime suppresses visitor demand and undermines the long-term competitiveness of the UK tourism industry.</w:t>
      </w:r>
    </w:p>
    <w:p w:rsidR="00A05F76">
      <w:pPr>
        <w:jc w:val="both"/>
      </w:pPr>
    </w:p>
    <w:p w:rsidR="00A05F76">
      <w:pPr>
        <w:jc w:val="both"/>
        <w:rPr>
          <w:rFonts w:cs="Arial"/>
          <w:b/>
          <w:bCs/>
          <w:i/>
          <w:iCs/>
        </w:rPr>
      </w:pPr>
      <w:r>
        <w:rPr>
          <w:rFonts w:cs="Arial"/>
          <w:b/>
          <w:bCs/>
          <w:i/>
          <w:iCs/>
        </w:rPr>
        <w:t>Question 5: What are the specific drivers of international tourism to the UK, what is the economic value of each of those drivers and how can their value be increased?</w:t>
      </w:r>
    </w:p>
    <w:p w:rsidR="00A05F76">
      <w:pPr>
        <w:jc w:val="both"/>
        <w:rPr>
          <w:rFonts w:cs="Arial"/>
          <w:b/>
          <w:bCs/>
          <w:i/>
          <w:iCs/>
        </w:rPr>
      </w:pPr>
    </w:p>
    <w:p w:rsidR="00A05F76">
      <w:pPr>
        <w:pStyle w:val="ListParagraph"/>
        <w:numPr>
          <w:ilvl w:val="0"/>
          <w:numId w:val="1"/>
        </w:numPr>
        <w:jc w:val="both"/>
        <w:rPr>
          <w:rFonts w:cs="Arial"/>
        </w:rPr>
      </w:pPr>
      <w:r>
        <w:rPr>
          <w:rFonts w:cs="Arial"/>
        </w:rPr>
        <w:t xml:space="preserve">Question not answered. </w:t>
      </w:r>
    </w:p>
    <w:p w:rsidR="00A05F76">
      <w:pPr>
        <w:jc w:val="both"/>
        <w:rPr>
          <w:rFonts w:cs="Arial"/>
        </w:rPr>
      </w:pPr>
    </w:p>
    <w:p w:rsidR="00A05F76">
      <w:pPr>
        <w:jc w:val="both"/>
        <w:rPr>
          <w:rFonts w:cs="Arial"/>
          <w:b/>
          <w:bCs/>
          <w:i/>
          <w:iCs/>
        </w:rPr>
      </w:pPr>
      <w:r>
        <w:rPr>
          <w:rFonts w:cs="Arial"/>
          <w:b/>
          <w:bCs/>
          <w:i/>
          <w:iCs/>
        </w:rPr>
        <w:t>Question 6: What are the arguments for and against the proposal to give mayoral strategic authorities the power to introduce an overnight visitor levy? If a levy is introduced, how should it best be spent to attract tourism and investment? </w:t>
      </w:r>
    </w:p>
    <w:p w:rsidR="00A05F76">
      <w:pPr>
        <w:jc w:val="both"/>
        <w:rPr>
          <w:rFonts w:cs="Arial"/>
          <w:b/>
          <w:bCs/>
        </w:rPr>
      </w:pPr>
    </w:p>
    <w:p w:rsidR="00A05F76">
      <w:pPr>
        <w:pStyle w:val="ListParagraph"/>
        <w:numPr>
          <w:ilvl w:val="0"/>
          <w:numId w:val="1"/>
        </w:numPr>
        <w:jc w:val="both"/>
        <w:rPr>
          <w:rFonts w:cs="Arial"/>
        </w:rPr>
      </w:pPr>
      <w:r>
        <w:rPr>
          <w:rFonts w:cs="Arial"/>
        </w:rPr>
        <w:t>The CLA does not support the implementation of a visitor levy. The CLA considers the proposal to be anti-growth due to the negative impact it would likely have on visitor numbers and the increased administrative burden it would create. If Mayoral Authorities introduce a visitor levy, the CLA believes it should be legally paid by visitors and merely collected by accommodation providers, ensuring it falls outside VAT scope and avoids burdening small businesses or creating double taxation that could hinder gro</w:t>
      </w:r>
      <w:r>
        <w:rPr>
          <w:rFonts w:cs="Arial"/>
        </w:rPr>
        <w:t>wth.</w:t>
      </w:r>
    </w:p>
    <w:p w:rsidR="00A05F76">
      <w:pPr>
        <w:jc w:val="both"/>
        <w:rPr>
          <w:rFonts w:cs="Arial"/>
        </w:rPr>
      </w:pPr>
    </w:p>
    <w:p w:rsidR="00A05F76">
      <w:pPr>
        <w:pStyle w:val="ListParagraph"/>
        <w:numPr>
          <w:ilvl w:val="0"/>
          <w:numId w:val="1"/>
        </w:numPr>
        <w:jc w:val="both"/>
        <w:rPr>
          <w:rFonts w:cs="Arial"/>
        </w:rPr>
      </w:pPr>
      <w:r>
        <w:rPr>
          <w:rFonts w:cs="Arial"/>
        </w:rPr>
        <w:t>Many rural tourism businesses operate on tight profit margins and would be unable to absorb the additional cost of a levy. This means that the cost of overnight accommodation charged to visitors would unavoidably have to be increased to cover the levy amount. As a result, low-income households, families and students may be deterred from overnight stays, leading to them choosing day trips instead or reducing their domestic travel altogether.</w:t>
      </w:r>
    </w:p>
    <w:p w:rsidR="00A05F76">
      <w:pPr>
        <w:jc w:val="both"/>
        <w:rPr>
          <w:rFonts w:cs="Arial"/>
        </w:rPr>
      </w:pPr>
    </w:p>
    <w:p w:rsidR="00A05F76">
      <w:pPr>
        <w:pStyle w:val="ListParagraph"/>
        <w:numPr>
          <w:ilvl w:val="0"/>
          <w:numId w:val="1"/>
        </w:numPr>
        <w:jc w:val="both"/>
      </w:pPr>
      <w:r>
        <w:rPr>
          <w:rFonts w:cs="Arial"/>
        </w:rPr>
        <w:t>As outlined by the World Economic Forum’s Travel and Tourism Development Index 2024, the UK already performs poorly on affordability</w:t>
      </w:r>
      <w:r>
        <w:rPr>
          <w:rStyle w:val="FootnoteReference"/>
          <w:rFonts w:cs="Arial"/>
        </w:rPr>
        <w:footnoteReference w:id="2"/>
      </w:r>
      <w:r>
        <w:rPr>
          <w:rFonts w:cs="Arial"/>
        </w:rPr>
        <w:t>. The UK is ranked 113th out of 119 countries for price competitiveness. A levy that further increases the cost of tourism would reduce competitiveness even more. To support inbound and domestic tourism, the government should prioritise policies that would make the UK an affordable destination.</w:t>
      </w:r>
    </w:p>
    <w:p w:rsidR="00A05F76">
      <w:pPr>
        <w:jc w:val="both"/>
        <w:rPr>
          <w:rFonts w:cs="Arial"/>
        </w:rPr>
      </w:pPr>
    </w:p>
    <w:p w:rsidR="00A05F76">
      <w:pPr>
        <w:pStyle w:val="ListParagraph"/>
        <w:numPr>
          <w:ilvl w:val="0"/>
          <w:numId w:val="1"/>
        </w:numPr>
        <w:jc w:val="both"/>
      </w:pPr>
      <w:r>
        <w:rPr>
          <w:rFonts w:cs="Arial"/>
        </w:rPr>
        <w:t>Furthermore, a levy imposed on businesses creates additional administration burdens for small holiday accommodation operators. This burden cannot be absorbed by these small businesses, who often have limited resources such as time, personnel and finances. Implementing a levy would lead to these businesses having to withstand significant additional financial costs from accountancy costs to upgrading computer systems or booking systems to be in keeping with requirements. A holiday accommodation owner would al</w:t>
      </w:r>
      <w:r>
        <w:rPr>
          <w:rFonts w:cs="Arial"/>
        </w:rPr>
        <w:t>so have to manage the checking of visitors’ exemptions and potentially engage in disputes about whether the visitor was truly exempt from the levy.</w:t>
      </w:r>
    </w:p>
    <w:p w:rsidR="00A05F76">
      <w:pPr>
        <w:jc w:val="both"/>
        <w:rPr>
          <w:rFonts w:eastAsia="Segoe UI"/>
        </w:rPr>
      </w:pPr>
    </w:p>
    <w:p w:rsidR="00A05F76">
      <w:pPr>
        <w:pStyle w:val="ListParagraph"/>
        <w:numPr>
          <w:ilvl w:val="0"/>
          <w:numId w:val="1"/>
        </w:numPr>
        <w:jc w:val="both"/>
      </w:pPr>
      <w:r>
        <w:t>It is essential that, if the power to charge a visitor levy is given to Mayoral Authorities, accommodation businesses are designated as the collectors of the charge rather than as the liable payees of the levy. The CLA strongly recommends that legal liability for the levy rests with the visitor, ensuring it is not treated as part of the consideration for the supply of accommodation. This approach would place the levy outside the scope of VAT and prevent it from being counted as turnover when determining whe</w:t>
      </w:r>
      <w:r>
        <w:t>ther a business exceeds the VAT registration threshold. This distinction is critical. Many small tourism businesses actively manage trading levels to remain below the VAT threshold, as VAT registration can significantly affect their administrative tax compliance burdens. While such decisions may be rational at an individual business level, they act as a brake on wider economic growth and reduce overall tax revenues. If a visitor levy were subject to VAT, it would create double taxation and risk further supp</w:t>
      </w:r>
      <w:r>
        <w:t>ressing available let days.</w:t>
      </w:r>
    </w:p>
    <w:p w:rsidR="00A05F76">
      <w:pPr>
        <w:jc w:val="both"/>
      </w:pPr>
    </w:p>
    <w:p w:rsidR="00A05F76">
      <w:pPr>
        <w:pStyle w:val="ListParagraph"/>
        <w:numPr>
          <w:ilvl w:val="0"/>
          <w:numId w:val="1"/>
        </w:numPr>
        <w:jc w:val="both"/>
        <w:rPr>
          <w:rFonts w:cs="Arial"/>
        </w:rPr>
      </w:pPr>
      <w:r>
        <w:rPr>
          <w:rFonts w:cs="Arial"/>
        </w:rPr>
        <w:t>If a visitor levy were to be introduced, Mayors should be able to invest the revenues to support economic growth, taking into account the challenges and opportunities faced by their region. The levies collected should be ring-fenced and allocated to projects that would directly promote tourism or mitigate the impact of tourism in ‘honeypot’ areas. One potential route to ring-fencing might to be to distribute the funding through existing structures such as the Local Visitor Economy Partnerships (LVEPs), whic</w:t>
      </w:r>
      <w:r>
        <w:rPr>
          <w:rFonts w:cs="Arial"/>
        </w:rPr>
        <w:t>h have thus far been underfunded. A legislative framework should be provided to ensure that levies are ring-fenced so that the funds raised are allocated appropriately towards projects that will improve the visitor experience. Without a legislative provision, a mandatory framework should be adopted. It would promote consistency on the spending of the levy, whilst also allowing for regional challenges to be addressed. </w:t>
      </w:r>
    </w:p>
    <w:p w:rsidR="00A05F76">
      <w:pPr>
        <w:jc w:val="both"/>
      </w:pPr>
    </w:p>
    <w:p w:rsidR="00A05F76">
      <w:pPr>
        <w:jc w:val="both"/>
        <w:rPr>
          <w:rFonts w:cs="Arial"/>
          <w:b/>
          <w:bCs/>
          <w:i/>
          <w:iCs/>
        </w:rPr>
      </w:pPr>
      <w:r>
        <w:rPr>
          <w:rFonts w:cs="Arial"/>
          <w:b/>
          <w:bCs/>
          <w:i/>
          <w:iCs/>
        </w:rPr>
        <w:t>Question 7: How effectively do government structures and working arrangements support the tourism sector?</w:t>
      </w:r>
    </w:p>
    <w:p w:rsidR="00A05F76">
      <w:pPr>
        <w:jc w:val="both"/>
        <w:rPr>
          <w:rFonts w:cs="Arial"/>
          <w:b/>
          <w:bCs/>
          <w:i/>
          <w:iCs/>
        </w:rPr>
      </w:pPr>
    </w:p>
    <w:p w:rsidR="00A05F76">
      <w:pPr>
        <w:pStyle w:val="ListParagraph"/>
        <w:numPr>
          <w:ilvl w:val="0"/>
          <w:numId w:val="1"/>
        </w:numPr>
        <w:jc w:val="both"/>
        <w:rPr>
          <w:rFonts w:cs="Arial"/>
        </w:rPr>
      </w:pPr>
      <w:r>
        <w:rPr>
          <w:rFonts w:cs="Arial"/>
        </w:rPr>
        <w:t>A key concern is the lack of alignment between potential visitor levy geographies and LVEP boundaries. If levies are introduced, it is essential that the areas collecting revenue and the LVEP areas responsible for tourism delivery are the same, to avoid fragmentation and ensure transparency. Without aligned boundaries, there is a risk that funds raised in one area are not clearly or fairly reinvested in the same visitor economy.</w:t>
      </w:r>
    </w:p>
    <w:p w:rsidR="00A05F76">
      <w:pPr>
        <w:jc w:val="both"/>
        <w:rPr>
          <w:rFonts w:cs="Arial"/>
        </w:rPr>
      </w:pPr>
    </w:p>
    <w:p w:rsidR="00A05F76">
      <w:pPr>
        <w:jc w:val="both"/>
        <w:rPr>
          <w:rFonts w:cs="Arial"/>
          <w:b/>
          <w:bCs/>
          <w:i/>
          <w:iCs/>
        </w:rPr>
      </w:pPr>
      <w:r>
        <w:rPr>
          <w:rFonts w:cs="Arial"/>
          <w:b/>
          <w:bCs/>
          <w:i/>
          <w:iCs/>
        </w:rPr>
        <w:t>Question 8: How well do VisitBritain/VisitEngland and Destination Management Organisations support the sector? How well do they compare to equivalent bodies in other countries?  </w:t>
      </w:r>
    </w:p>
    <w:p w:rsidR="00A05F76">
      <w:pPr>
        <w:jc w:val="both"/>
        <w:rPr>
          <w:rFonts w:cs="Arial"/>
          <w:b/>
          <w:bCs/>
          <w:i/>
          <w:iCs/>
        </w:rPr>
      </w:pPr>
    </w:p>
    <w:p w:rsidR="00A05F76">
      <w:pPr>
        <w:pStyle w:val="ListParagraph"/>
        <w:numPr>
          <w:ilvl w:val="0"/>
          <w:numId w:val="1"/>
        </w:numPr>
        <w:jc w:val="both"/>
      </w:pPr>
      <w:r>
        <w:t>VisitBritain and VisitEngland play an important role in promoting the English tourism offer both domestically and internationally. However, the scale of funding available to them significantly limits their overall effectiveness, particularly when compared with equivalent bodies in the devolved administrations and competitor destinations overseas. This underinvestment is evident in recent reductions to the GREAT destination promotion budget, which fell by 41% for 2025–26 from £18.1 million in 2024–25 to £10.</w:t>
      </w:r>
      <w:r>
        <w:t>6 million</w:t>
      </w:r>
      <w:r>
        <w:rPr>
          <w:rStyle w:val="FootnoteReference"/>
        </w:rPr>
        <w:footnoteReference w:id="3"/>
      </w:r>
      <w:r>
        <w:t>. This is despite tourism campaigns generating a high return on investment, with visitors spending an additional £20 in Britain for every £1 invested in the GREAT Britain campaign</w:t>
      </w:r>
      <w:r>
        <w:rPr>
          <w:rStyle w:val="FootnoteReference"/>
        </w:rPr>
        <w:footnoteReference w:id="4"/>
      </w:r>
      <w:r>
        <w:t xml:space="preserve">. </w:t>
      </w:r>
    </w:p>
    <w:p w:rsidR="00A05F76">
      <w:pPr>
        <w:jc w:val="both"/>
      </w:pPr>
    </w:p>
    <w:p w:rsidR="00A05F76">
      <w:pPr>
        <w:pStyle w:val="ListParagraph"/>
        <w:numPr>
          <w:ilvl w:val="0"/>
          <w:numId w:val="1"/>
        </w:numPr>
        <w:jc w:val="both"/>
      </w:pPr>
      <w:r>
        <w:t xml:space="preserve">Similarly, VisitBritain and </w:t>
      </w:r>
      <w:r>
        <w:t>VisitEngland’s</w:t>
      </w:r>
      <w:r>
        <w:t xml:space="preserve"> 2025–26 business plan sets out a total expenditure budget of £45.7 million, with approximately £22 million allocated to international marketing</w:t>
      </w:r>
      <w:r>
        <w:rPr>
          <w:rStyle w:val="FootnoteReference"/>
        </w:rPr>
        <w:footnoteReference w:id="5"/>
      </w:r>
      <w:r>
        <w:t>. Given the size, geographic diversity, and economic importance of England’s tourism sector, this level of investment appears relatively constrained, particularly when compared with VisitScotland, which operated with an approved budget of £44.6 million in 2024–25, despite Scotland’s significantly smaller population and land mass</w:t>
      </w:r>
      <w:r>
        <w:rPr>
          <w:rStyle w:val="FootnoteReference"/>
        </w:rPr>
        <w:footnoteReference w:id="6"/>
      </w:r>
      <w:r>
        <w:t>. This highlights the limited resources available to VisitBritain, especially when considering that VisitScotland does not have the same breadth of international responsibilities.</w:t>
      </w:r>
    </w:p>
    <w:p w:rsidR="00A05F76">
      <w:pPr>
        <w:pStyle w:val="ListParagraph"/>
        <w:ind w:left="540"/>
        <w:jc w:val="both"/>
      </w:pPr>
    </w:p>
    <w:p w:rsidR="00A05F76">
      <w:pPr>
        <w:pStyle w:val="ListParagraph"/>
        <w:numPr>
          <w:ilvl w:val="0"/>
          <w:numId w:val="1"/>
        </w:numPr>
        <w:jc w:val="both"/>
      </w:pPr>
      <w:r>
        <w:t>Insufficient funding and limited resources also continue to affect Destination Management Organisations (DMOs) and Local Visitor Economy Partnerships (LVEPs). While the CLA has received positive feedback from some members regarding the support provided by their local LVEP, many others report that their LVEP is operating under significant financial pressure or has ceased trading altogether.</w:t>
      </w:r>
    </w:p>
    <w:p w:rsidR="00A05F76">
      <w:pPr>
        <w:jc w:val="both"/>
        <w:rPr>
          <w:rFonts w:cs="Arial"/>
        </w:rPr>
      </w:pPr>
    </w:p>
    <w:p w:rsidR="00A05F76">
      <w:pPr>
        <w:jc w:val="both"/>
        <w:rPr>
          <w:rFonts w:cs="Arial"/>
          <w:b/>
          <w:bCs/>
          <w:i/>
          <w:iCs/>
        </w:rPr>
      </w:pPr>
      <w:r>
        <w:rPr>
          <w:rFonts w:cs="Arial"/>
          <w:b/>
          <w:bCs/>
          <w:i/>
          <w:iCs/>
        </w:rPr>
        <w:t>Question 9: How effectively do the UK and devolved Governments work together to promote tourism and support the sector?</w:t>
      </w:r>
    </w:p>
    <w:p w:rsidR="00A05F76">
      <w:pPr>
        <w:jc w:val="both"/>
        <w:rPr>
          <w:rFonts w:cs="Arial"/>
          <w:b/>
          <w:bCs/>
          <w:i/>
          <w:iCs/>
        </w:rPr>
      </w:pPr>
    </w:p>
    <w:p w:rsidR="00A05F76">
      <w:pPr>
        <w:pStyle w:val="ListParagraph"/>
        <w:numPr>
          <w:ilvl w:val="0"/>
          <w:numId w:val="1"/>
        </w:numPr>
        <w:jc w:val="both"/>
      </w:pPr>
      <w:r>
        <w:t xml:space="preserve">We are aware of ongoing issues relating to coordination between the UK Government and the devolved administrations as well as government departments in Whitehall more generally. Silo working continues to be an issue, leading to ineffective working and decision-making. </w:t>
      </w:r>
    </w:p>
    <w:p w:rsidR="00A05F76">
      <w:pPr>
        <w:jc w:val="both"/>
      </w:pPr>
    </w:p>
    <w:p w:rsidR="00A05F76">
      <w:pPr>
        <w:pStyle w:val="ListParagraph"/>
        <w:numPr>
          <w:ilvl w:val="0"/>
          <w:numId w:val="1"/>
        </w:numPr>
        <w:jc w:val="both"/>
      </w:pPr>
      <w:r>
        <w:t xml:space="preserve">The CLA recommend the following to ensure successful cross-government collaboration on the rural economy: create a ministerial-led, cross-departmental working group with a </w:t>
      </w:r>
      <w:r>
        <w:t>mission to generate rural economic growth, strengthen cooperation with Welsh Government through the creation of robust bilateral structures with industry groups, ensure rural representation on new bodies related to infrastructure and industry strategy.</w:t>
      </w:r>
    </w:p>
    <w:p w:rsidR="00A05F76">
      <w:pPr>
        <w:jc w:val="both"/>
      </w:pPr>
    </w:p>
    <w:p w:rsidR="00A05F76">
      <w:pPr>
        <w:jc w:val="both"/>
        <w:rPr>
          <w:rFonts w:cs="Arial"/>
          <w:b/>
          <w:bCs/>
          <w:i/>
          <w:iCs/>
        </w:rPr>
      </w:pPr>
      <w:r>
        <w:rPr>
          <w:rFonts w:cs="Arial"/>
          <w:b/>
          <w:bCs/>
          <w:i/>
          <w:iCs/>
        </w:rPr>
        <w:t>Question 10: What opportunities exist to increase inward investment into tourism infrastructure and what changes may be needed to encourage it?</w:t>
      </w:r>
    </w:p>
    <w:p w:rsidR="00A05F76">
      <w:pPr>
        <w:jc w:val="both"/>
        <w:rPr>
          <w:rFonts w:cs="Arial"/>
          <w:b/>
          <w:bCs/>
          <w:i/>
          <w:iCs/>
        </w:rPr>
      </w:pPr>
    </w:p>
    <w:p w:rsidR="00A05F76">
      <w:pPr>
        <w:pStyle w:val="ListParagraph"/>
        <w:numPr>
          <w:ilvl w:val="0"/>
          <w:numId w:val="1"/>
        </w:numPr>
        <w:jc w:val="both"/>
        <w:rPr>
          <w:rFonts w:cs="Arial"/>
        </w:rPr>
      </w:pPr>
      <w:r>
        <w:rPr>
          <w:rFonts w:cs="Arial"/>
        </w:rPr>
        <w:t xml:space="preserve">Question not answered. </w:t>
      </w:r>
    </w:p>
    <w:p w:rsidR="00A05F76">
      <w:pPr>
        <w:jc w:val="both"/>
        <w:rPr>
          <w:rFonts w:cs="Arial"/>
        </w:rPr>
      </w:pPr>
    </w:p>
    <w:p w:rsidR="00A05F76">
      <w:pPr>
        <w:jc w:val="both"/>
        <w:rPr>
          <w:rFonts w:cs="Arial"/>
          <w:b/>
          <w:bCs/>
          <w:i/>
          <w:iCs/>
        </w:rPr>
      </w:pPr>
      <w:r>
        <w:rPr>
          <w:rFonts w:cs="Arial"/>
          <w:b/>
          <w:bCs/>
          <w:i/>
          <w:iCs/>
        </w:rPr>
        <w:t>Question 11: Which areas have seen the biggest growth in inbound tourism and why? </w:t>
      </w:r>
    </w:p>
    <w:p w:rsidR="00A05F76">
      <w:pPr>
        <w:jc w:val="both"/>
        <w:rPr>
          <w:rFonts w:cs="Arial"/>
          <w:b/>
          <w:bCs/>
          <w:i/>
          <w:iCs/>
        </w:rPr>
      </w:pPr>
    </w:p>
    <w:p w:rsidR="00A05F76">
      <w:pPr>
        <w:pStyle w:val="ListParagraph"/>
        <w:numPr>
          <w:ilvl w:val="0"/>
          <w:numId w:val="1"/>
        </w:numPr>
        <w:jc w:val="both"/>
        <w:rPr>
          <w:rFonts w:cs="Arial"/>
        </w:rPr>
      </w:pPr>
      <w:r>
        <w:rPr>
          <w:rFonts w:cs="Arial"/>
        </w:rPr>
        <w:t xml:space="preserve">Questions not answered. </w:t>
      </w:r>
    </w:p>
    <w:p w:rsidR="00A05F76">
      <w:pPr>
        <w:jc w:val="both"/>
        <w:rPr>
          <w:rFonts w:cs="Arial"/>
        </w:rPr>
      </w:pPr>
    </w:p>
    <w:p w:rsidR="00A05F76">
      <w:pPr>
        <w:jc w:val="both"/>
        <w:rPr>
          <w:rFonts w:cs="Arial"/>
          <w:b/>
          <w:bCs/>
          <w:i/>
          <w:iCs/>
        </w:rPr>
      </w:pPr>
      <w:r>
        <w:rPr>
          <w:rFonts w:cs="Arial"/>
          <w:b/>
          <w:bCs/>
          <w:i/>
          <w:iCs/>
        </w:rPr>
        <w:t>Question 12: How can investment be unlocked in all parts of the country?  </w:t>
      </w:r>
    </w:p>
    <w:p w:rsidR="00A05F76">
      <w:pPr>
        <w:jc w:val="both"/>
      </w:pPr>
    </w:p>
    <w:p w:rsidR="00A05F76">
      <w:pPr>
        <w:pStyle w:val="ListParagraph"/>
        <w:numPr>
          <w:ilvl w:val="0"/>
          <w:numId w:val="1"/>
        </w:numPr>
        <w:jc w:val="both"/>
      </w:pPr>
      <w:r>
        <w:t xml:space="preserve">Investment in the tourism industry can be unlocked by addressing long-standing structural barriers and creating a more stable environment for businesses and destinations. The CLA recommends that this is achieved by: </w:t>
      </w:r>
    </w:p>
    <w:p w:rsidR="00A05F76">
      <w:pPr>
        <w:pStyle w:val="ListParagraph"/>
        <w:ind w:left="540"/>
        <w:jc w:val="both"/>
      </w:pPr>
    </w:p>
    <w:p w:rsidR="00A05F76">
      <w:pPr>
        <w:pStyle w:val="ListParagraph"/>
        <w:numPr>
          <w:ilvl w:val="0"/>
          <w:numId w:val="2"/>
        </w:numPr>
        <w:jc w:val="both"/>
      </w:pPr>
      <w:r>
        <w:t xml:space="preserve">More funding being allocated to Visit England/Visit Britain and Local Visitor Economy Partnerships (LVEPs): rather than cutting funding by 41% in April 2025, Government should recognise the importance of promoting tourism as a dynamic economic </w:t>
      </w:r>
      <w:r>
        <w:rPr>
          <w:rStyle w:val="FootnoteReference"/>
        </w:rPr>
        <w:footnoteReference w:id="7"/>
      </w:r>
      <w:r>
        <w:t>;</w:t>
      </w:r>
    </w:p>
    <w:p w:rsidR="00A05F76">
      <w:pPr>
        <w:ind w:left="540"/>
        <w:jc w:val="both"/>
      </w:pPr>
    </w:p>
    <w:p w:rsidR="00A05F76">
      <w:pPr>
        <w:pStyle w:val="ListParagraph"/>
        <w:numPr>
          <w:ilvl w:val="0"/>
          <w:numId w:val="2"/>
        </w:numPr>
        <w:jc w:val="both"/>
      </w:pPr>
      <w:r>
        <w:t>Match-funding or soft loans for diversification projects. Government funding with private investment has been proven to be effective: Past evaluations of the Rural Development Programme for England (under which eligible projects, such as tourist accommodation, would get a maximum 40% of the capital cost) show a benefit-cost ratio of between 2.57 and 5.07. Since the ending of the Rural England Prosperity Fund (REPF), favourable access to finance is no longer available. If the Government does not extend the R</w:t>
      </w:r>
      <w:r>
        <w:t>EPF or a similar grant mechanism, it should make soft loans available, with a long payback period of either zero or low interest. This would provide the necessary platform for renewing economic dynamism in the rural tourism sector;</w:t>
      </w:r>
    </w:p>
    <w:p w:rsidR="00A05F76">
      <w:pPr>
        <w:pStyle w:val="ListParagraph"/>
        <w:ind w:left="1260"/>
        <w:jc w:val="both"/>
      </w:pPr>
    </w:p>
    <w:p w:rsidR="00A05F76">
      <w:pPr>
        <w:pStyle w:val="ListParagraph"/>
        <w:numPr>
          <w:ilvl w:val="0"/>
          <w:numId w:val="2"/>
        </w:numPr>
        <w:jc w:val="both"/>
      </w:pPr>
      <w:r>
        <w:t xml:space="preserve">Making the industry more commercially attractive to investment by reducing VAT rates on tourism and hospitality, reforming business rates and having targeted capital allowances for visitor economy investments. Please see our answers to Questions 4 and 16; </w:t>
      </w:r>
    </w:p>
    <w:p w:rsidR="00A05F76">
      <w:pPr>
        <w:pStyle w:val="ListParagraph"/>
        <w:ind w:left="1260"/>
        <w:jc w:val="both"/>
      </w:pPr>
    </w:p>
    <w:p w:rsidR="00A05F76">
      <w:pPr>
        <w:pStyle w:val="ListParagraph"/>
        <w:numPr>
          <w:ilvl w:val="0"/>
          <w:numId w:val="2"/>
        </w:numPr>
        <w:jc w:val="both"/>
      </w:pPr>
      <w:r>
        <w:t xml:space="preserve">Investing more into infrastructure to ensure the sustainability of visitor economy destinations. This requires greater alignment between tourism policies and transport, planning and regeneration strategies. Please see our answer to Question 16; </w:t>
      </w:r>
    </w:p>
    <w:p w:rsidR="00A05F76">
      <w:pPr>
        <w:ind w:left="540"/>
        <w:jc w:val="both"/>
      </w:pPr>
    </w:p>
    <w:p w:rsidR="00A05F76">
      <w:pPr>
        <w:pStyle w:val="ListParagraph"/>
        <w:numPr>
          <w:ilvl w:val="0"/>
          <w:numId w:val="2"/>
        </w:numPr>
        <w:jc w:val="both"/>
      </w:pPr>
      <w:r>
        <w:t>Expanding planning Permitted Development Rights. Please see our answer to Question 16 for more detail. Also see our comments in relation to planning application assessments and sustainable development in response to Question 1.</w:t>
      </w:r>
    </w:p>
    <w:p w:rsidR="00A05F76">
      <w:pPr>
        <w:pStyle w:val="ListParagraph"/>
        <w:ind w:left="540"/>
        <w:jc w:val="both"/>
        <w:rPr>
          <w:rFonts w:ascii="Aptos" w:eastAsia="Aptos" w:hAnsi="Aptos" w:cs="Aptos"/>
          <w:sz w:val="24"/>
        </w:rPr>
      </w:pPr>
    </w:p>
    <w:p w:rsidR="00A05F76">
      <w:pPr>
        <w:jc w:val="both"/>
        <w:rPr>
          <w:rFonts w:cs="Arial"/>
          <w:b/>
          <w:bCs/>
          <w:i/>
          <w:iCs/>
        </w:rPr>
      </w:pPr>
      <w:r>
        <w:rPr>
          <w:rFonts w:cs="Arial"/>
          <w:b/>
          <w:bCs/>
          <w:i/>
          <w:iCs/>
        </w:rPr>
        <w:t>Question 13: How well is the visitor economy recovering from the COVID-19 pandemic and what challenges continue to affect business and destinations?</w:t>
      </w:r>
    </w:p>
    <w:p w:rsidR="00A05F76">
      <w:pPr>
        <w:jc w:val="both"/>
      </w:pPr>
    </w:p>
    <w:p w:rsidR="00A05F76">
      <w:pPr>
        <w:pStyle w:val="ListParagraph"/>
        <w:numPr>
          <w:ilvl w:val="0"/>
          <w:numId w:val="1"/>
        </w:numPr>
        <w:jc w:val="both"/>
      </w:pPr>
      <w:r>
        <w:t xml:space="preserve">Question not answered. </w:t>
      </w:r>
    </w:p>
    <w:p w:rsidR="00A05F76">
      <w:pPr>
        <w:jc w:val="both"/>
      </w:pPr>
    </w:p>
    <w:p w:rsidR="00A05F76">
      <w:pPr>
        <w:jc w:val="both"/>
        <w:rPr>
          <w:rFonts w:cs="Arial"/>
          <w:b/>
          <w:bCs/>
          <w:i/>
          <w:iCs/>
        </w:rPr>
      </w:pPr>
      <w:r>
        <w:rPr>
          <w:rFonts w:cs="Arial"/>
          <w:b/>
          <w:bCs/>
          <w:i/>
          <w:iCs/>
        </w:rPr>
        <w:t>Question 14: How effectively is the domestic tourism sector functioning across the UK and what factors are shaping current levels of demand and recovery?</w:t>
      </w:r>
    </w:p>
    <w:p w:rsidR="00A05F76">
      <w:pPr>
        <w:jc w:val="both"/>
      </w:pPr>
    </w:p>
    <w:p w:rsidR="00A05F76">
      <w:pPr>
        <w:pStyle w:val="ListParagraph"/>
        <w:numPr>
          <w:ilvl w:val="0"/>
          <w:numId w:val="1"/>
        </w:numPr>
        <w:jc w:val="both"/>
      </w:pPr>
      <w:r>
        <w:t xml:space="preserve">Question not answered. </w:t>
      </w:r>
    </w:p>
    <w:p w:rsidR="00A05F76">
      <w:pPr>
        <w:jc w:val="both"/>
      </w:pPr>
    </w:p>
    <w:p w:rsidR="00A05F76">
      <w:pPr>
        <w:jc w:val="both"/>
      </w:pPr>
      <w:r>
        <w:rPr>
          <w:rFonts w:cs="Arial"/>
          <w:b/>
          <w:bCs/>
          <w:i/>
          <w:iCs/>
        </w:rPr>
        <w:t>Question 15: To what extent have rising operational and workforce costs affected the affordability and viability of domestic trips for both operators and consumers?</w:t>
      </w:r>
      <w:r>
        <w:t> </w:t>
      </w:r>
    </w:p>
    <w:p w:rsidR="00A05F76">
      <w:pPr>
        <w:jc w:val="both"/>
      </w:pPr>
    </w:p>
    <w:p w:rsidR="00A05F76">
      <w:pPr>
        <w:pStyle w:val="ListParagraph"/>
        <w:numPr>
          <w:ilvl w:val="0"/>
          <w:numId w:val="1"/>
        </w:numPr>
        <w:jc w:val="both"/>
      </w:pPr>
      <w:r>
        <w:t>Rising operational and workforce costs have had a significant impact on the affordability and viability of domestic trips within the rural tourism sector, where domestic visitors form the core market. Increases in operating expenses and persistent labour shortages are placing pressure on rural tourism businesses and constraining their ability to remain financially sustainable.</w:t>
      </w:r>
    </w:p>
    <w:p w:rsidR="00A05F76">
      <w:pPr>
        <w:jc w:val="both"/>
      </w:pPr>
    </w:p>
    <w:p w:rsidR="00A05F76">
      <w:pPr>
        <w:pStyle w:val="ListParagraph"/>
        <w:numPr>
          <w:ilvl w:val="0"/>
          <w:numId w:val="1"/>
        </w:numPr>
        <w:jc w:val="both"/>
      </w:pPr>
      <w:r>
        <w:t>The continued rise in the minimum wage has increased staffing costs, and not just for people on the minimum wage: to maintain a differential in reward levels, other wages have increased too. The sector als</w:t>
      </w:r>
      <w:bookmarkStart w:id="2" w:name="_Int_ED6MJAXn"/>
      <w:r>
        <w:t>o strug</w:t>
      </w:r>
      <w:bookmarkEnd w:id="2"/>
      <w:r>
        <w:t>gles to attract and retain workers who view rural tourism as a long</w:t>
      </w:r>
      <w:r>
        <w:noBreakHyphen/>
        <w:t xml:space="preserve">term career. This is largely due to perceptions of seasonality and limited progression, which exacerbates workforce instability and drives up recruitment and training costs for operators. </w:t>
      </w:r>
    </w:p>
    <w:p w:rsidR="00A05F76">
      <w:pPr>
        <w:jc w:val="both"/>
      </w:pPr>
    </w:p>
    <w:p w:rsidR="00A05F76">
      <w:pPr>
        <w:pStyle w:val="ListParagraph"/>
        <w:numPr>
          <w:ilvl w:val="0"/>
          <w:numId w:val="1"/>
        </w:numPr>
        <w:jc w:val="both"/>
      </w:pPr>
      <w:r>
        <w:t>Wider global factors may partially offset these pressures by influencing consumer behaviour. Ongoing geopolitical uncertainty, including the Middle East conflict, has contributed to rising overseas travel costs. This may encourage more consumers to opt for domestic holidays, reinforcing the recent “staycation” trend and potentially supporting demand for rural destinations. However, household finances remain under strain, and this is likely to reduce both the frequency and scale of domestic trips over the ne</w:t>
      </w:r>
      <w:r>
        <w:t xml:space="preserve">xt 12 months. In response, operators may feel compelled to absorb additional costs or reduce prices to stimulate demand, which could further undermine margins and long-term viability. </w:t>
      </w:r>
    </w:p>
    <w:p w:rsidR="00A05F76">
      <w:pPr>
        <w:jc w:val="both"/>
      </w:pPr>
    </w:p>
    <w:p w:rsidR="00A05F76">
      <w:pPr>
        <w:pStyle w:val="ListParagraph"/>
        <w:numPr>
          <w:ilvl w:val="0"/>
          <w:numId w:val="1"/>
        </w:numPr>
        <w:jc w:val="both"/>
      </w:pPr>
      <w:r>
        <w:t>From the consumer perspective, one of the most significant barriers to domestic travel is the high cost of rail travel. England has one of the most expensive rail networks in Europe, and transport costs can outweigh savings made through accommodation discounts or incentive packages. This factor alone has the potential to significantly suppress domestic travel demand, regardless of efforts by tourism businesses to manage or reduce other costs.</w:t>
      </w:r>
    </w:p>
    <w:p w:rsidR="00A05F76">
      <w:pPr>
        <w:jc w:val="both"/>
      </w:pPr>
    </w:p>
    <w:p w:rsidR="00A05F76">
      <w:pPr>
        <w:jc w:val="both"/>
        <w:rPr>
          <w:rFonts w:cs="Arial"/>
          <w:b/>
          <w:bCs/>
          <w:i/>
          <w:iCs/>
        </w:rPr>
      </w:pPr>
      <w:r>
        <w:rPr>
          <w:rFonts w:cs="Arial"/>
          <w:b/>
          <w:bCs/>
          <w:i/>
          <w:iCs/>
        </w:rPr>
        <w:t>Question 16: What targeted interventions could support domestic tourism businesses to stimulate demand and strengthen year-round visitor numbers?</w:t>
      </w:r>
    </w:p>
    <w:p w:rsidR="00A05F76">
      <w:pPr>
        <w:jc w:val="both"/>
      </w:pPr>
    </w:p>
    <w:p w:rsidR="00A05F76">
      <w:pPr>
        <w:pStyle w:val="ListParagraph"/>
        <w:numPr>
          <w:ilvl w:val="0"/>
          <w:numId w:val="1"/>
        </w:numPr>
        <w:jc w:val="both"/>
      </w:pPr>
      <w:r>
        <w:t xml:space="preserve">Planning policy reforms would play a significant role in supporting the growth of domestic tourism businesses. </w:t>
      </w:r>
    </w:p>
    <w:p w:rsidR="00A05F76">
      <w:pPr>
        <w:jc w:val="both"/>
      </w:pPr>
    </w:p>
    <w:p w:rsidR="00A05F76">
      <w:pPr>
        <w:pStyle w:val="ListParagraph"/>
        <w:numPr>
          <w:ilvl w:val="0"/>
          <w:numId w:val="1"/>
        </w:numPr>
        <w:jc w:val="both"/>
      </w:pPr>
      <w:r>
        <w:t>Permitted Development Rights (PDRs) should be expanded so that more businesses can diversify and expand easier without having to navigate the full planning permission process, which can be costly both in terms of time and money. This would stimulate domestic tourism demand by unlocking new tourism products, reducing barriers to entry for small operators and strengthening the tourism offer of rural destinations. PDRs are crucial as they act as an enabler for small-scale development that is generally unachiev</w:t>
      </w:r>
      <w:r>
        <w:t>able within the current planning system, due to the cost involved with preparing and submitting proposals but also frequent delays with the process. The CLA recommends that the change of use of agricultural buildings to flexible commercial uses ((Part 3, Class R of the General Permitted Development Order (GDPO) 2015</w:t>
      </w:r>
      <w:r>
        <w:rPr>
          <w:rStyle w:val="FootnoteReference"/>
        </w:rPr>
        <w:footnoteReference w:id="8"/>
      </w:r>
      <w:r>
        <w:t xml:space="preserve"> ) is </w:t>
      </w:r>
      <w:r>
        <w:t>expanded to other buildings in a predominantly rural use. Mixed-use rural developments allow different activities to peak at different times of year. Uses that serve both visitors and local communities also help maintain activity outside peak seasons.</w:t>
      </w:r>
    </w:p>
    <w:p w:rsidR="00A05F76">
      <w:pPr>
        <w:jc w:val="both"/>
      </w:pPr>
    </w:p>
    <w:p w:rsidR="00A05F76">
      <w:pPr>
        <w:pStyle w:val="ListParagraph"/>
        <w:numPr>
          <w:ilvl w:val="0"/>
          <w:numId w:val="1"/>
        </w:numPr>
        <w:jc w:val="both"/>
      </w:pPr>
      <w:r>
        <w:t xml:space="preserve">The PDR under Part 4, Class B of the GDPO, allowing the temporary use of land for no more than 28 days in any calendar year for any use other than camping (which is permitted for 60 days) should be expanded to 60 days in both England and Wales. This would make it commercially viable to operate shoulder-season and off-peak attractions, encouraging domestic visitors to travel outside traditional periods, supporting more even, year-round visitation.  </w:t>
      </w:r>
    </w:p>
    <w:p w:rsidR="00A05F76">
      <w:pPr>
        <w:jc w:val="both"/>
      </w:pPr>
    </w:p>
    <w:p w:rsidR="00A05F76">
      <w:pPr>
        <w:pStyle w:val="ListParagraph"/>
        <w:numPr>
          <w:ilvl w:val="0"/>
          <w:numId w:val="1"/>
        </w:numPr>
        <w:jc w:val="both"/>
      </w:pPr>
      <w:r>
        <w:t>Targeted reform of business rates would help domestic tourism</w:t>
      </w:r>
      <w:r>
        <w:t xml:space="preserve"> businesses by lowering their fixed costs. High year-round bills often discourage businesses from staying open outside peak seasons and can lead to seasonal closures. The CLA recommends extending 100% Small Business Rate Relief to properties with a rateable value of up to £20,000, instead of the current £15,000 threshold. We also propose a taper between £20,001 and £30,000 (more relief at the lower end and gradually less as values increase towards £30,000). These changes would help prevent businesses being </w:t>
      </w:r>
      <w:r>
        <w:t>pushed into higher business rates liabilities following revaluations, where increases in rateable value can move properties above the SBRR eligibility threshold, resulting in a significant increase in bills.</w:t>
      </w:r>
    </w:p>
    <w:p w:rsidR="00A05F76">
      <w:pPr>
        <w:jc w:val="both"/>
      </w:pPr>
    </w:p>
    <w:p w:rsidR="00A05F76">
      <w:pPr>
        <w:pStyle w:val="ListParagraph"/>
        <w:numPr>
          <w:ilvl w:val="0"/>
          <w:numId w:val="1"/>
        </w:numPr>
        <w:jc w:val="both"/>
      </w:pPr>
      <w:r>
        <w:t xml:space="preserve">Interventions that improve connectivity in rural and coastal areas. Poor transport infrastructure in these areas often makes travel costly, time-consuming and unreliable, particularly outside peak seasons. The CLA recommends that government provides funding for essential infrastructure in rural areas such as rail routes, roads and local transport services. Delivery of these infrastructure projects must be timely, efficient and sensitive to the communities affected. </w:t>
      </w:r>
    </w:p>
    <w:p w:rsidR="00A05F76">
      <w:pPr>
        <w:jc w:val="both"/>
      </w:pPr>
    </w:p>
    <w:p w:rsidR="00A05F76">
      <w:pPr>
        <w:jc w:val="both"/>
      </w:pPr>
      <w:r>
        <w:rPr>
          <w:b/>
          <w:bCs/>
          <w:i/>
          <w:iCs/>
        </w:rPr>
        <w:t>Question 17: How can tourism better support regional growth, community prosperity and wider Government objectives?</w:t>
      </w:r>
    </w:p>
    <w:p w:rsidR="00A05F76">
      <w:pPr>
        <w:jc w:val="both"/>
      </w:pPr>
    </w:p>
    <w:p w:rsidR="00A05F76">
      <w:pPr>
        <w:pStyle w:val="ListParagraph"/>
        <w:numPr>
          <w:ilvl w:val="0"/>
          <w:numId w:val="1"/>
        </w:numPr>
        <w:jc w:val="both"/>
      </w:pPr>
      <w:r>
        <w:t xml:space="preserve">Question not answered. </w:t>
      </w:r>
    </w:p>
    <w:p w:rsidR="00A05F76">
      <w:pPr>
        <w:jc w:val="both"/>
      </w:pPr>
    </w:p>
    <w:p w:rsidR="00A05F76">
      <w:pPr>
        <w:jc w:val="both"/>
        <w:rPr>
          <w:rFonts w:cs="Arial"/>
          <w:b/>
          <w:bCs/>
          <w:i/>
          <w:iCs/>
        </w:rPr>
      </w:pPr>
      <w:r>
        <w:rPr>
          <w:rFonts w:cs="Arial"/>
          <w:b/>
          <w:bCs/>
          <w:i/>
          <w:iCs/>
        </w:rPr>
        <w:t>Question 18: What barriers prevent regions from capitalising fully on tourism demand and what opportunities remain overlooked?</w:t>
      </w:r>
    </w:p>
    <w:p w:rsidR="00A05F76">
      <w:pPr>
        <w:jc w:val="both"/>
      </w:pPr>
    </w:p>
    <w:p w:rsidR="00A05F76">
      <w:pPr>
        <w:pStyle w:val="ListParagraph"/>
        <w:numPr>
          <w:ilvl w:val="0"/>
          <w:numId w:val="1"/>
        </w:numPr>
        <w:jc w:val="both"/>
        <w:rPr>
          <w:rFonts w:eastAsia="Arial" w:cs="Arial"/>
        </w:rPr>
      </w:pPr>
      <w:r>
        <w:rPr>
          <w:rFonts w:eastAsia="Arial" w:cs="Arial"/>
        </w:rPr>
        <w:t>A key barrier is the skills shortage that affects the sector, particularly the hospitality industry. Tourism continues to be widely perceived as a low paid, seasonal and insecure sector rather than a viable long-term career pathway. As a result, many businesses struggle to recruit and retain a skilled workforce. This leads to high staff turnover, reduced productivity and persistent capacity constraints. This issue is exacerbated by the lack of housing for employees (see our answer to Question 22). These sho</w:t>
      </w:r>
      <w:r>
        <w:rPr>
          <w:rFonts w:eastAsia="Arial" w:cs="Arial"/>
        </w:rPr>
        <w:t xml:space="preserve">rtages directly limit regions’ ability to respond to tourism demand. Businesses are often forced to reduce opening hours, limit services, or operate below capacity during peak periods, meaning that demand cannot be fully converted into economic value. </w:t>
      </w:r>
    </w:p>
    <w:p w:rsidR="00A05F76">
      <w:pPr>
        <w:jc w:val="both"/>
        <w:rPr>
          <w:rFonts w:eastAsia="Arial" w:cs="Arial"/>
        </w:rPr>
      </w:pPr>
    </w:p>
    <w:p w:rsidR="00A05F76">
      <w:pPr>
        <w:pStyle w:val="ListParagraph"/>
        <w:numPr>
          <w:ilvl w:val="0"/>
          <w:numId w:val="1"/>
        </w:numPr>
        <w:jc w:val="both"/>
      </w:pPr>
      <w:r>
        <w:rPr>
          <w:rFonts w:eastAsia="Arial" w:cs="Arial"/>
        </w:rPr>
        <w:t>In addition, skill gaps restrict the sector’s ability to innovate and diversify. Deficits in digital, managerial and marketing skills make it harder for regional tourism businesses to adopt new technologies, develop off</w:t>
      </w:r>
      <w:r>
        <w:noBreakHyphen/>
      </w:r>
      <w:r>
        <w:rPr>
          <w:rFonts w:eastAsia="Arial" w:cs="Arial"/>
        </w:rPr>
        <w:t>season products and services or effectively target higher</w:t>
      </w:r>
      <w:r>
        <w:noBreakHyphen/>
      </w:r>
      <w:r>
        <w:rPr>
          <w:rFonts w:eastAsia="Arial" w:cs="Arial"/>
        </w:rPr>
        <w:t>value markets such as inbound visitors. This reinforces a cycle in which regions remain reliant on seasonal, low</w:t>
      </w:r>
      <w:r>
        <w:noBreakHyphen/>
      </w:r>
      <w:r>
        <w:rPr>
          <w:rFonts w:eastAsia="Arial" w:cs="Arial"/>
        </w:rPr>
        <w:t>margin tourism rather than realising longer</w:t>
      </w:r>
      <w:r>
        <w:noBreakHyphen/>
      </w:r>
      <w:r>
        <w:rPr>
          <w:rFonts w:eastAsia="Arial" w:cs="Arial"/>
        </w:rPr>
        <w:t>term growth and resilience.</w:t>
      </w:r>
    </w:p>
    <w:p w:rsidR="00A05F76">
      <w:pPr>
        <w:jc w:val="both"/>
        <w:rPr>
          <w:rFonts w:eastAsia="Arial" w:cs="Arial"/>
        </w:rPr>
      </w:pPr>
    </w:p>
    <w:p w:rsidR="00A05F76">
      <w:pPr>
        <w:pStyle w:val="ListParagraph"/>
        <w:numPr>
          <w:ilvl w:val="0"/>
          <w:numId w:val="1"/>
        </w:numPr>
        <w:jc w:val="both"/>
      </w:pPr>
      <w:r>
        <w:rPr>
          <w:rFonts w:eastAsia="Arial" w:cs="Arial"/>
        </w:rPr>
        <w:t xml:space="preserve">Weak transport connectivity also acts as a significant barrier (see our answer to Question 16 for details). Moreover, unreliable broadband and mobile connectivity in rural areas, </w:t>
      </w:r>
      <w:r>
        <w:rPr>
          <w:rFonts w:eastAsia="Arial" w:cs="Arial"/>
        </w:rPr>
        <w:t>limits the ability of businesses to engage with online booking platforms, use data</w:t>
      </w:r>
      <w:r>
        <w:noBreakHyphen/>
      </w:r>
      <w:r>
        <w:rPr>
          <w:rFonts w:eastAsia="Arial" w:cs="Arial"/>
        </w:rPr>
        <w:t>driven marketing, diversify their offer or attract international visitors who increasingly expect seamless digital access. According to Ofcom’s “Connected Nations report (2025), 60% of rural areas have access to a full fibre connection compared to 81% for urban areas. For rural SMEs, the divide is even greater with 58% having access to full fibre compared to 82% for urban SMEs</w:t>
      </w:r>
      <w:r>
        <w:rPr>
          <w:rStyle w:val="FootnoteReference"/>
          <w:rFonts w:eastAsia="Arial" w:cs="Arial"/>
        </w:rPr>
        <w:footnoteReference w:id="9"/>
      </w:r>
      <w:r>
        <w:rPr>
          <w:rFonts w:eastAsia="Arial" w:cs="Arial"/>
        </w:rPr>
        <w:t>.</w:t>
      </w:r>
    </w:p>
    <w:p w:rsidR="00A05F76">
      <w:pPr>
        <w:jc w:val="both"/>
        <w:rPr>
          <w:rFonts w:eastAsia="Arial" w:cs="Arial"/>
        </w:rPr>
      </w:pPr>
    </w:p>
    <w:p w:rsidR="00A05F76">
      <w:pPr>
        <w:pStyle w:val="ListParagraph"/>
        <w:numPr>
          <w:ilvl w:val="0"/>
          <w:numId w:val="1"/>
        </w:numPr>
        <w:jc w:val="both"/>
        <w:rPr>
          <w:rFonts w:eastAsia="Arial" w:cs="Arial"/>
        </w:rPr>
      </w:pPr>
      <w:r>
        <w:rPr>
          <w:rFonts w:eastAsia="Arial" w:cs="Arial"/>
        </w:rPr>
        <w:t xml:space="preserve">A further barrier is the lack of targeted investment. While demand exists, many regions lack the funding, data and collaborative frameworks needed to package, brand and promote their offer effectively. See our answer to Question 8 for more detail. </w:t>
      </w:r>
    </w:p>
    <w:p w:rsidR="00A05F76">
      <w:pPr>
        <w:jc w:val="both"/>
        <w:rPr>
          <w:rFonts w:eastAsia="Arial" w:cs="Arial"/>
        </w:rPr>
      </w:pPr>
    </w:p>
    <w:p w:rsidR="00A05F76">
      <w:pPr>
        <w:pStyle w:val="ListParagraph"/>
        <w:numPr>
          <w:ilvl w:val="0"/>
          <w:numId w:val="1"/>
        </w:numPr>
        <w:jc w:val="both"/>
        <w:rPr>
          <w:rFonts w:eastAsia="Arial" w:cs="Arial"/>
        </w:rPr>
      </w:pPr>
      <w:r>
        <w:rPr>
          <w:rFonts w:eastAsia="Arial" w:cs="Arial"/>
        </w:rPr>
        <w:t>Devolution presents an important opportunity to address challenges, particularly in relation to infrastructure, provided it is implemented effectively. Devolved powers can enable locally tailored responses to tourism barriers, allowing regions to align skills, transport, planning and promotion with their specific assets and constraints. However, devolution alone is not a solution. For it to unlock tourism demand, local and regional authorities must actively engage with tourism operators, develop realistic s</w:t>
      </w:r>
      <w:r>
        <w:rPr>
          <w:rFonts w:eastAsia="Arial" w:cs="Arial"/>
        </w:rPr>
        <w:t xml:space="preserve">trategies underpinned by robust economic evidence, and collaborate on effective destination marketing and development frameworks. </w:t>
      </w:r>
    </w:p>
    <w:p w:rsidR="00A05F76">
      <w:pPr>
        <w:jc w:val="both"/>
        <w:rPr>
          <w:rFonts w:eastAsia="Arial" w:cs="Arial"/>
        </w:rPr>
      </w:pPr>
    </w:p>
    <w:p w:rsidR="00A05F76">
      <w:pPr>
        <w:pStyle w:val="ListParagraph"/>
        <w:numPr>
          <w:ilvl w:val="0"/>
          <w:numId w:val="1"/>
        </w:numPr>
        <w:jc w:val="both"/>
      </w:pPr>
      <w:r>
        <w:rPr>
          <w:rFonts w:eastAsia="Arial" w:cs="Arial"/>
        </w:rPr>
        <w:t>There is substantial untapped potential to grow inbound tourism to the UK. In 2024, overseas residents made approximately 42.6 million visits to the UK, while UK residents made around 94.6 million visits abroad, more than double the inbound volume</w:t>
      </w:r>
      <w:r>
        <w:rPr>
          <w:rStyle w:val="FootnoteReference"/>
          <w:rFonts w:eastAsia="Arial" w:cs="Arial"/>
        </w:rPr>
        <w:footnoteReference w:id="10"/>
      </w:r>
      <w:r>
        <w:rPr>
          <w:rFonts w:eastAsia="Arial" w:cs="Arial"/>
        </w:rPr>
        <w:t xml:space="preserve">. </w:t>
      </w:r>
    </w:p>
    <w:p w:rsidR="00A05F76">
      <w:pPr>
        <w:jc w:val="both"/>
      </w:pPr>
    </w:p>
    <w:p w:rsidR="00A05F76">
      <w:pPr>
        <w:jc w:val="both"/>
        <w:rPr>
          <w:rFonts w:cs="Arial"/>
          <w:b/>
          <w:bCs/>
          <w:i/>
          <w:iCs/>
        </w:rPr>
      </w:pPr>
      <w:r>
        <w:rPr>
          <w:rFonts w:cs="Arial"/>
          <w:b/>
          <w:bCs/>
          <w:i/>
          <w:iCs/>
        </w:rPr>
        <w:t xml:space="preserve">Question 19: Are transport links, digital connectivity and cultural infrastructure adequate to support regional tourism growth? </w:t>
      </w:r>
    </w:p>
    <w:p w:rsidR="00A05F76">
      <w:pPr>
        <w:jc w:val="both"/>
      </w:pPr>
    </w:p>
    <w:p w:rsidR="00A05F76">
      <w:pPr>
        <w:pStyle w:val="ListParagraph"/>
        <w:numPr>
          <w:ilvl w:val="0"/>
          <w:numId w:val="1"/>
        </w:numPr>
        <w:jc w:val="both"/>
      </w:pPr>
      <w:r>
        <w:t xml:space="preserve">No. Please see our answers to Questions 1, 16 and 18 for more detail.  </w:t>
      </w:r>
    </w:p>
    <w:p w:rsidR="00A05F76">
      <w:pPr>
        <w:jc w:val="both"/>
      </w:pPr>
    </w:p>
    <w:p w:rsidR="00A05F76">
      <w:pPr>
        <w:jc w:val="both"/>
        <w:rPr>
          <w:rFonts w:cs="Arial"/>
          <w:b/>
          <w:bCs/>
          <w:i/>
          <w:iCs/>
        </w:rPr>
      </w:pPr>
      <w:r>
        <w:rPr>
          <w:rFonts w:cs="Arial"/>
          <w:b/>
          <w:bCs/>
          <w:i/>
          <w:iCs/>
        </w:rPr>
        <w:t>Question 20: What are the particular opportunities and challenges for tourism in: a) coastal areas, and b) rural areas </w:t>
      </w:r>
    </w:p>
    <w:p w:rsidR="00A05F76">
      <w:pPr>
        <w:jc w:val="both"/>
      </w:pPr>
    </w:p>
    <w:p w:rsidR="00A05F76">
      <w:pPr>
        <w:pStyle w:val="ListParagraph"/>
        <w:numPr>
          <w:ilvl w:val="0"/>
          <w:numId w:val="1"/>
        </w:numPr>
        <w:jc w:val="both"/>
      </w:pPr>
      <w:r>
        <w:t>The challenges faced in rural and coastal areas, predominantly, are a direct result of long-term underinvestment, unfavourable policy and highly seasonable demand. Collectively, these factors contribute to a rural productivity gap, with those further away from an urban centre having a productivity rate of 82.4% of England’s national average</w:t>
      </w:r>
      <w:r>
        <w:rPr>
          <w:rStyle w:val="FootnoteReference"/>
        </w:rPr>
        <w:footnoteReference w:id="11"/>
      </w:r>
      <w:r>
        <w:t xml:space="preserve">. This gap results in significant growth potential and economic opportunities remaining unrealised. </w:t>
      </w:r>
    </w:p>
    <w:p w:rsidR="00A05F76">
      <w:pPr>
        <w:jc w:val="both"/>
      </w:pPr>
    </w:p>
    <w:p w:rsidR="00A05F76">
      <w:pPr>
        <w:pStyle w:val="ListParagraph"/>
        <w:numPr>
          <w:ilvl w:val="0"/>
          <w:numId w:val="1"/>
        </w:numPr>
        <w:jc w:val="both"/>
      </w:pPr>
      <w:r>
        <w:t>Rural and coastal communities typically experience limited access to services, transport and as a result, employment opportunities. This contributes to high youth migration from rural areas into cities</w:t>
      </w:r>
      <w:r>
        <w:rPr>
          <w:rStyle w:val="FootnoteReference"/>
        </w:rPr>
        <w:footnoteReference w:id="12"/>
      </w:r>
      <w:r>
        <w:t xml:space="preserve">. This trend is particularly damaging given that many individuals begin their working lives within the hospitality and tourism sector. The migration of trained workers to urban areas in search of greater opportunities and higher renumeration reduces labour availability locally and exacerbates skills shortages within the sector. </w:t>
      </w:r>
    </w:p>
    <w:p w:rsidR="00A05F76">
      <w:pPr>
        <w:ind w:left="540" w:hanging="540"/>
        <w:jc w:val="both"/>
      </w:pPr>
    </w:p>
    <w:p w:rsidR="00A05F76">
      <w:pPr>
        <w:pStyle w:val="ListParagraph"/>
        <w:numPr>
          <w:ilvl w:val="0"/>
          <w:numId w:val="1"/>
        </w:numPr>
        <w:jc w:val="both"/>
      </w:pPr>
      <w:r>
        <w:t>The limited infrastructure also places additional strain on local services, especially within popular ‘honeypot’ destinations and during peak seasonal demand. Limited transport links paired with insufficient visitor infrastructure such as car parking, commonly leads to road congestion and fly parking. This frequently causes frustrations for residents, who appear to be more likely to object to planning applications for developments, even where such proposals aim to sensibly diversify and strengthen the touri</w:t>
      </w:r>
      <w:r>
        <w:t xml:space="preserve">sm offer. </w:t>
      </w:r>
    </w:p>
    <w:p w:rsidR="00A05F76">
      <w:pPr>
        <w:jc w:val="both"/>
      </w:pPr>
    </w:p>
    <w:p w:rsidR="00A05F76">
      <w:pPr>
        <w:pStyle w:val="ListParagraph"/>
        <w:numPr>
          <w:ilvl w:val="0"/>
          <w:numId w:val="1"/>
        </w:numPr>
        <w:jc w:val="both"/>
      </w:pPr>
      <w:r>
        <w:t>Please see our answer to Question 1 which outlines the lack of transport connectivity in rural and coastal areas and highlights how this creates serious challenges for tourism businesses seeking planning permission.</w:t>
      </w:r>
    </w:p>
    <w:p w:rsidR="00A05F76">
      <w:pPr>
        <w:jc w:val="both"/>
      </w:pPr>
    </w:p>
    <w:p w:rsidR="00A05F76">
      <w:pPr>
        <w:pStyle w:val="ListParagraph"/>
        <w:numPr>
          <w:ilvl w:val="0"/>
          <w:numId w:val="1"/>
        </w:numPr>
        <w:jc w:val="both"/>
      </w:pPr>
      <w:r>
        <w:t>Another significant challenge facing rural and urban areas is that tourism demand is mostly concentrated into short peak seasons. This puts pressure on services during peak season, straining transport networks, parking facilities, waste management, healthcare and emergency services. It also results in limited trading periods and prolonged off-season downturns, making cash flow unpredictable and investment limited, particularly for smaller independent operators. Year-round services and infrastructure investm</w:t>
      </w:r>
      <w:r>
        <w:t xml:space="preserve">ent also becomes harder to justify for businesses with seasonal demand. </w:t>
      </w:r>
    </w:p>
    <w:p w:rsidR="00A05F76">
      <w:pPr>
        <w:jc w:val="both"/>
      </w:pPr>
    </w:p>
    <w:p w:rsidR="00A05F76">
      <w:pPr>
        <w:jc w:val="both"/>
        <w:rPr>
          <w:rFonts w:cs="Arial"/>
          <w:b/>
          <w:bCs/>
          <w:i/>
          <w:iCs/>
        </w:rPr>
      </w:pPr>
      <w:r>
        <w:rPr>
          <w:rFonts w:cs="Arial"/>
          <w:b/>
          <w:bCs/>
          <w:i/>
          <w:iCs/>
        </w:rPr>
        <w:t>Question 21: How can the Government and tourism sector maximise the potential of cultural heritage and creative assets to attract visitors?</w:t>
      </w:r>
    </w:p>
    <w:p w:rsidR="00A05F76">
      <w:pPr>
        <w:jc w:val="both"/>
        <w:rPr>
          <w:rFonts w:cs="Arial"/>
          <w:b/>
          <w:bCs/>
          <w:i/>
          <w:iCs/>
        </w:rPr>
      </w:pPr>
    </w:p>
    <w:p w:rsidR="00A05F76">
      <w:pPr>
        <w:pStyle w:val="ListParagraph"/>
        <w:numPr>
          <w:ilvl w:val="0"/>
          <w:numId w:val="1"/>
        </w:numPr>
        <w:jc w:val="both"/>
      </w:pPr>
      <w:r>
        <w:t>The UK’s heritage is a major driver of its international appeal as a tourism destination. Heritage assets should therefore be placed at the heart of tourism promotion strategies.</w:t>
      </w:r>
      <w:r>
        <w:rPr>
          <w:rFonts w:ascii="Times New Roman" w:hAnsi="Times New Roman"/>
          <w:sz w:val="24"/>
          <w:lang w:eastAsia="en-GB"/>
        </w:rPr>
        <w:t xml:space="preserve"> </w:t>
      </w:r>
      <w:r>
        <w:t>Screen tourism is a crucial aspect of the tourism sector and provides a significant contribution to the tourism economy. According to a VisitBritain survey, conducted in 2023, 70% of visitors to the UK visited a location seen in a film or TV series while holidaying in the UK</w:t>
      </w:r>
      <w:r>
        <w:rPr>
          <w:rStyle w:val="FootnoteReference"/>
        </w:rPr>
        <w:footnoteReference w:id="13"/>
      </w:r>
      <w:r>
        <w:t>. The tourism sector has already demonstrated innovation in this area, with many heritage sites developing tailored visitor experiences linked to their on-screen roles. Themed tours and immersive offerings allow visitors to connect more deeply with both the location and the stories associated with it, adding value to the visitor experience and extending the economic benefits. Given the benefits that filming can bring to the tourism industry, the CLA asks that Permitted Development Rights which allows the te</w:t>
      </w:r>
      <w:r>
        <w:t>mporary use of buildings or land for film-making purposes is expanded to Article 2(3) land, specifically National Landscapes and National Parks.</w:t>
      </w:r>
    </w:p>
    <w:p w:rsidR="00A05F76">
      <w:pPr>
        <w:jc w:val="both"/>
      </w:pPr>
    </w:p>
    <w:p w:rsidR="00A05F76">
      <w:pPr>
        <w:pStyle w:val="ListParagraph"/>
        <w:numPr>
          <w:ilvl w:val="0"/>
          <w:numId w:val="1"/>
        </w:numPr>
        <w:jc w:val="both"/>
      </w:pPr>
      <w:r>
        <w:t>To maximise the industry’s potential, increased investment in marketing and international promotion is vital. Highlighting the UK’s unique combination of heritage and screen-linked experiences will help attract new audiences and encourage repeat visits. If supported by strategic funding, partnerships, and targeted campaigns, these efforts can make a significant contribution to achieving ambitious tourism growth targets, including increasing visitor numbers in the coming years.</w:t>
      </w:r>
    </w:p>
    <w:p w:rsidR="00A05F76">
      <w:pPr>
        <w:jc w:val="both"/>
      </w:pPr>
    </w:p>
    <w:p w:rsidR="00A05F76">
      <w:pPr>
        <w:pStyle w:val="ListParagraph"/>
        <w:numPr>
          <w:ilvl w:val="0"/>
          <w:numId w:val="1"/>
        </w:numPr>
        <w:jc w:val="both"/>
      </w:pPr>
      <w:r>
        <w:t>The planning system is vital to keeping heritage sites sustainable, but proposed NPPF changes risk undermining this, and we would welcome the Committee’s support in encouraging DCMS to press for key revisions. In particular, retaining the concept of “viability” is essential to ensure historic sites can be maintained and continue to contribute to growth; similarly, replacing “preservation” with “conservation” would better reflect the need for careful management and adaptation, something that is essential for</w:t>
      </w:r>
      <w:r>
        <w:t xml:space="preserve"> keeping historic buildings usable in modern times. Clearer and more consistent definitions and guidance is required, especially around terms such as “substantial harm”. </w:t>
      </w:r>
      <w:r>
        <w:t xml:space="preserve">There should be more of a focus on “irreversible harm” to allow necessary, sympathetic updates and improvements. </w:t>
      </w:r>
    </w:p>
    <w:p w:rsidR="00A05F76">
      <w:pPr>
        <w:jc w:val="both"/>
      </w:pPr>
    </w:p>
    <w:p w:rsidR="00A05F76">
      <w:pPr>
        <w:jc w:val="both"/>
      </w:pPr>
    </w:p>
    <w:p w:rsidR="00A05F76">
      <w:pPr>
        <w:jc w:val="both"/>
        <w:rPr>
          <w:rFonts w:cs="Arial"/>
          <w:b/>
          <w:bCs/>
          <w:i/>
          <w:iCs/>
        </w:rPr>
      </w:pPr>
      <w:r>
        <w:rPr>
          <w:rFonts w:cs="Arial"/>
          <w:b/>
          <w:bCs/>
          <w:i/>
          <w:iCs/>
        </w:rPr>
        <w:t>Question 22: What are the key issues facing the tourism workforce?</w:t>
      </w:r>
    </w:p>
    <w:p w:rsidR="00A05F76">
      <w:pPr>
        <w:jc w:val="both"/>
        <w:rPr>
          <w:rFonts w:cs="Arial"/>
          <w:b/>
          <w:bCs/>
          <w:i/>
          <w:iCs/>
        </w:rPr>
      </w:pPr>
    </w:p>
    <w:p w:rsidR="00A05F76">
      <w:pPr>
        <w:pStyle w:val="ListParagraph"/>
        <w:numPr>
          <w:ilvl w:val="0"/>
          <w:numId w:val="1"/>
        </w:numPr>
        <w:jc w:val="both"/>
      </w:pPr>
      <w:r>
        <w:t>Tourism is not typically considered a career opportunity in the UK. Employees tend to work in the industry on a temporary basis, between jobs or on a seasonal basis. In part, this is the result of the seasonal nature of tourism. Nevertheless, despite the skills sector plan, we have no specific skills framework. The ‘People’ working group under the Visitor Economy Advisory Council can revitalise tourism employment, skills and career opportunities. Together with Skills England, there is the real chance to put</w:t>
      </w:r>
      <w:r>
        <w:t xml:space="preserve"> in place a skills framework, which recognises the importance of rural tourism as a career. </w:t>
      </w:r>
    </w:p>
    <w:p w:rsidR="00A05F76">
      <w:pPr>
        <w:jc w:val="both"/>
        <w:rPr>
          <w:shd w:val="clear" w:color="auto" w:fill="FFFF00"/>
        </w:rPr>
      </w:pPr>
    </w:p>
    <w:p w:rsidR="00A05F76">
      <w:pPr>
        <w:pStyle w:val="ListParagraph"/>
        <w:numPr>
          <w:ilvl w:val="0"/>
          <w:numId w:val="1"/>
        </w:numPr>
        <w:jc w:val="both"/>
      </w:pPr>
      <w:r>
        <w:t xml:space="preserve">Many CLA members running businesses in sectors such as tourism remark the difficulties they face recruiting and retaining staff to succeed and grow because of a lack of housing affordability and availability. This should be addressed through mandatory surveys of all local businesses to be undertaken when working out local housing needs. The calculation should include the staffing needs of local businesses rather than just householders. </w:t>
      </w:r>
    </w:p>
    <w:p w:rsidR="00A05F76">
      <w:pPr>
        <w:pStyle w:val="ListParagraph"/>
        <w:ind w:left="540"/>
        <w:jc w:val="both"/>
      </w:pPr>
    </w:p>
    <w:p w:rsidR="00A05F76">
      <w:pPr>
        <w:numPr>
          <w:ilvl w:val="0"/>
          <w:numId w:val="1"/>
        </w:numPr>
        <w:jc w:val="both"/>
        <w:rPr>
          <w:rFonts w:cs="Arial"/>
          <w:b/>
          <w:bCs/>
          <w:i/>
          <w:iCs/>
        </w:rPr>
      </w:pPr>
      <w:r>
        <w:rPr>
          <w:rFonts w:cs="Arial"/>
          <w:b/>
          <w:bCs/>
          <w:i/>
          <w:iCs/>
        </w:rPr>
        <w:t>Question 23: How have immigration and employment policies and legislation affected the tourism sector? </w:t>
      </w:r>
    </w:p>
    <w:p w:rsidR="00A05F76">
      <w:pPr>
        <w:jc w:val="both"/>
      </w:pPr>
    </w:p>
    <w:p w:rsidR="00A05F76">
      <w:pPr>
        <w:pStyle w:val="ListParagraph"/>
        <w:numPr>
          <w:ilvl w:val="0"/>
          <w:numId w:val="1"/>
        </w:numPr>
        <w:jc w:val="both"/>
      </w:pPr>
      <w:r>
        <w:t xml:space="preserve">Question not answered. </w:t>
      </w:r>
    </w:p>
    <w:p w:rsidR="00A05F76" w:rsidP="000E46BC">
      <w:pPr>
        <w:pageBreakBefore/>
        <w:spacing w:after="160" w:line="256" w:lineRule="auto"/>
        <w:jc w:val="both"/>
      </w:pPr>
    </w:p>
    <w:p w:rsidR="00A05F76">
      <w:pPr>
        <w:jc w:val="both"/>
      </w:pPr>
    </w:p>
    <w:tbl>
      <w:tblPr>
        <w:tblW w:w="9026" w:type="dxa"/>
        <w:tblCellMar>
          <w:left w:w="10" w:type="dxa"/>
          <w:right w:w="10" w:type="dxa"/>
        </w:tblCellMar>
        <w:tblLook w:val="0000"/>
      </w:tblPr>
      <w:tblGrid>
        <w:gridCol w:w="4628"/>
        <w:gridCol w:w="4398"/>
      </w:tblGrid>
      <w:tr>
        <w:tblPrEx>
          <w:tblW w:w="9026" w:type="dxa"/>
          <w:tblCellMar>
            <w:left w:w="10" w:type="dxa"/>
            <w:right w:w="10" w:type="dxa"/>
          </w:tblCellMar>
          <w:tblLook w:val="0000"/>
        </w:tblPrEx>
        <w:tc>
          <w:tcPr>
            <w:tcW w:w="9026" w:type="dxa"/>
            <w:gridSpan w:val="2"/>
            <w:tcBorders>
              <w:top w:val="single" w:sz="12" w:space="0" w:color="000000"/>
            </w:tcBorders>
            <w:tcMar>
              <w:top w:w="0" w:type="dxa"/>
              <w:left w:w="108" w:type="dxa"/>
              <w:bottom w:w="0" w:type="dxa"/>
              <w:right w:w="108" w:type="dxa"/>
            </w:tcMar>
          </w:tcPr>
          <w:p w:rsidR="00A05F76">
            <w:pPr>
              <w:autoSpaceDE w:val="0"/>
              <w:jc w:val="both"/>
              <w:rPr>
                <w:rFonts w:cs="Arial"/>
                <w:color w:val="000000"/>
                <w:sz w:val="24"/>
                <w:lang w:eastAsia="en-GB"/>
              </w:rPr>
            </w:pPr>
          </w:p>
          <w:p w:rsidR="00A05F76">
            <w:pPr>
              <w:autoSpaceDE w:val="0"/>
              <w:jc w:val="both"/>
            </w:pPr>
            <w:r>
              <w:rPr>
                <w:rFonts w:cs="Arial"/>
                <w:b/>
                <w:bCs/>
                <w:color w:val="000000"/>
                <w:sz w:val="24"/>
                <w:lang w:eastAsia="en-GB"/>
              </w:rPr>
              <w:t xml:space="preserve">For further information please contact: </w:t>
            </w:r>
          </w:p>
        </w:tc>
      </w:tr>
      <w:tr>
        <w:tblPrEx>
          <w:tblW w:w="9026" w:type="dxa"/>
          <w:tblCellMar>
            <w:left w:w="10" w:type="dxa"/>
            <w:right w:w="10" w:type="dxa"/>
          </w:tblCellMar>
          <w:tblLook w:val="0000"/>
        </w:tblPrEx>
        <w:tc>
          <w:tcPr>
            <w:tcW w:w="4628" w:type="dxa"/>
            <w:tcMar>
              <w:top w:w="0" w:type="dxa"/>
              <w:left w:w="108" w:type="dxa"/>
              <w:bottom w:w="0" w:type="dxa"/>
              <w:right w:w="108" w:type="dxa"/>
            </w:tcMar>
          </w:tcPr>
          <w:p w:rsidR="00A05F76">
            <w:pPr>
              <w:jc w:val="both"/>
              <w:rPr>
                <w:sz w:val="24"/>
                <w:lang w:eastAsia="en-GB"/>
              </w:rPr>
            </w:pPr>
          </w:p>
          <w:p w:rsidR="00A05F76">
            <w:pPr>
              <w:autoSpaceDE w:val="0"/>
              <w:jc w:val="both"/>
              <w:rPr>
                <w:rFonts w:cs="Arial"/>
                <w:sz w:val="24"/>
                <w:lang w:eastAsia="en-GB"/>
              </w:rPr>
            </w:pPr>
            <w:r>
              <w:rPr>
                <w:rFonts w:cs="Arial"/>
                <w:sz w:val="24"/>
                <w:lang w:eastAsia="en-GB"/>
              </w:rPr>
              <w:t xml:space="preserve">Peter Fage </w:t>
            </w:r>
          </w:p>
          <w:p w:rsidR="00A05F76">
            <w:pPr>
              <w:autoSpaceDE w:val="0"/>
              <w:jc w:val="both"/>
              <w:rPr>
                <w:rFonts w:cs="Arial"/>
                <w:sz w:val="24"/>
                <w:lang w:eastAsia="en-GB"/>
              </w:rPr>
            </w:pPr>
            <w:r>
              <w:rPr>
                <w:rFonts w:cs="Arial"/>
                <w:sz w:val="24"/>
                <w:lang w:eastAsia="en-GB"/>
              </w:rPr>
              <w:t xml:space="preserve">Senior Public Affairs Manager </w:t>
            </w:r>
          </w:p>
          <w:p w:rsidR="00A05F76">
            <w:pPr>
              <w:autoSpaceDE w:val="0"/>
              <w:jc w:val="both"/>
              <w:rPr>
                <w:rFonts w:cs="Arial"/>
                <w:sz w:val="24"/>
                <w:lang w:eastAsia="en-GB"/>
              </w:rPr>
            </w:pPr>
          </w:p>
          <w:p w:rsidR="00A05F76">
            <w:pPr>
              <w:autoSpaceDE w:val="0"/>
              <w:jc w:val="both"/>
              <w:rPr>
                <w:rFonts w:cs="Arial"/>
                <w:sz w:val="24"/>
                <w:lang w:eastAsia="en-GB"/>
              </w:rPr>
            </w:pPr>
            <w:r>
              <w:rPr>
                <w:rFonts w:cs="Arial"/>
                <w:sz w:val="24"/>
                <w:lang w:eastAsia="en-GB"/>
              </w:rPr>
              <w:t xml:space="preserve">Avril Roberts </w:t>
            </w:r>
          </w:p>
          <w:p w:rsidR="00A05F76">
            <w:pPr>
              <w:autoSpaceDE w:val="0"/>
              <w:jc w:val="both"/>
              <w:rPr>
                <w:rFonts w:cs="Arial"/>
                <w:sz w:val="24"/>
                <w:lang w:eastAsia="en-GB"/>
              </w:rPr>
            </w:pPr>
            <w:r>
              <w:rPr>
                <w:rFonts w:cs="Arial"/>
                <w:sz w:val="24"/>
                <w:lang w:eastAsia="en-GB"/>
              </w:rPr>
              <w:t xml:space="preserve">Senior Policy Adviser </w:t>
            </w:r>
          </w:p>
          <w:p w:rsidR="00A05F76">
            <w:pPr>
              <w:autoSpaceDE w:val="0"/>
              <w:jc w:val="both"/>
            </w:pPr>
          </w:p>
          <w:p w:rsidR="00A05F76">
            <w:pPr>
              <w:tabs>
                <w:tab w:val="left" w:pos="5040"/>
              </w:tabs>
              <w:autoSpaceDE w:val="0"/>
              <w:jc w:val="both"/>
              <w:rPr>
                <w:rFonts w:cs="Arial"/>
                <w:color w:val="000000"/>
                <w:sz w:val="24"/>
                <w:lang w:val="it-IT" w:eastAsia="en-GB"/>
              </w:rPr>
            </w:pPr>
          </w:p>
          <w:p w:rsidR="00A05F76">
            <w:pPr>
              <w:autoSpaceDE w:val="0"/>
              <w:jc w:val="both"/>
            </w:pPr>
            <w:r>
              <w:rPr>
                <w:rFonts w:cs="Arial"/>
                <w:color w:val="000000"/>
                <w:sz w:val="24"/>
                <w:lang w:val="it-IT" w:eastAsia="en-GB"/>
              </w:rPr>
              <w:t>CLA</w:t>
            </w:r>
          </w:p>
          <w:p w:rsidR="00A05F76">
            <w:pPr>
              <w:autoSpaceDE w:val="0"/>
              <w:jc w:val="both"/>
            </w:pPr>
            <w:r>
              <w:fldChar w:fldCharType="begin"/>
            </w:r>
            <w:r>
              <w:instrText xml:space="preserve"> HYPERLINK "http://www.cla.org.uk" </w:instrText>
            </w:r>
            <w:r>
              <w:fldChar w:fldCharType="separate"/>
            </w:r>
            <w:r>
              <w:rPr>
                <w:rFonts w:cs="Arial"/>
                <w:b/>
                <w:bCs/>
                <w:sz w:val="24"/>
                <w:u w:val="single"/>
                <w:lang w:eastAsia="en-GB"/>
              </w:rPr>
              <w:t>www.cla.org.uk</w:t>
            </w:r>
            <w:r>
              <w:fldChar w:fldCharType="end"/>
            </w:r>
          </w:p>
        </w:tc>
        <w:tc>
          <w:tcPr>
            <w:tcW w:w="4398" w:type="dxa"/>
            <w:tcMar>
              <w:top w:w="0" w:type="dxa"/>
              <w:left w:w="108" w:type="dxa"/>
              <w:bottom w:w="0" w:type="dxa"/>
              <w:right w:w="108" w:type="dxa"/>
            </w:tcMar>
          </w:tcPr>
          <w:p w:rsidR="00A05F76">
            <w:pPr>
              <w:autoSpaceDE w:val="0"/>
              <w:jc w:val="both"/>
              <w:rPr>
                <w:rFonts w:cs="Arial"/>
                <w:color w:val="000000"/>
                <w:sz w:val="24"/>
                <w:lang w:eastAsia="en-GB"/>
              </w:rPr>
            </w:pPr>
          </w:p>
        </w:tc>
      </w:tr>
      <w:tr>
        <w:tblPrEx>
          <w:tblW w:w="9026" w:type="dxa"/>
          <w:tblCellMar>
            <w:left w:w="10" w:type="dxa"/>
            <w:right w:w="10" w:type="dxa"/>
          </w:tblCellMar>
          <w:tblLook w:val="0000"/>
        </w:tblPrEx>
        <w:tc>
          <w:tcPr>
            <w:tcW w:w="9026" w:type="dxa"/>
            <w:gridSpan w:val="2"/>
            <w:tcBorders>
              <w:bottom w:val="single" w:sz="12" w:space="0" w:color="000000"/>
            </w:tcBorders>
            <w:tcMar>
              <w:top w:w="0" w:type="dxa"/>
              <w:left w:w="108" w:type="dxa"/>
              <w:bottom w:w="0" w:type="dxa"/>
              <w:right w:w="108" w:type="dxa"/>
            </w:tcMar>
          </w:tcPr>
          <w:p w:rsidR="00A05F76">
            <w:pPr>
              <w:autoSpaceDE w:val="0"/>
              <w:jc w:val="both"/>
              <w:rPr>
                <w:rFonts w:cs="Arial"/>
                <w:color w:val="000000"/>
                <w:sz w:val="24"/>
                <w:lang w:eastAsia="en-GB"/>
              </w:rPr>
            </w:pPr>
          </w:p>
        </w:tc>
      </w:tr>
    </w:tbl>
    <w:p w:rsidR="00A05F76">
      <w:pPr>
        <w:jc w:val="both"/>
      </w:pPr>
    </w:p>
    <w:p w:rsidR="00A05F76">
      <w:pPr>
        <w:jc w:val="both"/>
      </w:pPr>
    </w:p>
    <w:p w:rsidR="00A05F76">
      <w:pPr>
        <w:jc w:val="both"/>
      </w:pPr>
    </w:p>
    <w:sectPr w:rsidSect="000E46BC">
      <w:headerReference w:type="default" r:id="rId5"/>
      <w:footerReference w:type="default" r:id="rId6"/>
      <w:headerReference w:type="first" r:id="rId7"/>
      <w:footerReference w:type="first" r:id="rId8"/>
      <w:pgSz w:w="11906" w:h="16838"/>
      <w:pgMar w:top="993" w:right="1440" w:bottom="1440" w:left="1440"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roman"/>
    <w:pitch w:val="default"/>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F76">
    <w:pPr>
      <w:pStyle w:val="Footer"/>
      <w:jc w:val="center"/>
    </w:pPr>
    <w:r>
      <w:fldChar w:fldCharType="begin"/>
    </w:r>
    <w:r>
      <w:instrText xml:space="preserve"> PAGE </w:instrText>
    </w:r>
    <w:r>
      <w:fldChar w:fldCharType="separate"/>
    </w:r>
    <w:r>
      <w:t>5</w:t>
    </w:r>
    <w:r>
      <w:fldChar w:fldCharType="end"/>
    </w:r>
  </w:p>
  <w:p w:rsidR="00A05F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F76">
    <w:pPr>
      <w:pStyle w:val="Footer"/>
      <w:jc w:val="center"/>
    </w:pPr>
    <w:r>
      <w:fldChar w:fldCharType="begin"/>
    </w:r>
    <w:r>
      <w:instrText xml:space="preserve"> PAGE </w:instrText>
    </w:r>
    <w:r>
      <w:fldChar w:fldCharType="separate"/>
    </w:r>
    <w:r>
      <w:t>1</w:t>
    </w:r>
    <w:r>
      <w:fldChar w:fldCharType="end"/>
    </w:r>
  </w:p>
  <w:p w:rsidR="00A05F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05F76">
      <w:r>
        <w:rPr>
          <w:color w:val="000000"/>
        </w:rPr>
        <w:separator/>
      </w:r>
    </w:p>
  </w:footnote>
  <w:footnote w:type="continuationSeparator" w:id="1">
    <w:p w:rsidR="00A05F76">
      <w:r>
        <w:continuationSeparator/>
      </w:r>
    </w:p>
  </w:footnote>
  <w:footnote w:id="2">
    <w:p w:rsidR="00A05F76">
      <w:pPr>
        <w:pStyle w:val="FootnoteText"/>
      </w:pPr>
      <w:r>
        <w:rPr>
          <w:rStyle w:val="FootnoteReference"/>
        </w:rPr>
        <w:footnoteRef/>
      </w:r>
      <w:r>
        <w:t xml:space="preserve"> </w:t>
      </w:r>
      <w:r>
        <w:fldChar w:fldCharType="begin"/>
      </w:r>
      <w:r>
        <w:instrText xml:space="preserve"> HYPERLINK "https://www.weforum.org/publications/travel-tourism-development-index-2024/interactive-data-and-economy-profiles-afaa00a59c/" </w:instrText>
      </w:r>
      <w:r>
        <w:fldChar w:fldCharType="separate"/>
      </w:r>
      <w:r>
        <w:rPr>
          <w:rStyle w:val="Hyperlink"/>
        </w:rPr>
        <w:t>https://www.weforum.org/publications/travel-tourism-development-index-2024/interactive-data-and-economy-profiles-afaa00a59c/</w:t>
      </w:r>
      <w:r>
        <w:fldChar w:fldCharType="end"/>
      </w:r>
      <w:r>
        <w:t xml:space="preserve"> </w:t>
      </w:r>
    </w:p>
  </w:footnote>
  <w:footnote w:id="3">
    <w:p w:rsidR="00A05F76">
      <w:pPr>
        <w:pStyle w:val="FootnoteText"/>
      </w:pPr>
      <w:r>
        <w:rPr>
          <w:rStyle w:val="FootnoteReference"/>
        </w:rPr>
        <w:footnoteRef/>
      </w:r>
      <w:r>
        <w:t xml:space="preserve"> </w:t>
      </w:r>
      <w:r>
        <w:fldChar w:fldCharType="begin"/>
      </w:r>
      <w:r>
        <w:instrText xml:space="preserve"> HYPERLINK "https://www.visitbritain.org/our-annual-performance-and-reporting#:~:text=We%20attract%20more%20visitors%2C%20increase,in%20delegate%20spend%20in%20England" </w:instrText>
      </w:r>
      <w:r>
        <w:fldChar w:fldCharType="separate"/>
      </w:r>
      <w:r>
        <w:rPr>
          <w:rStyle w:val="Hyperlink"/>
        </w:rPr>
        <w:t>https://www.visitbritain.org/our-annual-performance-and-reporting#:~:text=We%20attract%20more%20visitors%2C%20increase,in%20delegate%20spend%20in%20England</w:t>
      </w:r>
      <w:r>
        <w:fldChar w:fldCharType="end"/>
      </w:r>
      <w:r>
        <w:t xml:space="preserve"> </w:t>
      </w:r>
    </w:p>
  </w:footnote>
  <w:footnote w:id="4">
    <w:p w:rsidR="00A05F76">
      <w:pPr>
        <w:pStyle w:val="FootnoteText"/>
      </w:pPr>
      <w:r>
        <w:rPr>
          <w:rStyle w:val="FootnoteReference"/>
        </w:rPr>
        <w:footnoteRef/>
      </w:r>
      <w:r>
        <w:t xml:space="preserve"> </w:t>
      </w:r>
      <w:r>
        <w:fldChar w:fldCharType="begin"/>
      </w:r>
      <w:r>
        <w:instrText xml:space="preserve"> HYPERLINK "https://www.visitbritain.org/our-annual-performance-and-reporting#:~:text=We%20attract%20more%20visitors%2C%20increase,in%20delegate%20spend%20in%20England" </w:instrText>
      </w:r>
      <w:r>
        <w:fldChar w:fldCharType="separate"/>
      </w:r>
      <w:r>
        <w:rPr>
          <w:rStyle w:val="Hyperlink"/>
        </w:rPr>
        <w:t>https://www.visitbritain.org/our-annual-performance-and-reporting#:~:text=We%20attract%20more%20visitors%2C%20increase,in%20delegate%20spend%20in%20England</w:t>
      </w:r>
      <w:r>
        <w:fldChar w:fldCharType="end"/>
      </w:r>
      <w:r>
        <w:t xml:space="preserve"> </w:t>
      </w:r>
    </w:p>
  </w:footnote>
  <w:footnote w:id="5">
    <w:p w:rsidR="00A05F76">
      <w:pPr>
        <w:pStyle w:val="FootnoteText"/>
      </w:pPr>
      <w:r>
        <w:rPr>
          <w:rStyle w:val="FootnoteReference"/>
        </w:rPr>
        <w:footnoteRef/>
      </w:r>
      <w:r>
        <w:t xml:space="preserve"> </w:t>
      </w:r>
      <w:r>
        <w:fldChar w:fldCharType="begin"/>
      </w:r>
      <w:r>
        <w:instrText xml:space="preserve"> HYPERLINK "https://www.visitbritain.org/who-we-are#our-business-plans" </w:instrText>
      </w:r>
      <w:r>
        <w:fldChar w:fldCharType="separate"/>
      </w:r>
      <w:r>
        <w:rPr>
          <w:rStyle w:val="Hyperlink"/>
        </w:rPr>
        <w:t>https://www.visitbritain.org/who-we-are#our-business-plans</w:t>
      </w:r>
      <w:r>
        <w:fldChar w:fldCharType="end"/>
      </w:r>
    </w:p>
  </w:footnote>
  <w:footnote w:id="6">
    <w:p w:rsidR="00A05F76">
      <w:pPr>
        <w:pStyle w:val="FootnoteText"/>
      </w:pPr>
      <w:r>
        <w:rPr>
          <w:rStyle w:val="FootnoteReference"/>
        </w:rPr>
        <w:footnoteRef/>
      </w:r>
      <w:r>
        <w:t xml:space="preserve"> </w:t>
      </w:r>
      <w:r>
        <w:fldChar w:fldCharType="begin"/>
      </w:r>
      <w:r>
        <w:instrText xml:space="preserve"> HYPERLINK "https://audit.scot/uploads/2026-01/aar_2425_visitscotland.pdf" </w:instrText>
      </w:r>
      <w:r>
        <w:fldChar w:fldCharType="separate"/>
      </w:r>
      <w:r>
        <w:rPr>
          <w:rStyle w:val="Hyperlink"/>
        </w:rPr>
        <w:t>https://audit.scot/uploads/2026-01/aar_2425_visitscotland.pdf</w:t>
      </w:r>
      <w:r>
        <w:fldChar w:fldCharType="end"/>
      </w:r>
      <w:r>
        <w:t xml:space="preserve"> </w:t>
      </w:r>
    </w:p>
    <w:p w:rsidR="00A05F76">
      <w:pPr>
        <w:pStyle w:val="FootnoteText"/>
      </w:pPr>
    </w:p>
  </w:footnote>
  <w:footnote w:id="7">
    <w:p w:rsidR="00A05F76">
      <w:pPr>
        <w:pStyle w:val="FootnoteText"/>
      </w:pPr>
      <w:r>
        <w:rPr>
          <w:rStyle w:val="FootnoteReference"/>
        </w:rPr>
        <w:footnoteRef/>
      </w:r>
      <w:r>
        <w:t xml:space="preserve"> </w:t>
      </w:r>
      <w:r>
        <w:fldChar w:fldCharType="begin"/>
      </w:r>
      <w:r>
        <w:instrText xml:space="preserve"> HYPERLINK "https://www.visitbritain.org/our-annual-performance-and-reporting#:~:text=We%20attract%20more%20visitors%2C%20increase,in%20delegate%20spend%20in%20England" </w:instrText>
      </w:r>
      <w:r>
        <w:fldChar w:fldCharType="separate"/>
      </w:r>
      <w:r>
        <w:rPr>
          <w:rStyle w:val="Hyperlink"/>
        </w:rPr>
        <w:t>https://www.visitbritain.org/our-annual-performance-and-reporting#:~:text=We%20attract%20more%20visitors%2C%20increase,in%20delegate%20spend%20in%20England</w:t>
      </w:r>
      <w:r>
        <w:fldChar w:fldCharType="end"/>
      </w:r>
      <w:r>
        <w:t xml:space="preserve"> </w:t>
      </w:r>
    </w:p>
  </w:footnote>
  <w:footnote w:id="8">
    <w:p w:rsidR="00A05F76">
      <w:pPr>
        <w:pStyle w:val="FootnoteText"/>
      </w:pPr>
      <w:r>
        <w:rPr>
          <w:rStyle w:val="FootnoteReference"/>
        </w:rPr>
        <w:footnoteRef/>
      </w:r>
      <w:r>
        <w:t xml:space="preserve"> </w:t>
      </w:r>
      <w:r>
        <w:fldChar w:fldCharType="begin"/>
      </w:r>
      <w:r>
        <w:instrText xml:space="preserve"> HYPERLINK "https://www.legislation.gov.uk/uksi/2015/596/schedule/2" </w:instrText>
      </w:r>
      <w:r>
        <w:fldChar w:fldCharType="separate"/>
      </w:r>
      <w:r>
        <w:rPr>
          <w:rStyle w:val="Hyperlink"/>
        </w:rPr>
        <w:t>https://www.legislation.gov.uk/uksi/2015/596/schedule/2</w:t>
      </w:r>
      <w:r>
        <w:fldChar w:fldCharType="end"/>
      </w:r>
      <w:r>
        <w:t xml:space="preserve"> </w:t>
      </w:r>
    </w:p>
  </w:footnote>
  <w:footnote w:id="9">
    <w:p w:rsidR="00A05F76">
      <w:pPr>
        <w:pStyle w:val="FootnoteText"/>
      </w:pPr>
      <w:r>
        <w:rPr>
          <w:rStyle w:val="FootnoteReference"/>
        </w:rPr>
        <w:footnoteRef/>
      </w:r>
      <w:r>
        <w:t xml:space="preserve"> </w:t>
      </w:r>
      <w:r>
        <w:fldChar w:fldCharType="begin"/>
      </w:r>
      <w:r>
        <w:instrText xml:space="preserve"> HYPERLINK "https://www.ofcom.org.uk/siteassets/resources/documents/research-and-data/multi-sector/infrastructure-research/connected-nations-2025/connected-nations-uk-report-2025.pdf?v=407947" </w:instrText>
      </w:r>
      <w:r>
        <w:fldChar w:fldCharType="separate"/>
      </w:r>
      <w:r>
        <w:rPr>
          <w:rStyle w:val="Hyperlink"/>
        </w:rPr>
        <w:t>https://www.ofcom.org.uk/siteassets/resources/documents/research-and-data/multi-sector/infrastructure-research/connected-nations-2025/connected-nations-uk-report-2025.pdf?v=407947</w:t>
      </w:r>
      <w:r>
        <w:fldChar w:fldCharType="end"/>
      </w:r>
      <w:r>
        <w:t xml:space="preserve"> </w:t>
      </w:r>
    </w:p>
  </w:footnote>
  <w:footnote w:id="10">
    <w:p w:rsidR="00A05F76">
      <w:pPr>
        <w:pStyle w:val="FootnoteText"/>
      </w:pPr>
      <w:r>
        <w:rPr>
          <w:rStyle w:val="FootnoteReference"/>
        </w:rPr>
        <w:footnoteRef/>
      </w:r>
      <w:r>
        <w:t xml:space="preserve"> </w:t>
      </w:r>
      <w:r>
        <w:fldChar w:fldCharType="begin"/>
      </w:r>
      <w:r>
        <w:instrText xml:space="preserve"> HYPERLINK "https://www.ons.gov.uk/peoplepopulationandcommunity/leisureandtourism/articles/traveltrends/2024" </w:instrText>
      </w:r>
      <w:r>
        <w:fldChar w:fldCharType="separate"/>
      </w:r>
      <w:r>
        <w:rPr>
          <w:rStyle w:val="Hyperlink"/>
        </w:rPr>
        <w:t>https://www.ons.gov.uk/peoplepopulationandcommunity/leisureandtourism/articles/traveltrends/2024</w:t>
      </w:r>
      <w:r>
        <w:fldChar w:fldCharType="end"/>
      </w:r>
      <w:r>
        <w:t xml:space="preserve"> </w:t>
      </w:r>
    </w:p>
  </w:footnote>
  <w:footnote w:id="11">
    <w:p w:rsidR="00A05F76">
      <w:pPr>
        <w:pStyle w:val="FootnoteText"/>
      </w:pPr>
      <w:r>
        <w:rPr>
          <w:rStyle w:val="FootnoteReference"/>
        </w:rPr>
        <w:footnoteRef/>
      </w:r>
      <w:r>
        <w:t xml:space="preserve"> </w:t>
      </w:r>
      <w:r>
        <w:fldChar w:fldCharType="begin"/>
      </w:r>
      <w:r>
        <w:instrText xml:space="preserve"> HYPERLINK "https://assets.publishing.service.gov.uk/media/698db176492ea446ea7f42f8/7_Rural_Economic_Bulletin_11_02_2026_v2.pdf" </w:instrText>
      </w:r>
      <w:r>
        <w:fldChar w:fldCharType="separate"/>
      </w:r>
      <w:r>
        <w:rPr>
          <w:rStyle w:val="Hyperlink"/>
        </w:rPr>
        <w:t>https://assets.publishing.service.gov.uk/media/698db176492ea446ea7f42f8/7_Rural_Economic_Bulletin_11_02_2026_v2.pdf</w:t>
      </w:r>
      <w:r>
        <w:fldChar w:fldCharType="end"/>
      </w:r>
      <w:r>
        <w:t xml:space="preserve"> </w:t>
      </w:r>
    </w:p>
  </w:footnote>
  <w:footnote w:id="12">
    <w:p w:rsidR="00A05F76">
      <w:pPr>
        <w:pStyle w:val="FootnoteText"/>
      </w:pPr>
      <w:r>
        <w:rPr>
          <w:rStyle w:val="FootnoteReference"/>
        </w:rPr>
        <w:footnoteRef/>
      </w:r>
      <w:r>
        <w:t xml:space="preserve"> </w:t>
      </w:r>
      <w:r>
        <w:fldChar w:fldCharType="begin"/>
      </w:r>
      <w:r>
        <w:instrText xml:space="preserve"> HYPERLINK "https://news.virginmediao2.co.uk/countryside-in-crisis-rural-areas-could-lose-over-a-third-of-residents-in-the-next-twelve-months/" </w:instrText>
      </w:r>
      <w:r>
        <w:fldChar w:fldCharType="separate"/>
      </w:r>
      <w:r>
        <w:rPr>
          <w:rStyle w:val="Hyperlink"/>
        </w:rPr>
        <w:t>https://news.virginmediao2.co.uk/countryside-in-crisis-rural-areas-could-lose-over-a-third-of-residents-in-the-next-twelve-months/</w:t>
      </w:r>
      <w:r>
        <w:fldChar w:fldCharType="end"/>
      </w:r>
      <w:r>
        <w:t xml:space="preserve"> </w:t>
      </w:r>
    </w:p>
  </w:footnote>
  <w:footnote w:id="13">
    <w:p w:rsidR="00A05F76">
      <w:pPr>
        <w:pStyle w:val="FootnoteText"/>
      </w:pPr>
      <w:r>
        <w:rPr>
          <w:rStyle w:val="FootnoteReference"/>
        </w:rPr>
        <w:footnoteRef/>
      </w:r>
      <w:r>
        <w:t xml:space="preserve"> </w:t>
      </w:r>
      <w:r>
        <w:fldChar w:fldCharType="begin"/>
      </w:r>
      <w:r>
        <w:instrText xml:space="preserve"> HYPERLINK "https://www.visitbritain.org/research-insights/screen-tourism" </w:instrText>
      </w:r>
      <w:r>
        <w:fldChar w:fldCharType="separate"/>
      </w:r>
      <w:r>
        <w:rPr>
          <w:rStyle w:val="Hyperlink"/>
        </w:rPr>
        <w:t>https://www.visitbritain.org/research-insights/screen-tourism</w:t>
      </w:r>
      <w:r>
        <w:fldChar w:fldCharType="end"/>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F76">
    <w:pPr>
      <w:pStyle w:val="Header"/>
    </w:pPr>
  </w:p>
  <w:p w:rsidR="00A05F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606" w:type="dxa"/>
      <w:tblCellMar>
        <w:left w:w="10" w:type="dxa"/>
        <w:right w:w="10" w:type="dxa"/>
      </w:tblCellMar>
      <w:tblLook w:val="0000"/>
    </w:tblPr>
    <w:tblGrid>
      <w:gridCol w:w="2340"/>
      <w:gridCol w:w="7266"/>
    </w:tblGrid>
    <w:tr>
      <w:tblPrEx>
        <w:tblW w:w="9606" w:type="dxa"/>
        <w:tblCellMar>
          <w:left w:w="10" w:type="dxa"/>
          <w:right w:w="10" w:type="dxa"/>
        </w:tblCellMar>
        <w:tblLook w:val="0000"/>
      </w:tblPrEx>
      <w:tc>
        <w:tcPr>
          <w:tcW w:w="2340" w:type="dxa"/>
          <w:tcMar>
            <w:top w:w="0" w:type="dxa"/>
            <w:left w:w="108" w:type="dxa"/>
            <w:bottom w:w="0" w:type="dxa"/>
            <w:right w:w="108" w:type="dxa"/>
          </w:tcMar>
        </w:tcPr>
        <w:p w:rsidR="00A05F76">
          <w:pPr>
            <w:pStyle w:val="Header"/>
          </w:pPr>
        </w:p>
      </w:tc>
      <w:tc>
        <w:tcPr>
          <w:tcW w:w="7266" w:type="dxa"/>
          <w:tcMar>
            <w:top w:w="0" w:type="dxa"/>
            <w:left w:w="108" w:type="dxa"/>
            <w:bottom w:w="0" w:type="dxa"/>
            <w:right w:w="108" w:type="dxa"/>
          </w:tcMar>
        </w:tcPr>
        <w:p w:rsidR="00A05F76">
          <w:pPr>
            <w:pStyle w:val="Header"/>
            <w:jc w:val="right"/>
          </w:pPr>
        </w:p>
      </w:tc>
    </w:tr>
  </w:tbl>
  <w:p w:rsidR="00A05F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670485"/>
    <w:multiLevelType w:val="multilevel"/>
    <w:tmpl w:val="27704012"/>
    <w:lvl w:ilvl="0">
      <w:start w:val="0"/>
      <w:numFmt w:val="bullet"/>
      <w:lvlText w:val=""/>
      <w:lvlJc w:val="left"/>
      <w:pPr>
        <w:ind w:left="540" w:hanging="54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DE4384"/>
    <w:multiLevelType w:val="multilevel"/>
    <w:tmpl w:val="BA9EBA56"/>
    <w:lvl w:ilvl="0">
      <w:start w:val="1"/>
      <w:numFmt w:val="decimal"/>
      <w:lvlText w:val="%1."/>
      <w:lvlJc w:val="left"/>
      <w:pPr>
        <w:ind w:left="540" w:hanging="5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NotTrackMoves/>
  <w:defaultTabStop w:val="720"/>
  <w:autoHyphenation/>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Calibri" w:hAnsi="Aptos" w:cs="Arial"/>
        <w:kern w:val="3"/>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spacing w:after="0" w:line="240" w:lineRule="auto"/>
    </w:pPr>
    <w:rPr>
      <w:rFonts w:ascii="Arial" w:eastAsia="Times New Roman" w:hAnsi="Arial" w:cs="Times New Roman"/>
      <w:kern w:val="0"/>
      <w:szCs w:val="24"/>
    </w:rPr>
  </w:style>
  <w:style w:type="paragraph" w:styleId="Heading1">
    <w:name w:val="heading 1"/>
    <w:basedOn w:val="Normal"/>
    <w:next w:val="Normal"/>
    <w:uiPriority w:val="9"/>
    <w:qFormat/>
    <w:pPr>
      <w:outlineLvl w:val="0"/>
    </w:pPr>
    <w:rPr>
      <w:rFonts w:eastAsia="Yu Gothic Light"/>
      <w:b/>
      <w:bCs/>
      <w:kern w:val="3"/>
      <w:sz w:val="24"/>
      <w:szCs w:val="28"/>
    </w:rPr>
  </w:style>
  <w:style w:type="paragraph" w:styleId="Heading2">
    <w:name w:val="heading 2"/>
    <w:basedOn w:val="Normal"/>
    <w:next w:val="Normal"/>
    <w:uiPriority w:val="9"/>
    <w:semiHidden/>
    <w:unhideWhenUsed/>
    <w:qFormat/>
    <w:pPr>
      <w:outlineLvl w:val="1"/>
    </w:pPr>
    <w:rPr>
      <w:rFonts w:eastAsia="Yu Gothic Light"/>
      <w:b/>
      <w:bCs/>
      <w:kern w:val="3"/>
    </w:rPr>
  </w:style>
  <w:style w:type="paragraph" w:styleId="Heading3">
    <w:name w:val="heading 3"/>
    <w:basedOn w:val="Normal"/>
    <w:next w:val="Normal"/>
    <w:uiPriority w:val="9"/>
    <w:semiHidden/>
    <w:unhideWhenUsed/>
    <w:qFormat/>
    <w:pPr>
      <w:outlineLvl w:val="2"/>
    </w:pPr>
    <w:rPr>
      <w:rFonts w:eastAsia="Yu Gothic Light"/>
      <w:bCs/>
      <w:i/>
      <w:kern w:val="3"/>
    </w:rPr>
  </w:style>
  <w:style w:type="paragraph" w:styleId="Heading4">
    <w:name w:val="heading 4"/>
    <w:basedOn w:val="Normal"/>
    <w:next w:val="Normal"/>
    <w:uiPriority w:val="9"/>
    <w:semiHidden/>
    <w:unhideWhenUsed/>
    <w:qFormat/>
    <w:pPr>
      <w:keepNext/>
      <w:keepLines/>
      <w:spacing w:before="80" w:after="40"/>
      <w:outlineLvl w:val="3"/>
    </w:pPr>
    <w:rPr>
      <w:rFonts w:ascii="Aptos" w:eastAsia="Yu Gothic Light" w:hAnsi="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Yu Gothic Light" w:hAnsi="Aptos"/>
      <w:color w:val="0F4761"/>
    </w:rPr>
  </w:style>
  <w:style w:type="paragraph" w:styleId="Heading6">
    <w:name w:val="heading 6"/>
    <w:basedOn w:val="Normal"/>
    <w:next w:val="Normal"/>
    <w:uiPriority w:val="9"/>
    <w:semiHidden/>
    <w:unhideWhenUsed/>
    <w:qFormat/>
    <w:pPr>
      <w:keepNext/>
      <w:keepLines/>
      <w:spacing w:before="40"/>
      <w:outlineLvl w:val="5"/>
    </w:pPr>
    <w:rPr>
      <w:rFonts w:ascii="Aptos" w:eastAsia="Yu Gothic Light" w:hAnsi="Aptos"/>
      <w:i/>
      <w:iCs/>
      <w:color w:val="595959"/>
    </w:rPr>
  </w:style>
  <w:style w:type="paragraph" w:styleId="Heading7">
    <w:name w:val="heading 7"/>
    <w:basedOn w:val="Normal"/>
    <w:next w:val="Normal"/>
    <w:pPr>
      <w:keepNext/>
      <w:keepLines/>
      <w:spacing w:before="40"/>
      <w:outlineLvl w:val="6"/>
    </w:pPr>
    <w:rPr>
      <w:rFonts w:ascii="Aptos" w:eastAsia="Yu Gothic Light" w:hAnsi="Aptos"/>
      <w:color w:val="595959"/>
    </w:rPr>
  </w:style>
  <w:style w:type="paragraph" w:styleId="Heading8">
    <w:name w:val="heading 8"/>
    <w:basedOn w:val="Normal"/>
    <w:next w:val="Normal"/>
    <w:pPr>
      <w:keepNext/>
      <w:keepLines/>
      <w:outlineLvl w:val="7"/>
    </w:pPr>
    <w:rPr>
      <w:rFonts w:ascii="Aptos" w:eastAsia="Yu Gothic Light" w:hAnsi="Aptos"/>
      <w:i/>
      <w:iCs/>
      <w:color w:val="272727"/>
    </w:rPr>
  </w:style>
  <w:style w:type="paragraph" w:styleId="Heading9">
    <w:name w:val="heading 9"/>
    <w:basedOn w:val="Normal"/>
    <w:next w:val="Normal"/>
    <w:pPr>
      <w:keepNext/>
      <w:keepLines/>
      <w:outlineLvl w:val="8"/>
    </w:pPr>
    <w:rPr>
      <w:rFonts w:ascii="Aptos" w:eastAsia="Yu Gothic Light"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bCs/>
      <w:sz w:val="24"/>
      <w:szCs w:val="28"/>
    </w:rPr>
  </w:style>
  <w:style w:type="character" w:customStyle="1" w:styleId="Heading2Char">
    <w:name w:val="Heading 2 Char"/>
    <w:basedOn w:val="DefaultParagraphFont"/>
    <w:rPr>
      <w:rFonts w:ascii="Arial" w:eastAsia="Yu Gothic Light" w:hAnsi="Arial" w:cs="Times New Roman"/>
      <w:b/>
      <w:bCs/>
      <w:szCs w:val="24"/>
    </w:rPr>
  </w:style>
  <w:style w:type="character" w:customStyle="1" w:styleId="Heading3Char">
    <w:name w:val="Heading 3 Char"/>
    <w:basedOn w:val="DefaultParagraphFont"/>
    <w:rPr>
      <w:rFonts w:ascii="Arial" w:eastAsia="Yu Gothic Light" w:hAnsi="Arial" w:cs="Times New Roman"/>
      <w:bCs/>
      <w:i/>
      <w:szCs w:val="24"/>
    </w:rPr>
  </w:style>
  <w:style w:type="paragraph" w:styleId="Title">
    <w:name w:val="Title"/>
    <w:basedOn w:val="Normal"/>
    <w:next w:val="Normal"/>
    <w:uiPriority w:val="10"/>
    <w:qFormat/>
    <w:rPr>
      <w:rFonts w:ascii="Arial Bold" w:eastAsia="Yu Gothic Light" w:hAnsi="Arial Bold"/>
      <w:b/>
      <w:kern w:val="3"/>
      <w:sz w:val="32"/>
      <w:szCs w:val="56"/>
    </w:rPr>
  </w:style>
  <w:style w:type="character" w:customStyle="1" w:styleId="TitleChar">
    <w:name w:val="Title Char"/>
    <w:basedOn w:val="DefaultParagraphFont"/>
    <w:rPr>
      <w:rFonts w:ascii="Arial Bold" w:eastAsia="Yu Gothic Light" w:hAnsi="Arial Bold" w:cs="Times New Roman"/>
      <w:b/>
      <w:sz w:val="32"/>
      <w:szCs w:val="56"/>
    </w:rPr>
  </w:style>
  <w:style w:type="paragraph" w:styleId="Subtitle">
    <w:name w:val="Subtitle"/>
    <w:basedOn w:val="Normal"/>
    <w:next w:val="Normal"/>
    <w:uiPriority w:val="11"/>
    <w:qFormat/>
    <w:rPr>
      <w:rFonts w:eastAsia="Yu Gothic" w:cs="Arial"/>
      <w:b/>
      <w:kern w:val="3"/>
      <w:sz w:val="28"/>
      <w:szCs w:val="22"/>
    </w:rPr>
  </w:style>
  <w:style w:type="character" w:customStyle="1" w:styleId="SubtitleChar">
    <w:name w:val="Subtitle Char"/>
    <w:basedOn w:val="DefaultParagraphFont"/>
    <w:rPr>
      <w:rFonts w:ascii="Arial" w:eastAsia="Yu Gothic" w:hAnsi="Arial"/>
      <w:b/>
      <w:sz w:val="28"/>
    </w:rPr>
  </w:style>
  <w:style w:type="character" w:customStyle="1" w:styleId="Heading4Char">
    <w:name w:val="Heading 4 Char"/>
    <w:basedOn w:val="DefaultParagraphFont"/>
    <w:rPr>
      <w:rFonts w:eastAsia="Yu Gothic Light" w:cs="Times New Roman"/>
      <w:i/>
      <w:iCs/>
      <w:color w:val="0F4761"/>
      <w:kern w:val="0"/>
      <w:szCs w:val="24"/>
    </w:rPr>
  </w:style>
  <w:style w:type="character" w:customStyle="1" w:styleId="Heading5Char">
    <w:name w:val="Heading 5 Char"/>
    <w:basedOn w:val="DefaultParagraphFont"/>
    <w:rPr>
      <w:rFonts w:eastAsia="Yu Gothic Light" w:cs="Times New Roman"/>
      <w:color w:val="0F4761"/>
      <w:kern w:val="0"/>
      <w:szCs w:val="24"/>
    </w:rPr>
  </w:style>
  <w:style w:type="character" w:customStyle="1" w:styleId="Heading6Char">
    <w:name w:val="Heading 6 Char"/>
    <w:basedOn w:val="DefaultParagraphFont"/>
    <w:rPr>
      <w:rFonts w:eastAsia="Yu Gothic Light" w:cs="Times New Roman"/>
      <w:i/>
      <w:iCs/>
      <w:color w:val="595959"/>
      <w:kern w:val="0"/>
      <w:szCs w:val="24"/>
    </w:rPr>
  </w:style>
  <w:style w:type="character" w:customStyle="1" w:styleId="Heading7Char">
    <w:name w:val="Heading 7 Char"/>
    <w:basedOn w:val="DefaultParagraphFont"/>
    <w:rPr>
      <w:rFonts w:eastAsia="Yu Gothic Light" w:cs="Times New Roman"/>
      <w:color w:val="595959"/>
      <w:kern w:val="0"/>
      <w:szCs w:val="24"/>
    </w:rPr>
  </w:style>
  <w:style w:type="character" w:customStyle="1" w:styleId="Heading8Char">
    <w:name w:val="Heading 8 Char"/>
    <w:basedOn w:val="DefaultParagraphFont"/>
    <w:rPr>
      <w:rFonts w:eastAsia="Yu Gothic Light" w:cs="Times New Roman"/>
      <w:i/>
      <w:iCs/>
      <w:color w:val="272727"/>
      <w:kern w:val="0"/>
      <w:szCs w:val="24"/>
    </w:rPr>
  </w:style>
  <w:style w:type="character" w:customStyle="1" w:styleId="Heading9Char">
    <w:name w:val="Heading 9 Char"/>
    <w:basedOn w:val="DefaultParagraphFont"/>
    <w:rPr>
      <w:rFonts w:eastAsia="Yu Gothic Light" w:cs="Times New Roman"/>
      <w:color w:val="272727"/>
      <w:kern w:val="0"/>
      <w:szCs w:val="24"/>
    </w:rPr>
  </w:style>
  <w:style w:type="paragraph" w:styleId="Quote">
    <w:name w:val="Quote"/>
    <w:basedOn w:val="Normal"/>
    <w:next w:val="Normal"/>
    <w:pPr>
      <w:spacing w:before="160" w:after="160"/>
      <w:jc w:val="center"/>
    </w:pPr>
    <w:rPr>
      <w:i/>
      <w:iCs/>
      <w:color w:val="404040"/>
    </w:rPr>
  </w:style>
  <w:style w:type="character" w:customStyle="1" w:styleId="QuoteChar">
    <w:name w:val="Quote Char"/>
    <w:basedOn w:val="DefaultParagraphFont"/>
    <w:rPr>
      <w:rFonts w:ascii="Arial" w:eastAsia="Times New Roman" w:hAnsi="Arial" w:cs="Times New Roman"/>
      <w:i/>
      <w:iCs/>
      <w:color w:val="404040"/>
      <w:kern w:val="0"/>
      <w:szCs w:val="24"/>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rFonts w:ascii="Arial" w:eastAsia="Times New Roman" w:hAnsi="Arial" w:cs="Times New Roman"/>
      <w:i/>
      <w:iCs/>
      <w:color w:val="0F4761"/>
      <w:kern w:val="0"/>
      <w:szCs w:val="24"/>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eastAsia="Times New Roman" w:hAnsi="Arial" w:cs="Times New Roman"/>
      <w:kern w:val="0"/>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Times New Roman" w:hAnsi="Arial" w:cs="Times New Roman"/>
      <w:kern w:val="0"/>
      <w:szCs w:val="24"/>
    </w:rPr>
  </w:style>
  <w:style w:type="paragraph" w:customStyle="1" w:styleId="paragraph">
    <w:name w:val="paragraph"/>
    <w:basedOn w:val="Normal"/>
    <w:pPr>
      <w:spacing w:before="100" w:after="100"/>
    </w:pPr>
    <w:rPr>
      <w:rFonts w:ascii="Times New Roman" w:hAnsi="Times New Roman"/>
      <w:sz w:val="24"/>
      <w:lang w:eastAsia="en-GB"/>
    </w:rPr>
  </w:style>
  <w:style w:type="character" w:customStyle="1" w:styleId="normaltextrun">
    <w:name w:val="normaltextrun"/>
    <w:basedOn w:val="DefaultParagraphFont"/>
  </w:style>
  <w:style w:type="character" w:customStyle="1" w:styleId="eop">
    <w:name w:val="eop"/>
    <w:basedOn w:val="DefaultParagraphFont"/>
  </w:style>
  <w:style w:type="paragraph" w:styleId="FootnoteText">
    <w:name w:val="footnote text"/>
    <w:basedOn w:val="Normal"/>
    <w:rPr>
      <w:sz w:val="20"/>
      <w:szCs w:val="20"/>
    </w:rPr>
  </w:style>
  <w:style w:type="character" w:styleId="FootnoteReference">
    <w:name w:val="footnote reference"/>
    <w:basedOn w:val="DefaultParagraphFont"/>
    <w:rPr>
      <w:position w:val="0"/>
      <w:vertAlign w:val="superscript"/>
    </w:rPr>
  </w:style>
  <w:style w:type="character" w:styleId="Hyperlink">
    <w:name w:val="Hyperlink"/>
    <w:basedOn w:val="DefaultParagraphFont"/>
    <w:rPr>
      <w:color w:val="467886"/>
      <w:u w:val="single"/>
    </w:rPr>
  </w:style>
  <w:style w:type="character" w:customStyle="1" w:styleId="UnresolvedMention1">
    <w:name w:val="Unresolved Mention1"/>
    <w:basedOn w:val="DefaultParagraphFont"/>
    <w:rPr>
      <w:color w:val="605E5C"/>
      <w:shd w:val="clear" w:color="auto" w:fill="E1DFDD"/>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Arial" w:eastAsia="Times New Roman" w:hAnsi="Arial" w:cs="Times New Roman"/>
      <w:kern w:val="0"/>
      <w:sz w:val="20"/>
      <w:szCs w:val="20"/>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kern w:val="0"/>
      <w:sz w:val="20"/>
      <w:szCs w:val="20"/>
    </w:rPr>
  </w:style>
  <w:style w:type="paragraph" w:styleId="Revision">
    <w:name w:val="Revision"/>
    <w:pPr>
      <w:suppressAutoHyphens/>
      <w:spacing w:after="0" w:line="240" w:lineRule="auto"/>
    </w:pPr>
    <w:rPr>
      <w:rFonts w:ascii="Arial" w:eastAsia="Times New Roman" w:hAnsi="Arial" w:cs="Times New Roman"/>
      <w:kern w:val="0"/>
      <w:szCs w:val="24"/>
    </w:rPr>
  </w:style>
  <w:style w:type="character" w:customStyle="1" w:styleId="Mention1">
    <w:name w:val="Mention1"/>
    <w:basedOn w:val="DefaultParagraphFont"/>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TOU0063</dc:title>
  <cp:revision>0</cp:revision>
</cp:coreProperties>
</file>