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1D46" w:rsidRPr="00560C4C" w:rsidP="00351D46">
      <w:pPr>
        <w:spacing w:line="360" w:lineRule="auto"/>
        <w:jc w:val="center"/>
        <w:rPr>
          <w:rFonts w:ascii="Calibri" w:hAnsi="Calibri" w:cs="Calibri"/>
          <w:sz w:val="28"/>
          <w:szCs w:val="28"/>
        </w:rPr>
      </w:pPr>
      <w:bookmarkStart w:id="0" w:name="_j41fqwto74od" w:colFirst="0" w:colLast="0"/>
      <w:bookmarkEnd w:id="0"/>
      <w:r w:rsidRPr="00560C4C">
        <w:rPr>
          <w:rFonts w:ascii="Calibri" w:hAnsi="Calibri" w:cs="Calibri"/>
          <w:sz w:val="28"/>
          <w:szCs w:val="28"/>
        </w:rPr>
        <w:t>Written evidence submitted by</w:t>
      </w:r>
      <w:r w:rsidRPr="00922D69">
        <w:rPr>
          <w:rFonts w:ascii="Calibri" w:hAnsi="Calibri" w:cs="Calibri"/>
          <w:sz w:val="28"/>
          <w:szCs w:val="28"/>
        </w:rPr>
        <w:t xml:space="preserve"> </w:t>
      </w:r>
      <w:r w:rsidRPr="00351D46">
        <w:rPr>
          <w:rFonts w:ascii="Calibri" w:hAnsi="Calibri" w:cs="Calibri"/>
          <w:sz w:val="28"/>
          <w:szCs w:val="28"/>
        </w:rPr>
        <w:t>the Caravan and Motorhome Club</w:t>
      </w:r>
    </w:p>
    <w:p w:rsidR="005E4CE4">
      <w:r>
        <w:pict>
          <v:rect id="_x0000_i1025" style="height:1.5pt;width:0" o:hralign="center" o:hrstd="t" o:hr="t" fillcolor="#a0a0a0" stroked="f"/>
        </w:pict>
      </w:r>
    </w:p>
    <w:p w:rsidR="005E4CE4">
      <w:pPr>
        <w:pStyle w:val="Heading3"/>
        <w:keepNext w:val="0"/>
        <w:keepLines w:val="0"/>
        <w:spacing w:before="0"/>
        <w:rPr>
          <w:b/>
          <w:bCs/>
          <w:color w:val="000000"/>
          <w:sz w:val="26"/>
          <w:szCs w:val="26"/>
        </w:rPr>
      </w:pPr>
      <w:bookmarkStart w:id="1" w:name="_ntruyuodk3os" w:colFirst="0" w:colLast="0"/>
      <w:bookmarkEnd w:id="1"/>
      <w:r>
        <w:rPr>
          <w:b/>
          <w:bCs/>
          <w:color w:val="000000"/>
          <w:sz w:val="26"/>
          <w:szCs w:val="26"/>
        </w:rPr>
        <w:t>Executive Summary</w:t>
      </w:r>
    </w:p>
    <w:p w:rsidR="005E4CE4">
      <w:pPr>
        <w:spacing w:after="240" w:line="240" w:lineRule="auto"/>
      </w:pPr>
      <w:r>
        <w:t xml:space="preserve">The Caravan and Motorhome Club (CAMC) welcomes the Committee's timely inquiry into boosting visitor numbers, improving international competitiveness, and ensuring the long-term resilience of the UK's tourism industry. Representing one million caravan, motorhome, campervan, rooftent and trailer tent owners, the Club operates a successful multi-site network with an annual turnover of £140 million. This submission integrates the specific interests of the touring sector and our </w:t>
      </w:r>
      <w:r>
        <w:rPr>
          <w:i/>
          <w:iCs/>
        </w:rPr>
        <w:t>Experience Freedom</w:t>
      </w:r>
      <w:r>
        <w:t xml:space="preserve"> glamping brand to highlight the unique economic and social value of the "mobile visitor economy".</w:t>
      </w:r>
    </w:p>
    <w:p w:rsidR="005E4CE4">
      <w:pPr>
        <w:spacing w:after="240" w:line="240" w:lineRule="auto"/>
      </w:pPr>
      <w:r>
        <w:t xml:space="preserve">According to our sector study, </w:t>
      </w:r>
      <w:r>
        <w:rPr>
          <w:i/>
          <w:iCs/>
        </w:rPr>
        <w:t>Pitching the Value</w:t>
      </w:r>
      <w:r>
        <w:rPr>
          <w:i/>
          <w:iCs/>
          <w:vertAlign w:val="superscript"/>
        </w:rPr>
        <w:footnoteReference w:id="2"/>
      </w:r>
      <w:r>
        <w:t xml:space="preserve">, holiday parks and campsites generate </w:t>
      </w:r>
      <w:r>
        <w:rPr>
          <w:b/>
          <w:bCs/>
        </w:rPr>
        <w:t>£12.2 billion in visitor expenditure</w:t>
      </w:r>
      <w:r>
        <w:t xml:space="preserve">, equating to </w:t>
      </w:r>
      <w:r>
        <w:rPr>
          <w:b/>
          <w:bCs/>
        </w:rPr>
        <w:t>£7.2 billion in Gross Value Added (GVA)</w:t>
      </w:r>
      <w:r>
        <w:t xml:space="preserve"> and supporting </w:t>
      </w:r>
      <w:r>
        <w:rPr>
          <w:b/>
          <w:bCs/>
        </w:rPr>
        <w:t>226,745 full-time jobs</w:t>
      </w:r>
      <w:r>
        <w:t>. Touring infrastructure acts as a primary tool for regional levelling-up, driving critical off-peak and year-round footfall directly into remote rural and coastal communities that lack large-scale hotel infrastructure.</w:t>
      </w:r>
    </w:p>
    <w:p w:rsidR="005E4CE4">
      <w:pPr>
        <w:spacing w:after="240" w:line="240" w:lineRule="auto"/>
      </w:pPr>
      <w:r>
        <w:t>However, the tourism sector is navigating severe cumulative headwinds. Drawing on shared evidence from across the visitor economy and to ensure long-term resilience, the Government must evaluate the combined burden of regulatory and fiscal changes right across the spectrum of tourism activity, and especially the impact on those small and micro-businesses which underpin much of it.</w:t>
      </w:r>
    </w:p>
    <w:p w:rsidR="005E4CE4">
      <w:r>
        <w:pict>
          <v:rect id="_x0000_i1026" style="height:1.5pt;width:0" o:hralign="center" o:hrstd="t" o:hr="t" fillcolor="#a0a0a0" stroked="f"/>
        </w:pict>
      </w:r>
    </w:p>
    <w:p w:rsidR="005E4CE4">
      <w:pPr>
        <w:pStyle w:val="Heading3"/>
        <w:keepNext w:val="0"/>
        <w:keepLines w:val="0"/>
        <w:spacing w:before="0"/>
        <w:rPr>
          <w:b/>
          <w:bCs/>
          <w:color w:val="000000"/>
          <w:sz w:val="26"/>
          <w:szCs w:val="26"/>
        </w:rPr>
      </w:pPr>
      <w:bookmarkStart w:id="2" w:name="_r032237o9utl" w:colFirst="0" w:colLast="0"/>
      <w:bookmarkEnd w:id="2"/>
      <w:r>
        <w:rPr>
          <w:b/>
          <w:bCs/>
          <w:color w:val="000000"/>
          <w:sz w:val="26"/>
          <w:szCs w:val="26"/>
        </w:rPr>
        <w:t>1. Policy, Competitiveness, and Resilience</w:t>
      </w:r>
    </w:p>
    <w:p w:rsidR="005E4CE4">
      <w:pPr>
        <w:spacing w:after="240" w:line="240" w:lineRule="auto"/>
      </w:pPr>
      <w:r>
        <w:t>The UK's international and domestic tourism position has been significantly weakened by cumulative structural barriers:</w:t>
      </w:r>
    </w:p>
    <w:p w:rsidR="005E4CE4">
      <w:pPr>
        <w:numPr>
          <w:ilvl w:val="0"/>
          <w:numId w:val="4"/>
        </w:numPr>
        <w:spacing w:line="240" w:lineRule="auto"/>
      </w:pPr>
      <w:r>
        <w:rPr>
          <w:b/>
          <w:bCs/>
        </w:rPr>
        <w:t>Price Competitiveness Crisis:</w:t>
      </w:r>
      <w:r>
        <w:t xml:space="preserve"> The UK ranks </w:t>
      </w:r>
      <w:r>
        <w:rPr>
          <w:b/>
          <w:bCs/>
        </w:rPr>
        <w:t>113th out of 119 countries</w:t>
      </w:r>
      <w:r>
        <w:t xml:space="preserve"> for price competitiveness globally. Domestic overnight tourism contracted by nearly 10 million trips between 2022 and 2024, with domestic volumes continuing to fall into 2025.</w:t>
      </w:r>
    </w:p>
    <w:p w:rsidR="005E4CE4">
      <w:pPr>
        <w:numPr>
          <w:ilvl w:val="0"/>
          <w:numId w:val="4"/>
        </w:numPr>
        <w:spacing w:line="240" w:lineRule="auto"/>
      </w:pPr>
      <w:r>
        <w:rPr>
          <w:b/>
          <w:bCs/>
        </w:rPr>
        <w:t>Outbound Holiday Displacement:</w:t>
      </w:r>
      <w:r>
        <w:t xml:space="preserve"> This contraction is not a demand problem; UK residents' overseas trips increased by over 10 million visits over the same period, losing £13.4 billion in annual holiday spend abroad.</w:t>
      </w:r>
    </w:p>
    <w:p w:rsidR="005E4CE4">
      <w:pPr>
        <w:numPr>
          <w:ilvl w:val="0"/>
          <w:numId w:val="4"/>
        </w:numPr>
        <w:spacing w:line="240" w:lineRule="auto"/>
      </w:pPr>
      <w:r>
        <w:rPr>
          <w:b/>
          <w:bCs/>
        </w:rPr>
        <w:t>Regulatory Friction at Borders:</w:t>
      </w:r>
      <w:r>
        <w:t xml:space="preserve"> The transition to digital travel controls poses distinct challenges to the touring market. Specifically, the UK's Electronic Travel Authorisation (ETA) lacks a family-group discount, which directly deters the European motorhoming market—a key demographic for rural UK campsites.</w:t>
      </w:r>
    </w:p>
    <w:p w:rsidR="005E4CE4">
      <w:pPr>
        <w:numPr>
          <w:ilvl w:val="0"/>
          <w:numId w:val="4"/>
        </w:numPr>
        <w:spacing w:line="240" w:lineRule="auto"/>
      </w:pPr>
      <w:r>
        <w:rPr>
          <w:b/>
          <w:bCs/>
        </w:rPr>
        <w:t>Vehicle Weight Directives:</w:t>
      </w:r>
      <w:r>
        <w:t xml:space="preserve"> </w:t>
      </w:r>
      <w:r>
        <w:rPr>
          <w:highlight w:val="white"/>
        </w:rPr>
        <w:t>We recognise the first steps made with allowing B-licence drivers to driver 4250kg vehicles in Great Britain. To facilitate a seamless "green" transition of the mobile fleet, however, we would like to see the whole of the UK aligned with the EU 4th Driving Licence Directive on this issue, to increase the standard B-licence weight limit to 4,250kg for a broader definition of alternatively-fuelled options for vehicles, including motorhomes.</w:t>
      </w:r>
      <w:r>
        <w:t xml:space="preserve"> </w:t>
      </w:r>
    </w:p>
    <w:p w:rsidR="005E4CE4">
      <w:pPr>
        <w:numPr>
          <w:ilvl w:val="0"/>
          <w:numId w:val="4"/>
        </w:numPr>
        <w:spacing w:line="240" w:lineRule="auto"/>
      </w:pPr>
      <w:r>
        <w:rPr>
          <w:b/>
          <w:bCs/>
        </w:rPr>
        <w:t>Distinct Spend Profiles:</w:t>
      </w:r>
      <w:r>
        <w:t xml:space="preserve"> Touring visitors deliver high local economic value. CAMC members stay longer (averaging 4+ nights) and spend heavily in local rural SME businesses, farm shops, and village pubs rather than in centralised city hubs.</w:t>
      </w:r>
    </w:p>
    <w:p w:rsidR="005E4CE4">
      <w:pPr>
        <w:numPr>
          <w:ilvl w:val="0"/>
          <w:numId w:val="4"/>
        </w:numPr>
        <w:spacing w:after="240" w:line="240" w:lineRule="auto"/>
      </w:pPr>
      <w:r>
        <w:rPr>
          <w:b/>
          <w:bCs/>
        </w:rPr>
        <w:t>Attaining Younger Demographics:</w:t>
      </w:r>
      <w:r>
        <w:t xml:space="preserve"> The expansion of our </w:t>
      </w:r>
      <w:r>
        <w:rPr>
          <w:i/>
          <w:iCs/>
        </w:rPr>
        <w:t>Experience Freedom</w:t>
      </w:r>
      <w:r>
        <w:t xml:space="preserve"> brand—offering pre-pitched pods, cabins, and yurts—drives entry-level outdoor </w:t>
      </w:r>
      <w:r>
        <w:t>tourism, drawing younger, urban demographics into the regional experience economy.</w:t>
      </w:r>
    </w:p>
    <w:p w:rsidR="005E4CE4">
      <w:r>
        <w:pict>
          <v:rect id="_x0000_i1027" style="height:1.5pt;width:0" o:hralign="center" o:hrstd="t" o:hr="t" fillcolor="#a0a0a0" stroked="f"/>
        </w:pict>
      </w:r>
    </w:p>
    <w:p w:rsidR="005E4CE4">
      <w:pPr>
        <w:pStyle w:val="Heading3"/>
        <w:keepNext w:val="0"/>
        <w:keepLines w:val="0"/>
        <w:spacing w:before="0"/>
        <w:rPr>
          <w:b/>
          <w:bCs/>
          <w:color w:val="000000"/>
          <w:sz w:val="26"/>
          <w:szCs w:val="26"/>
        </w:rPr>
      </w:pPr>
      <w:bookmarkStart w:id="3" w:name="_4sjc3rnfu755" w:colFirst="0" w:colLast="0"/>
      <w:bookmarkEnd w:id="3"/>
      <w:r>
        <w:rPr>
          <w:b/>
          <w:bCs/>
          <w:color w:val="000000"/>
          <w:sz w:val="26"/>
          <w:szCs w:val="26"/>
        </w:rPr>
        <w:t>2. Deep Concerns Over the Proposed England Overnight Visitor Levy (OVL)</w:t>
      </w:r>
    </w:p>
    <w:p w:rsidR="005E4CE4">
      <w:pPr>
        <w:spacing w:after="240" w:line="240" w:lineRule="auto"/>
      </w:pPr>
      <w:r>
        <w:t xml:space="preserve">The Caravan and Motorhome Club </w:t>
      </w:r>
      <w:r>
        <w:rPr>
          <w:b/>
          <w:bCs/>
        </w:rPr>
        <w:t>strongly opposes</w:t>
      </w:r>
      <w:r>
        <w:t xml:space="preserve"> granting Mayors or any tier of local government the power to introduce an overnight visitor levy in England. We echo the serious concerns raised by the Tourism Alliance and PASC UK regarding this mechanism which presents critical threats to the outdoor and affordable holiday sectors:</w:t>
      </w:r>
    </w:p>
    <w:p w:rsidR="005E4CE4">
      <w:pPr>
        <w:numPr>
          <w:ilvl w:val="0"/>
          <w:numId w:val="2"/>
        </w:numPr>
        <w:spacing w:line="240" w:lineRule="auto"/>
      </w:pPr>
      <w:r>
        <w:rPr>
          <w:b/>
          <w:bCs/>
        </w:rPr>
        <w:t>A "Family Holiday Tax":</w:t>
      </w:r>
      <w:r>
        <w:t xml:space="preserve"> For many households, a domestic camping or holiday park break is the most affordable holiday option available. Even modest daily levies risk acting as an unfair tax on families and retirees, directly influencing booking behaviours and driving away demand.</w:t>
      </w:r>
    </w:p>
    <w:p w:rsidR="005E4CE4">
      <w:pPr>
        <w:numPr>
          <w:ilvl w:val="0"/>
          <w:numId w:val="2"/>
        </w:numPr>
        <w:spacing w:line="240" w:lineRule="auto"/>
      </w:pPr>
      <w:r>
        <w:rPr>
          <w:b/>
          <w:bCs/>
        </w:rPr>
        <w:t>The Regressive "Fairness Gap" (Flat Fees vs. Percentages):</w:t>
      </w:r>
      <w:r>
        <w:t xml:space="preserve"> Implementing a flat per-person, per-night fee (e.g., £1.30–£2.00) creates a deeply regressive tax system unless it can be tiered to reflect differing accommodation types. While a £2 flat fee is negligible on a £250 hotel room (~1%), it represents a massive </w:t>
      </w:r>
      <w:r>
        <w:rPr>
          <w:b/>
          <w:bCs/>
        </w:rPr>
        <w:t>26% tax hike</w:t>
      </w:r>
      <w:r>
        <w:t xml:space="preserve"> on a £25-a-night rural family pitch fee for five people.</w:t>
      </w:r>
    </w:p>
    <w:p w:rsidR="005E4CE4">
      <w:pPr>
        <w:numPr>
          <w:ilvl w:val="0"/>
          <w:numId w:val="2"/>
        </w:numPr>
        <w:spacing w:line="240" w:lineRule="auto"/>
      </w:pPr>
      <w:r>
        <w:rPr>
          <w:b/>
          <w:bCs/>
        </w:rPr>
        <w:t>Erosion of Attainable Luxury:</w:t>
      </w:r>
      <w:r>
        <w:t xml:space="preserve"> For </w:t>
      </w:r>
      <w:r>
        <w:rPr>
          <w:i/>
          <w:iCs/>
        </w:rPr>
        <w:t>Experience Freedom</w:t>
      </w:r>
      <w:r>
        <w:t xml:space="preserve"> glamping units, an OVL compounded by the UK's standard 20% VAT rate risks pushing affordable outdoor alternatives into mid-range hotel price brackets, erasing their competitive advantage and offering a wellbeing alternative in the great outdoors.</w:t>
      </w:r>
    </w:p>
    <w:p w:rsidR="005E4CE4">
      <w:pPr>
        <w:numPr>
          <w:ilvl w:val="0"/>
          <w:numId w:val="2"/>
        </w:numPr>
        <w:spacing w:line="240" w:lineRule="auto"/>
      </w:pPr>
      <w:r>
        <w:rPr>
          <w:b/>
          <w:bCs/>
        </w:rPr>
        <w:t>The Unregulated "Wild Camping" Risk:</w:t>
      </w:r>
      <w:r>
        <w:t xml:space="preserve"> Price-sensitive outdoor tourists are highly responsive to cost increases. Imposing a levy risks driving visitors away from regulated, high-quality sites into unregulated "wild camping" or fly-camping in sensitive coastal areas, beauty spots and laybys. This leaves local councils with zero tax revenue while forcing them to absorb the costs of environmental repair and waste management.</w:t>
      </w:r>
    </w:p>
    <w:p w:rsidR="005E4CE4">
      <w:pPr>
        <w:numPr>
          <w:ilvl w:val="0"/>
          <w:numId w:val="2"/>
        </w:numPr>
        <w:spacing w:line="240" w:lineRule="auto"/>
      </w:pPr>
      <w:r>
        <w:rPr>
          <w:b/>
          <w:bCs/>
        </w:rPr>
        <w:t>Compliance-Prohibitive Bureaucracy for SMEs:</w:t>
      </w:r>
      <w:r>
        <w:t xml:space="preserve"> The UK's network of farm-based, 5-pitch Certificated Locations is entirely unequipped to act as local tax collectors. Requiring rural micro-businesses to implement complex accounting software to collect a nightly fee is compliance-prohibitive and threatens widespread closures.</w:t>
      </w:r>
    </w:p>
    <w:p w:rsidR="005E4CE4">
      <w:pPr>
        <w:numPr>
          <w:ilvl w:val="0"/>
          <w:numId w:val="2"/>
        </w:numPr>
        <w:spacing w:line="240" w:lineRule="auto"/>
      </w:pPr>
      <w:r>
        <w:rPr>
          <w:b/>
          <w:bCs/>
        </w:rPr>
        <w:t>The Portable Home Double-Taxation:</w:t>
      </w:r>
      <w:r>
        <w:t xml:space="preserve"> Touring members bring their own privately owned accommodation with them, which is already heavily taxed through purchase VAT and vehicle ancillary services. </w:t>
      </w:r>
    </w:p>
    <w:p w:rsidR="005E4CE4">
      <w:pPr>
        <w:numPr>
          <w:ilvl w:val="0"/>
          <w:numId w:val="2"/>
        </w:numPr>
        <w:spacing w:after="240" w:line="240" w:lineRule="auto"/>
      </w:pPr>
      <w:r>
        <w:rPr>
          <w:b/>
          <w:bCs/>
        </w:rPr>
        <w:t>Compounding an Existing Disadvantage:</w:t>
      </w:r>
      <w:r>
        <w:t xml:space="preserve"> The UK already has the second-highest accommodation tax burden in Europe. Our standard VAT rate of 20% far exceeds our European competitors, where typical competitor rates sit between 7% and 13%.</w:t>
      </w:r>
    </w:p>
    <w:p w:rsidR="005E4CE4">
      <w:r>
        <w:pict>
          <v:rect id="_x0000_i1028" style="height:1.5pt;width:0" o:hralign="center" o:hrstd="t" o:hr="t" fillcolor="#a0a0a0" stroked="f"/>
        </w:pict>
      </w:r>
    </w:p>
    <w:p w:rsidR="005E4CE4">
      <w:pPr>
        <w:pStyle w:val="Heading3"/>
        <w:keepNext w:val="0"/>
        <w:keepLines w:val="0"/>
        <w:spacing w:before="0"/>
        <w:rPr>
          <w:b/>
          <w:bCs/>
          <w:color w:val="000000"/>
          <w:sz w:val="26"/>
          <w:szCs w:val="26"/>
        </w:rPr>
      </w:pPr>
      <w:bookmarkStart w:id="4" w:name="_v3cav56vmlf5" w:colFirst="0" w:colLast="0"/>
      <w:bookmarkEnd w:id="4"/>
      <w:r>
        <w:rPr>
          <w:b/>
          <w:bCs/>
          <w:color w:val="000000"/>
          <w:sz w:val="26"/>
          <w:szCs w:val="26"/>
        </w:rPr>
        <w:t>3. Infrastructure Investment and Regional Growth</w:t>
      </w:r>
    </w:p>
    <w:p w:rsidR="005E4CE4">
      <w:pPr>
        <w:spacing w:after="240" w:line="240" w:lineRule="auto"/>
      </w:pPr>
      <w:r>
        <w:t>Unlocking investment and capacity outside major urban hubs requires addressing systemic infrastructure gaps:</w:t>
      </w:r>
    </w:p>
    <w:p w:rsidR="005E4CE4">
      <w:pPr>
        <w:numPr>
          <w:ilvl w:val="0"/>
          <w:numId w:val="3"/>
        </w:numPr>
        <w:spacing w:line="240" w:lineRule="auto"/>
        <w:rPr>
          <w:color w:val="000000"/>
        </w:rPr>
      </w:pPr>
      <w:r>
        <w:rPr>
          <w:b/>
          <w:bCs/>
        </w:rPr>
        <w:t>Digital Infrastructure Deficits:</w:t>
      </w:r>
      <w:r>
        <w:t xml:space="preserve"> A primary barrier to campsite infrastructure investment is the lack of high-speed rural fibre. Modern "work-from-anywhere" tourers and glamping guests expect seamless Wi-Fi; without it, regional site viability declines.</w:t>
      </w:r>
    </w:p>
    <w:p w:rsidR="005E4CE4">
      <w:pPr>
        <w:numPr>
          <w:ilvl w:val="0"/>
          <w:numId w:val="3"/>
        </w:numPr>
        <w:spacing w:line="240" w:lineRule="auto"/>
        <w:rPr>
          <w:color w:val="000000"/>
        </w:rPr>
      </w:pPr>
      <w:r>
        <w:rPr>
          <w:b/>
          <w:bCs/>
        </w:rPr>
        <w:t>Planning Architecture Flexibility:</w:t>
      </w:r>
      <w:r>
        <w:t xml:space="preserve"> The 1960 Caravan Sites Act and current Certificated Location (CL) exemptions are vital structural lifelines and can be utilised to unlock farm land for diversification without permanent environmental impacts.  The </w:t>
      </w:r>
      <w:r>
        <w:t>onerous and slow planning system as it currently stands stunts any growth and investment in the sector due to the time taken to seek permission for development and mobilise contractors onto sites.  This needs to be addressed as a matter of urgency so that businesses can continue to invest in thei</w:t>
      </w:r>
      <w:r>
        <w:t>r infrastructure and associated sectors.</w:t>
      </w:r>
    </w:p>
    <w:p w:rsidR="005E4CE4">
      <w:pPr>
        <w:numPr>
          <w:ilvl w:val="0"/>
          <w:numId w:val="3"/>
        </w:numPr>
        <w:spacing w:after="240" w:line="240" w:lineRule="auto"/>
        <w:rPr>
          <w:color w:val="000000"/>
        </w:rPr>
      </w:pPr>
      <w:r>
        <w:rPr>
          <w:b/>
          <w:bCs/>
        </w:rPr>
        <w:t>LVEP Integration and Motorhome "Aires":</w:t>
      </w:r>
      <w:r>
        <w:t xml:space="preserve"> Destination Management Organisations (DMOs) and Local Visitor Economy Partnerships (LVEPs) remain overly focused on urban hotel occupancy. There is a total lack of strategic planning for town centre and coastal motorhome service points (</w:t>
      </w:r>
      <w:r>
        <w:rPr>
          <w:i/>
          <w:iCs/>
        </w:rPr>
        <w:t>aires</w:t>
      </w:r>
      <w:r>
        <w:t xml:space="preserve">) and opportunities to welcome motorhomes and tourists to communities and offer them facilities, rather than viewing them as a nuisance. </w:t>
      </w:r>
    </w:p>
    <w:p w:rsidR="005E4CE4">
      <w:pPr>
        <w:pStyle w:val="Heading3"/>
        <w:keepNext w:val="0"/>
        <w:keepLines w:val="0"/>
        <w:spacing w:before="0"/>
        <w:rPr>
          <w:b/>
          <w:bCs/>
          <w:color w:val="000000"/>
          <w:sz w:val="26"/>
          <w:szCs w:val="26"/>
        </w:rPr>
      </w:pPr>
      <w:bookmarkStart w:id="5" w:name="_vy4xoyhtnmu0" w:colFirst="0" w:colLast="0"/>
      <w:bookmarkEnd w:id="5"/>
      <w:r>
        <w:rPr>
          <w:b/>
          <w:bCs/>
          <w:color w:val="000000"/>
          <w:sz w:val="26"/>
          <w:szCs w:val="26"/>
        </w:rPr>
        <w:t>4. Domestic Tourism, Operational Costs, and Workforce Pressures</w:t>
      </w:r>
    </w:p>
    <w:p w:rsidR="005E4CE4">
      <w:pPr>
        <w:spacing w:after="240" w:line="240" w:lineRule="auto"/>
      </w:pPr>
      <w:r>
        <w:t>Rising operational overheads are directly threatening the affordability of outdoor domestic trips:</w:t>
      </w:r>
    </w:p>
    <w:p w:rsidR="005E4CE4">
      <w:pPr>
        <w:numPr>
          <w:ilvl w:val="0"/>
          <w:numId w:val="1"/>
        </w:numPr>
        <w:spacing w:line="240" w:lineRule="auto"/>
        <w:rPr>
          <w:color w:val="000000"/>
        </w:rPr>
      </w:pPr>
      <w:r>
        <w:rPr>
          <w:b/>
          <w:bCs/>
        </w:rPr>
        <w:t>Amenity Maintenance Escalation:</w:t>
      </w:r>
      <w:r>
        <w:t xml:space="preserve"> The cost of maintaining high-quality site amenities (such as electricity, showers and heated glamping pods) has surged by approximately 30% since 2024. This cost pressure increases consumer price sensitivity, shifting demand toward smaller, lower-cost 5-pitch Certificated Locations or informal camping options.</w:t>
      </w:r>
    </w:p>
    <w:p w:rsidR="005E4CE4">
      <w:pPr>
        <w:numPr>
          <w:ilvl w:val="0"/>
          <w:numId w:val="1"/>
        </w:numPr>
        <w:spacing w:after="240" w:line="240" w:lineRule="auto"/>
        <w:rPr>
          <w:color w:val="000000"/>
        </w:rPr>
      </w:pPr>
      <w:r>
        <w:rPr>
          <w:b/>
          <w:bCs/>
        </w:rPr>
        <w:t>Workforce Costs:</w:t>
      </w:r>
      <w:r>
        <w:t xml:space="preserve"> Managing glamping turnarounds is highly labour-intensive. Consecutive rises in the National Living Wage represent a significant financial strain on seasonal and year round site operations especially noticeable given the high numbers of staff required to operate a country wide network of campsites.</w:t>
      </w:r>
    </w:p>
    <w:p w:rsidR="005E4CE4">
      <w:pPr>
        <w:pStyle w:val="Heading3"/>
        <w:keepNext w:val="0"/>
        <w:keepLines w:val="0"/>
        <w:spacing w:before="0"/>
        <w:rPr>
          <w:b/>
          <w:bCs/>
          <w:color w:val="000000"/>
          <w:sz w:val="26"/>
          <w:szCs w:val="26"/>
        </w:rPr>
      </w:pPr>
      <w:bookmarkStart w:id="6" w:name="_6yy349tvheo0" w:colFirst="0" w:colLast="0"/>
      <w:bookmarkEnd w:id="6"/>
      <w:r>
        <w:rPr>
          <w:b/>
          <w:bCs/>
          <w:color w:val="000000"/>
          <w:sz w:val="26"/>
          <w:szCs w:val="26"/>
        </w:rPr>
        <w:t>5. Consolidated Strategic Recommendations</w:t>
      </w:r>
    </w:p>
    <w:p w:rsidR="005E4CE4">
      <w:pPr>
        <w:spacing w:after="240" w:line="240" w:lineRule="auto"/>
      </w:pPr>
      <w:r>
        <w:t>To restore industry confidence and safeguard the affordable holiday sector, we ask the Committee to recommend the following strategic interventions to the Government:</w:t>
      </w:r>
    </w:p>
    <w:p w:rsidR="005E4CE4">
      <w:pPr>
        <w:numPr>
          <w:ilvl w:val="0"/>
          <w:numId w:val="5"/>
        </w:numPr>
        <w:spacing w:line="240" w:lineRule="auto"/>
      </w:pPr>
      <w:r>
        <w:rPr>
          <w:b/>
          <w:bCs/>
        </w:rPr>
        <w:t>Deliver Comprehensive VAT Reform:</w:t>
      </w:r>
      <w:r>
        <w:t xml:space="preserve"> Reduce the standard 20% VAT rate on accommodation and hospitality down to 10%–12.5%. This aligns the UK with European competitor averages (9%–10%) and is the single most effective tool to restore price competitiveness.  Evidence from temporary pandemic reductions proves that lower VAT rates stimulate domestic demand, protect small operators, and preserve jobs.</w:t>
      </w:r>
    </w:p>
    <w:p w:rsidR="005E4CE4">
      <w:pPr>
        <w:numPr>
          <w:ilvl w:val="0"/>
          <w:numId w:val="5"/>
        </w:numPr>
        <w:spacing w:line="240" w:lineRule="auto"/>
      </w:pPr>
      <w:r>
        <w:rPr>
          <w:b/>
          <w:bCs/>
        </w:rPr>
        <w:t>Mandate a "Pitch-Only" National Exemption:</w:t>
      </w:r>
      <w:r>
        <w:t xml:space="preserve"> If OVL enabling legislation proceeds, the national framework must explicitly exempt member-owned touring caravans, motorhomes, campervans, and tents at recognised club sites and affiliated locations.</w:t>
      </w:r>
    </w:p>
    <w:p w:rsidR="005E4CE4">
      <w:pPr>
        <w:numPr>
          <w:ilvl w:val="0"/>
          <w:numId w:val="5"/>
        </w:numPr>
        <w:spacing w:line="240" w:lineRule="auto"/>
      </w:pPr>
      <w:r>
        <w:rPr>
          <w:b/>
          <w:bCs/>
        </w:rPr>
        <w:t>Prevent Regressive Flat Fees:</w:t>
      </w:r>
      <w:r>
        <w:t xml:space="preserve"> If a levy is legislated, the legislative framework must mandate a simple tariff system which must not be a complex, fragmented local system in order to avoid an administrative patchwork for operators managing multi-site networks across borders.  Lessons should be learnt from the legislation in place in Scotland and Wales.  It must also be reflective of the cost/type of accommodation to ensure that the sector remains affordable, and holidays are accessible to all.  This will ensure that we can maintain the </w:t>
      </w:r>
      <w:r>
        <w:t>UK's position as an affordable outdoor destination and make the process more sympathetic towards domestic residents and tourists, as well as international visitors.</w:t>
      </w:r>
    </w:p>
    <w:p w:rsidR="005E4CE4">
      <w:pPr>
        <w:numPr>
          <w:ilvl w:val="0"/>
          <w:numId w:val="5"/>
        </w:numPr>
        <w:spacing w:line="240" w:lineRule="auto"/>
      </w:pPr>
      <w:r>
        <w:rPr>
          <w:b/>
          <w:bCs/>
        </w:rPr>
        <w:t xml:space="preserve">Establish a Small-Site </w:t>
      </w:r>
      <w:r>
        <w:rPr>
          <w:b/>
          <w:bCs/>
          <w:i/>
          <w:iCs/>
        </w:rPr>
        <w:t>De Minimis</w:t>
      </w:r>
      <w:r>
        <w:rPr>
          <w:b/>
          <w:bCs/>
        </w:rPr>
        <w:t xml:space="preserve"> Threshold:</w:t>
      </w:r>
      <w:r>
        <w:t xml:space="preserve"> Completely exempt small-scale rural operations and micro-businesses with under 10 pitches (such as Certificated Locations) and volunteer-run temporary campsites from levy collection to prevent an increasing administrative burden.</w:t>
      </w:r>
    </w:p>
    <w:p w:rsidR="005E4CE4">
      <w:pPr>
        <w:numPr>
          <w:ilvl w:val="0"/>
          <w:numId w:val="5"/>
        </w:numPr>
        <w:spacing w:line="240" w:lineRule="auto"/>
      </w:pPr>
      <w:r>
        <w:rPr>
          <w:b/>
          <w:bCs/>
        </w:rPr>
        <w:t>Enforce Absolute Revenue Ring-Fencing:</w:t>
      </w:r>
      <w:r>
        <w:t xml:space="preserve"> Any revenue raised via visitor levies must be statutorily hypothecated directly back into local tourism infrastructure. For </w:t>
      </w:r>
      <w:r>
        <w:t xml:space="preserve">the mobile sector, these funds must be transparently earmarked for </w:t>
      </w:r>
      <w:r>
        <w:rPr>
          <w:b/>
          <w:bCs/>
        </w:rPr>
        <w:t>Motorhome Service Points (</w:t>
      </w:r>
      <w:r>
        <w:rPr>
          <w:b/>
          <w:bCs/>
          <w:i/>
          <w:iCs/>
        </w:rPr>
        <w:t>aires</w:t>
      </w:r>
      <w:r>
        <w:rPr>
          <w:b/>
          <w:bCs/>
        </w:rPr>
        <w:t>)</w:t>
      </w:r>
      <w:r>
        <w:t xml:space="preserve"> (chemical waste/grey-water disposal) and </w:t>
      </w:r>
      <w:r>
        <w:rPr>
          <w:b/>
          <w:bCs/>
        </w:rPr>
        <w:t>Rural Road Maintenance</w:t>
      </w:r>
      <w:r>
        <w:t xml:space="preserve"> to repair potholes and improve passing places on minor site access routes.</w:t>
      </w:r>
    </w:p>
    <w:p w:rsidR="005E4CE4">
      <w:pPr>
        <w:numPr>
          <w:ilvl w:val="0"/>
          <w:numId w:val="5"/>
        </w:numPr>
        <w:spacing w:line="240" w:lineRule="auto"/>
      </w:pPr>
      <w:r>
        <w:rPr>
          <w:b/>
          <w:bCs/>
        </w:rPr>
        <w:t>Provide Centralised, Streamlined Administration:</w:t>
      </w:r>
      <w:r>
        <w:t xml:space="preserve"> Reject a fragmented patchwork of local collection systems. The Government must build a single national secure digital portal and API that integrates directly with existing Property Management Systems and campsite booking software to minimise operator bureaucracy.</w:t>
      </w:r>
    </w:p>
    <w:p w:rsidR="005E4CE4">
      <w:pPr>
        <w:numPr>
          <w:ilvl w:val="0"/>
          <w:numId w:val="5"/>
        </w:numPr>
        <w:spacing w:after="240" w:line="240" w:lineRule="auto"/>
      </w:pPr>
      <w:r>
        <w:rPr>
          <w:b/>
          <w:bCs/>
        </w:rPr>
        <w:t>Mandate Clear Legislative Safeguards:</w:t>
      </w:r>
      <w:r>
        <w:t xml:space="preserve"> Any local levy power must require a comprehensive, independent economic impact assessment, an 18-month notice period for booking systems, and a mandatory 5-year "sunset clause" requiring active re-voting by local authorities.</w:t>
      </w:r>
    </w:p>
    <w:p w:rsidR="005E4CE4">
      <w:r>
        <w:pict>
          <v:rect id="_x0000_i1029" style="height:1.5pt;width:0" o:hralign="center" o:hrstd="t" o:hr="t" fillcolor="#a0a0a0" stroked="f"/>
        </w:pict>
      </w:r>
    </w:p>
    <w:p w:rsidR="005E4CE4">
      <w:pPr>
        <w:pStyle w:val="Heading3"/>
        <w:keepNext w:val="0"/>
        <w:keepLines w:val="0"/>
        <w:spacing w:before="0"/>
        <w:rPr>
          <w:b/>
          <w:bCs/>
          <w:color w:val="000000"/>
          <w:sz w:val="26"/>
          <w:szCs w:val="26"/>
        </w:rPr>
      </w:pPr>
      <w:bookmarkStart w:id="7" w:name="_2bekq3og58f7" w:colFirst="0" w:colLast="0"/>
      <w:bookmarkEnd w:id="7"/>
      <w:r>
        <w:rPr>
          <w:b/>
          <w:bCs/>
          <w:color w:val="000000"/>
          <w:sz w:val="26"/>
          <w:szCs w:val="26"/>
        </w:rPr>
        <w:t>Conclusion</w:t>
      </w:r>
    </w:p>
    <w:p w:rsidR="005E4CE4">
      <w:pPr>
        <w:spacing w:after="240" w:line="240" w:lineRule="auto"/>
      </w:pPr>
      <w:r>
        <w:t>The Caravan and Motorhome Club is very willing to provide oral evidence to the Committee, alongside supplementary data and member case studies, to support the long-term resilience of the UK visitor economy.</w:t>
      </w:r>
    </w:p>
    <w:p w:rsidR="005E4CE4"/>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7ABA9D6-5623-4AAD-BD18-7731F38C3FC7}"/>
  </w:font>
  <w:font w:name="Cambria">
    <w:panose1 w:val="02040503050406030204"/>
    <w:charset w:val="00"/>
    <w:family w:val="roman"/>
    <w:pitch w:val="variable"/>
    <w:sig w:usb0="E00006FF" w:usb1="420024FF" w:usb2="02000000" w:usb3="00000000" w:csb0="0000019F" w:csb1="00000000"/>
    <w:embedRegular r:id="rId2" w:fontKey="{4B6D9D61-9B41-4F5E-B324-456C6738720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91891">
      <w:pPr>
        <w:spacing w:line="240" w:lineRule="auto"/>
      </w:pPr>
      <w:r>
        <w:separator/>
      </w:r>
    </w:p>
  </w:footnote>
  <w:footnote w:type="continuationSeparator" w:id="1">
    <w:p w:rsidR="00391891">
      <w:pPr>
        <w:spacing w:line="240" w:lineRule="auto"/>
      </w:pPr>
      <w:r>
        <w:continuationSeparator/>
      </w:r>
    </w:p>
  </w:footnote>
  <w:footnote w:id="2">
    <w:p w:rsidR="005E4CE4">
      <w:pPr>
        <w:spacing w:line="240" w:lineRule="auto"/>
        <w:rPr>
          <w:sz w:val="20"/>
          <w:szCs w:val="20"/>
        </w:rPr>
      </w:pPr>
      <w:r>
        <w:rPr>
          <w:vertAlign w:val="superscript"/>
        </w:rPr>
        <w:footnoteRef/>
      </w:r>
      <w:r>
        <w:rPr>
          <w:sz w:val="20"/>
          <w:szCs w:val="20"/>
        </w:rPr>
        <w:t xml:space="preserve"> https://www.ukcca.org.uk/#pdfFindings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TOU0058</dc:title>
  <cp:revision>0</cp:revision>
</cp:coreProperties>
</file>