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12950" w:rsidRPr="00560C4C" w:rsidP="00C12950">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Pr>
          <w:rFonts w:ascii="Calibri" w:hAnsi="Calibri" w:cs="Calibri"/>
          <w:sz w:val="28"/>
          <w:szCs w:val="28"/>
        </w:rPr>
        <w:t xml:space="preserve"> the</w:t>
      </w:r>
      <w:r w:rsidRPr="00922D69">
        <w:rPr>
          <w:rFonts w:ascii="Calibri" w:hAnsi="Calibri" w:cs="Calibri"/>
          <w:sz w:val="28"/>
          <w:szCs w:val="28"/>
        </w:rPr>
        <w:t xml:space="preserve"> </w:t>
      </w:r>
      <w:r>
        <w:rPr>
          <w:rFonts w:ascii="Calibri" w:hAnsi="Calibri" w:cs="Calibri"/>
          <w:sz w:val="28"/>
          <w:szCs w:val="28"/>
        </w:rPr>
        <w:br/>
      </w:r>
      <w:r w:rsidRPr="00C12950">
        <w:rPr>
          <w:rFonts w:ascii="Calibri" w:hAnsi="Calibri" w:cs="Calibri"/>
          <w:sz w:val="28"/>
          <w:szCs w:val="28"/>
        </w:rPr>
        <w:t>Association of International Retail (AIR)</w:t>
      </w:r>
    </w:p>
    <w:p w:rsidR="00C12950" w:rsidP="007C04A1">
      <w:pPr>
        <w:jc w:val="center"/>
        <w:rPr>
          <w:rFonts w:cstheme="minorHAnsi"/>
          <w:b/>
          <w:bCs/>
          <w:sz w:val="22"/>
          <w:szCs w:val="22"/>
          <w:u w:val="single"/>
        </w:rPr>
      </w:pPr>
    </w:p>
    <w:p w:rsidR="005E3221" w:rsidRPr="00D622B2" w:rsidP="00D622B2">
      <w:pPr>
        <w:pStyle w:val="ListParagraph"/>
        <w:numPr>
          <w:ilvl w:val="0"/>
          <w:numId w:val="5"/>
        </w:numPr>
        <w:ind w:left="720" w:hanging="720"/>
        <w:jc w:val="both"/>
        <w:rPr>
          <w:rFonts w:cstheme="minorHAnsi"/>
          <w:sz w:val="22"/>
          <w:szCs w:val="22"/>
          <w:u w:val="single"/>
        </w:rPr>
      </w:pPr>
      <w:r w:rsidRPr="00D622B2">
        <w:rPr>
          <w:rFonts w:cstheme="minorHAnsi"/>
          <w:sz w:val="22"/>
          <w:szCs w:val="22"/>
          <w:u w:val="single"/>
        </w:rPr>
        <w:t>AIR welcomes the Committee’s Inquiry</w:t>
      </w:r>
    </w:p>
    <w:p w:rsidR="005E3221" w:rsidP="00D622B2">
      <w:pPr>
        <w:ind w:left="720" w:hanging="720"/>
        <w:jc w:val="both"/>
        <w:rPr>
          <w:lang w:eastAsia="en-GB"/>
        </w:rPr>
      </w:pPr>
      <w:r>
        <w:rPr>
          <w:sz w:val="22"/>
          <w:szCs w:val="22"/>
        </w:rPr>
        <w:t xml:space="preserve">1.1         AIR welcomes the Committee’s inquiry into the Future of UK Tourism, </w:t>
      </w:r>
      <w:r>
        <w:rPr>
          <w:sz w:val="22"/>
          <w:szCs w:val="22"/>
        </w:rPr>
        <w:t>announced as</w:t>
      </w:r>
      <w:r>
        <w:rPr>
          <w:sz w:val="22"/>
          <w:szCs w:val="22"/>
        </w:rPr>
        <w:t xml:space="preserve"> the Government</w:t>
      </w:r>
      <w:r>
        <w:rPr>
          <w:sz w:val="22"/>
          <w:szCs w:val="22"/>
        </w:rPr>
        <w:t xml:space="preserve"> prepares to publish its </w:t>
      </w:r>
      <w:r>
        <w:rPr>
          <w:sz w:val="22"/>
          <w:szCs w:val="22"/>
        </w:rPr>
        <w:t>National Visitor Economy Growth Strategy. AIR is a national industry group campaigning for policy change to increase international visitor numbers and spending, particularly on retail</w:t>
      </w:r>
      <w:r>
        <w:rPr>
          <w:rStyle w:val="FootnoteReference"/>
          <w:sz w:val="22"/>
          <w:szCs w:val="22"/>
        </w:rPr>
        <w:footnoteReference w:id="2"/>
      </w:r>
      <w:r>
        <w:rPr>
          <w:sz w:val="22"/>
          <w:szCs w:val="22"/>
        </w:rPr>
        <w:t>. Our current focus is the introduction of a new tax-free shopping system for all international visitors to the UK.</w:t>
      </w:r>
    </w:p>
    <w:p w:rsidR="005E3221" w:rsidRPr="00D622B2" w:rsidP="00D622B2">
      <w:pPr>
        <w:ind w:left="720" w:hanging="720"/>
        <w:jc w:val="both"/>
        <w:rPr>
          <w:rFonts w:cstheme="minorHAnsi"/>
          <w:sz w:val="22"/>
          <w:szCs w:val="22"/>
        </w:rPr>
      </w:pPr>
      <w:r>
        <w:rPr>
          <w:rFonts w:cstheme="minorHAnsi"/>
          <w:sz w:val="22"/>
          <w:szCs w:val="22"/>
        </w:rPr>
        <w:t>1.2</w:t>
      </w:r>
      <w:r>
        <w:rPr>
          <w:rFonts w:cstheme="minorHAnsi"/>
          <w:sz w:val="22"/>
          <w:szCs w:val="22"/>
        </w:rPr>
        <w:tab/>
      </w:r>
      <w:r w:rsidRPr="00D622B2">
        <w:rPr>
          <w:rFonts w:cstheme="minorHAnsi"/>
          <w:sz w:val="22"/>
          <w:szCs w:val="22"/>
        </w:rPr>
        <w:t xml:space="preserve">Our submission focusses on the inquiry’s </w:t>
      </w:r>
      <w:r w:rsidRPr="00D622B2">
        <w:rPr>
          <w:rFonts w:cstheme="minorHAnsi"/>
          <w:sz w:val="22"/>
          <w:szCs w:val="22"/>
        </w:rPr>
        <w:t>themes “</w:t>
      </w:r>
      <w:r w:rsidRPr="00B7412F">
        <w:rPr>
          <w:rFonts w:cstheme="minorHAnsi"/>
          <w:sz w:val="22"/>
          <w:szCs w:val="22"/>
        </w:rPr>
        <w:t>1) How effective are government policies in supporting the growth, competitiveness and long-term resilience of the tourism sector?</w:t>
      </w:r>
      <w:r w:rsidRPr="00D622B2">
        <w:rPr>
          <w:rFonts w:cstheme="minorHAnsi"/>
          <w:sz w:val="22"/>
          <w:szCs w:val="22"/>
        </w:rPr>
        <w:t>” and “</w:t>
      </w:r>
      <w:r w:rsidRPr="00B7412F">
        <w:rPr>
          <w:rFonts w:cstheme="minorHAnsi"/>
          <w:sz w:val="22"/>
          <w:szCs w:val="22"/>
        </w:rPr>
        <w:t>6) How can tourism better support regional growth, community prosperity and wider Government objectives?</w:t>
      </w:r>
      <w:r w:rsidRPr="00D622B2">
        <w:rPr>
          <w:rFonts w:cstheme="minorHAnsi"/>
          <w:sz w:val="22"/>
          <w:szCs w:val="22"/>
        </w:rPr>
        <w:t>.”</w:t>
      </w:r>
    </w:p>
    <w:p w:rsidR="005E3221" w:rsidRPr="00D622B2" w:rsidP="00D622B2">
      <w:pPr>
        <w:ind w:left="720" w:hanging="720"/>
        <w:jc w:val="both"/>
        <w:rPr>
          <w:rFonts w:cstheme="minorHAnsi"/>
          <w:sz w:val="22"/>
          <w:szCs w:val="22"/>
          <w:u w:val="single"/>
        </w:rPr>
      </w:pPr>
      <w:r w:rsidRPr="00D622B2">
        <w:rPr>
          <w:rFonts w:cstheme="minorHAnsi"/>
          <w:sz w:val="22"/>
          <w:szCs w:val="22"/>
        </w:rPr>
        <w:t>2.</w:t>
      </w:r>
      <w:r w:rsidRPr="00D622B2">
        <w:rPr>
          <w:rFonts w:cstheme="minorHAnsi"/>
          <w:sz w:val="22"/>
          <w:szCs w:val="22"/>
        </w:rPr>
        <w:tab/>
      </w:r>
      <w:r w:rsidRPr="00D622B2">
        <w:rPr>
          <w:rFonts w:cstheme="minorHAnsi"/>
          <w:sz w:val="22"/>
          <w:szCs w:val="22"/>
          <w:u w:val="single"/>
        </w:rPr>
        <w:t>AIR welcomes the focus on tourism as a major driver of regional growth</w:t>
      </w:r>
    </w:p>
    <w:p w:rsidR="005E3221" w:rsidP="00D622B2">
      <w:pPr>
        <w:ind w:left="720" w:hanging="720"/>
        <w:jc w:val="both"/>
        <w:rPr>
          <w:lang w:eastAsia="en-GB"/>
        </w:rPr>
      </w:pPr>
      <w:r>
        <w:rPr>
          <w:sz w:val="22"/>
          <w:szCs w:val="22"/>
        </w:rPr>
        <w:t>2.1         The new Growth Strategy is likely to recognise tourism’s importance to regional economies, both in generating income and investment and in strengthening metro mayors’ finances. Although much of the sector opposes the Overnight Visitor Levy, if introduced it would directly link visitor growth to increased mayoral funding.</w:t>
      </w:r>
    </w:p>
    <w:p w:rsidR="005E3221" w:rsidP="00D622B2">
      <w:pPr>
        <w:ind w:left="720" w:hanging="720"/>
        <w:jc w:val="both"/>
        <w:rPr>
          <w:lang w:eastAsia="en-GB"/>
        </w:rPr>
      </w:pPr>
      <w:r>
        <w:rPr>
          <w:sz w:val="22"/>
          <w:szCs w:val="22"/>
        </w:rPr>
        <w:t xml:space="preserve">2.2         AIR </w:t>
      </w:r>
      <w:r>
        <w:rPr>
          <w:sz w:val="22"/>
          <w:szCs w:val="22"/>
        </w:rPr>
        <w:t>supports</w:t>
      </w:r>
      <w:r>
        <w:rPr>
          <w:sz w:val="22"/>
          <w:szCs w:val="22"/>
        </w:rPr>
        <w:t xml:space="preserve"> this stronger emphasis on regional tourism. </w:t>
      </w:r>
      <w:r>
        <w:rPr>
          <w:sz w:val="22"/>
          <w:szCs w:val="22"/>
        </w:rPr>
        <w:t xml:space="preserve">This </w:t>
      </w:r>
      <w:r>
        <w:rPr>
          <w:sz w:val="22"/>
          <w:szCs w:val="22"/>
        </w:rPr>
        <w:t>makes it even more</w:t>
      </w:r>
      <w:r>
        <w:rPr>
          <w:sz w:val="22"/>
          <w:szCs w:val="22"/>
        </w:rPr>
        <w:t xml:space="preserve"> important that the Government reviews the new evidence on tax-free shopping and its role in attracting international visitors, increasing spending across the UK and generating net tax revenues for the Exchequer.</w:t>
      </w:r>
    </w:p>
    <w:p w:rsidR="005E3221" w:rsidRPr="00D622B2" w:rsidP="00D622B2">
      <w:pPr>
        <w:ind w:left="720" w:hanging="720"/>
        <w:jc w:val="both"/>
        <w:rPr>
          <w:rFonts w:cstheme="minorHAnsi"/>
          <w:sz w:val="22"/>
          <w:szCs w:val="22"/>
          <w:u w:val="single"/>
        </w:rPr>
      </w:pPr>
      <w:r>
        <w:rPr>
          <w:rFonts w:cstheme="minorHAnsi"/>
          <w:sz w:val="22"/>
          <w:szCs w:val="22"/>
        </w:rPr>
        <w:t>3.</w:t>
      </w:r>
      <w:r>
        <w:rPr>
          <w:rFonts w:cstheme="minorHAnsi"/>
          <w:sz w:val="22"/>
          <w:szCs w:val="22"/>
        </w:rPr>
        <w:tab/>
      </w:r>
      <w:r>
        <w:rPr>
          <w:rFonts w:cstheme="minorHAnsi"/>
          <w:sz w:val="22"/>
          <w:szCs w:val="22"/>
          <w:u w:val="single"/>
        </w:rPr>
        <w:t>Britain’s</w:t>
      </w:r>
      <w:r w:rsidRPr="00D622B2">
        <w:rPr>
          <w:rFonts w:cstheme="minorHAnsi"/>
          <w:sz w:val="22"/>
          <w:szCs w:val="22"/>
          <w:u w:val="single"/>
        </w:rPr>
        <w:t xml:space="preserve"> regions </w:t>
      </w:r>
      <w:r w:rsidRPr="00D622B2">
        <w:rPr>
          <w:rFonts w:cstheme="minorHAnsi"/>
          <w:sz w:val="22"/>
          <w:szCs w:val="22"/>
          <w:u w:val="single"/>
        </w:rPr>
        <w:t>will</w:t>
      </w:r>
      <w:r w:rsidRPr="00D622B2">
        <w:rPr>
          <w:rFonts w:cstheme="minorHAnsi"/>
          <w:sz w:val="22"/>
          <w:szCs w:val="22"/>
          <w:u w:val="single"/>
        </w:rPr>
        <w:t xml:space="preserve"> win from </w:t>
      </w:r>
      <w:r>
        <w:rPr>
          <w:rFonts w:cstheme="minorHAnsi"/>
          <w:sz w:val="22"/>
          <w:szCs w:val="22"/>
          <w:u w:val="single"/>
        </w:rPr>
        <w:t>the UK’</w:t>
      </w:r>
      <w:r w:rsidRPr="00D622B2">
        <w:rPr>
          <w:rFonts w:cstheme="minorHAnsi"/>
          <w:sz w:val="22"/>
          <w:szCs w:val="22"/>
          <w:u w:val="single"/>
        </w:rPr>
        <w:t>s unique, new opportunity to become Europe’s top shopping destination</w:t>
      </w:r>
      <w:r w:rsidRPr="00D622B2">
        <w:rPr>
          <w:rFonts w:cstheme="minorHAnsi"/>
          <w:sz w:val="22"/>
          <w:szCs w:val="22"/>
          <w:u w:val="single"/>
        </w:rPr>
        <w:t xml:space="preserve"> </w:t>
      </w:r>
    </w:p>
    <w:p w:rsidR="005E3221" w:rsidRPr="00D622B2" w:rsidP="00D622B2">
      <w:pPr>
        <w:ind w:left="720" w:hanging="720"/>
        <w:jc w:val="both"/>
        <w:rPr>
          <w:rFonts w:cstheme="minorHAnsi"/>
          <w:sz w:val="22"/>
          <w:szCs w:val="22"/>
        </w:rPr>
      </w:pPr>
      <w:r>
        <w:rPr>
          <w:rFonts w:cstheme="minorHAnsi"/>
          <w:sz w:val="22"/>
          <w:szCs w:val="22"/>
        </w:rPr>
        <w:t>3.1</w:t>
      </w:r>
      <w:r>
        <w:rPr>
          <w:rFonts w:cstheme="minorHAnsi"/>
          <w:sz w:val="22"/>
          <w:szCs w:val="22"/>
        </w:rPr>
        <w:tab/>
      </w:r>
      <w:r w:rsidRPr="00D622B2">
        <w:rPr>
          <w:rFonts w:cstheme="minorHAnsi"/>
          <w:sz w:val="22"/>
          <w:szCs w:val="22"/>
        </w:rPr>
        <w:t xml:space="preserve">Leaving the EU has created the opportunity for Britain to become the only European country that can offer tax-free shopping to all international travellers, including 450 million EU residents. </w:t>
      </w:r>
      <w:r>
        <w:rPr>
          <w:rFonts w:cstheme="minorHAnsi"/>
          <w:sz w:val="22"/>
          <w:szCs w:val="22"/>
        </w:rPr>
        <w:t>T</w:t>
      </w:r>
      <w:r w:rsidRPr="00D622B2">
        <w:rPr>
          <w:rFonts w:cstheme="minorHAnsi"/>
          <w:sz w:val="22"/>
          <w:szCs w:val="22"/>
        </w:rPr>
        <w:t>his makes Britain the number one choice for global shoppers and investors in retail, hospitality, leisure and culture</w:t>
      </w:r>
      <w:r>
        <w:rPr>
          <w:rFonts w:cstheme="minorHAnsi"/>
          <w:sz w:val="22"/>
          <w:szCs w:val="22"/>
        </w:rPr>
        <w:t xml:space="preserve"> and </w:t>
      </w:r>
      <w:r w:rsidRPr="00D622B2">
        <w:rPr>
          <w:rFonts w:cstheme="minorHAnsi"/>
          <w:sz w:val="22"/>
          <w:szCs w:val="22"/>
        </w:rPr>
        <w:t>would also create a significant new international tourist market for every region in the UK.</w:t>
      </w:r>
    </w:p>
    <w:p w:rsidR="005E3221" w:rsidP="00D622B2">
      <w:pPr>
        <w:ind w:left="720" w:hanging="720"/>
        <w:jc w:val="both"/>
        <w:rPr>
          <w:lang w:eastAsia="en-GB"/>
        </w:rPr>
      </w:pPr>
      <w:r>
        <w:rPr>
          <w:sz w:val="22"/>
          <w:szCs w:val="22"/>
        </w:rPr>
        <w:t>3.2         The previous scheme applied only to non-EU visitors, who typically made long, infrequent multi-country trips on which London was often the only UK stop; as a result, around 80% of tax-free shopping in 2019 took place in the capital. A new scheme would also include EU visitors, whose behaviour is different: they can travel to the UK more often, more cheaply and more easily, and are more likely to visit regions beyond London, whether from the capital or directly via regional airports, rail or ferr</w:t>
      </w:r>
      <w:r>
        <w:rPr>
          <w:sz w:val="22"/>
          <w:szCs w:val="22"/>
        </w:rPr>
        <w:t xml:space="preserve">y. VisitBritain figures show that half of EU visitor </w:t>
      </w:r>
      <w:r>
        <w:rPr>
          <w:sz w:val="22"/>
          <w:szCs w:val="22"/>
        </w:rPr>
        <w:t>spending already takes place outside London. A new tax-free shopping scheme would create a new tourism market for the UK’s regions.</w:t>
      </w:r>
    </w:p>
    <w:p w:rsidR="005E3221" w:rsidP="00D622B2">
      <w:pPr>
        <w:ind w:left="720" w:hanging="720"/>
        <w:jc w:val="both"/>
        <w:rPr>
          <w:rFonts w:cstheme="minorHAnsi"/>
          <w:sz w:val="22"/>
          <w:szCs w:val="22"/>
        </w:rPr>
      </w:pPr>
      <w:r>
        <w:rPr>
          <w:rFonts w:cstheme="minorHAnsi"/>
          <w:sz w:val="22"/>
          <w:szCs w:val="22"/>
        </w:rPr>
        <w:t>3.3</w:t>
      </w:r>
      <w:r>
        <w:rPr>
          <w:rFonts w:cstheme="minorHAnsi"/>
          <w:sz w:val="22"/>
          <w:szCs w:val="22"/>
        </w:rPr>
        <w:tab/>
      </w:r>
      <w:r w:rsidRPr="00D622B2">
        <w:rPr>
          <w:rFonts w:cstheme="minorHAnsi"/>
          <w:sz w:val="22"/>
          <w:szCs w:val="22"/>
        </w:rPr>
        <w:t>Five years on from the ending of tax-free shopping</w:t>
      </w:r>
      <w:r>
        <w:rPr>
          <w:rFonts w:cstheme="minorHAnsi"/>
          <w:sz w:val="22"/>
          <w:szCs w:val="22"/>
        </w:rPr>
        <w:t xml:space="preserve"> in the UK</w:t>
      </w:r>
      <w:r w:rsidRPr="00D622B2">
        <w:rPr>
          <w:rFonts w:cstheme="minorHAnsi"/>
          <w:sz w:val="22"/>
          <w:szCs w:val="22"/>
        </w:rPr>
        <w:t>, all the evidence now available shows that</w:t>
      </w:r>
      <w:r>
        <w:rPr>
          <w:rFonts w:cstheme="minorHAnsi"/>
          <w:sz w:val="22"/>
          <w:szCs w:val="22"/>
        </w:rPr>
        <w:t>:</w:t>
      </w:r>
    </w:p>
    <w:p w:rsidR="005E3221" w:rsidRPr="00D622B2" w:rsidP="00D622B2">
      <w:pPr>
        <w:pStyle w:val="ListParagraph"/>
        <w:numPr>
          <w:ilvl w:val="0"/>
          <w:numId w:val="7"/>
        </w:numPr>
        <w:jc w:val="both"/>
        <w:rPr>
          <w:rFonts w:cstheme="minorHAnsi"/>
          <w:sz w:val="22"/>
          <w:szCs w:val="22"/>
        </w:rPr>
      </w:pPr>
      <w:r w:rsidRPr="00D622B2">
        <w:rPr>
          <w:rFonts w:cstheme="minorHAnsi"/>
          <w:sz w:val="22"/>
          <w:szCs w:val="22"/>
        </w:rPr>
        <w:t>the decision has reduced non-EU visitor numbers and spending levels; and</w:t>
      </w:r>
    </w:p>
    <w:p w:rsidR="005E3221" w:rsidRPr="00D622B2" w:rsidP="00D622B2">
      <w:pPr>
        <w:pStyle w:val="ListParagraph"/>
        <w:numPr>
          <w:ilvl w:val="0"/>
          <w:numId w:val="7"/>
        </w:numPr>
        <w:jc w:val="both"/>
        <w:rPr>
          <w:rFonts w:cstheme="minorHAnsi"/>
          <w:sz w:val="22"/>
          <w:szCs w:val="22"/>
        </w:rPr>
      </w:pPr>
      <w:r w:rsidRPr="00D622B2">
        <w:rPr>
          <w:rFonts w:cstheme="minorHAnsi"/>
          <w:sz w:val="22"/>
          <w:szCs w:val="22"/>
        </w:rPr>
        <w:t>that introducing a tax-free shopping scheme for visitors from close neighbouring countries encourages higher visitor numbers and greater levels of spending.</w:t>
      </w:r>
    </w:p>
    <w:p w:rsidR="005E3221" w:rsidRPr="00D622B2" w:rsidP="00D622B2">
      <w:pPr>
        <w:ind w:left="720" w:hanging="720"/>
        <w:jc w:val="both"/>
        <w:rPr>
          <w:rFonts w:cstheme="minorHAnsi"/>
          <w:sz w:val="22"/>
          <w:szCs w:val="22"/>
          <w:u w:val="single"/>
        </w:rPr>
      </w:pPr>
      <w:r>
        <w:rPr>
          <w:rFonts w:cstheme="minorHAnsi"/>
          <w:sz w:val="22"/>
          <w:szCs w:val="22"/>
        </w:rPr>
        <w:t>4.</w:t>
      </w:r>
      <w:r>
        <w:rPr>
          <w:rFonts w:cstheme="minorHAnsi"/>
          <w:sz w:val="22"/>
          <w:szCs w:val="22"/>
        </w:rPr>
        <w:tab/>
      </w:r>
      <w:r w:rsidRPr="00D622B2">
        <w:rPr>
          <w:rFonts w:cstheme="minorHAnsi"/>
          <w:sz w:val="22"/>
          <w:szCs w:val="22"/>
          <w:u w:val="single"/>
        </w:rPr>
        <w:t xml:space="preserve">The impact of ending tax-free shopping for non-EU travellers – weakening Britain’s position in </w:t>
      </w:r>
      <w:r>
        <w:rPr>
          <w:rFonts w:cstheme="minorHAnsi"/>
          <w:sz w:val="22"/>
          <w:szCs w:val="22"/>
          <w:u w:val="single"/>
        </w:rPr>
        <w:t>the</w:t>
      </w:r>
      <w:r w:rsidRPr="00D622B2">
        <w:rPr>
          <w:rFonts w:cstheme="minorHAnsi"/>
          <w:sz w:val="22"/>
          <w:szCs w:val="22"/>
          <w:u w:val="single"/>
        </w:rPr>
        <w:t xml:space="preserve"> growing but increasingly competitive global market for international tourism. </w:t>
      </w:r>
    </w:p>
    <w:p w:rsidR="005E3221" w:rsidRPr="00D622B2" w:rsidP="00D622B2">
      <w:pPr>
        <w:ind w:left="720" w:hanging="720"/>
        <w:jc w:val="both"/>
        <w:rPr>
          <w:rFonts w:cstheme="minorHAnsi"/>
          <w:sz w:val="22"/>
          <w:szCs w:val="22"/>
        </w:rPr>
      </w:pPr>
      <w:r>
        <w:rPr>
          <w:rFonts w:cstheme="minorHAnsi"/>
          <w:sz w:val="22"/>
          <w:szCs w:val="22"/>
        </w:rPr>
        <w:t>4.1</w:t>
      </w:r>
      <w:r>
        <w:rPr>
          <w:rFonts w:cstheme="minorHAnsi"/>
          <w:sz w:val="22"/>
          <w:szCs w:val="22"/>
        </w:rPr>
        <w:tab/>
      </w:r>
      <w:r w:rsidRPr="00D622B2">
        <w:rPr>
          <w:rFonts w:cstheme="minorHAnsi"/>
          <w:sz w:val="22"/>
          <w:szCs w:val="22"/>
        </w:rPr>
        <w:t>The international visitor market is highly competitive, as governments increasingly recognise its value and growth potential. UN Tourism forecasts 1.8 billion international arrivals by 2030,</w:t>
      </w:r>
      <w:r>
        <w:rPr>
          <w:rStyle w:val="FootnoteReference"/>
          <w:rFonts w:cstheme="minorHAnsi"/>
          <w:sz w:val="22"/>
          <w:szCs w:val="22"/>
        </w:rPr>
        <w:footnoteReference w:id="3"/>
      </w:r>
      <w:r w:rsidRPr="00D622B2">
        <w:rPr>
          <w:rFonts w:cstheme="minorHAnsi"/>
          <w:sz w:val="22"/>
          <w:szCs w:val="22"/>
        </w:rPr>
        <w:t xml:space="preserve"> equivalent to average annual growth of about 3.3% from 2010 to 2030. The World Travel and Tourism Council forecasts international visitor spending will reach $2.9 trillion by 2035, growing at a compound annual rate of 3.4%.</w:t>
      </w:r>
      <w:r>
        <w:rPr>
          <w:rStyle w:val="FootnoteReference"/>
          <w:rFonts w:cstheme="minorHAnsi"/>
          <w:sz w:val="22"/>
          <w:szCs w:val="22"/>
        </w:rPr>
        <w:footnoteReference w:id="4"/>
      </w:r>
    </w:p>
    <w:p w:rsidR="005E3221" w:rsidRPr="00D622B2" w:rsidP="00D622B2">
      <w:pPr>
        <w:ind w:left="720" w:hanging="720"/>
        <w:jc w:val="both"/>
        <w:rPr>
          <w:rFonts w:cstheme="minorHAnsi"/>
          <w:sz w:val="22"/>
          <w:szCs w:val="22"/>
          <w:lang w:eastAsia="en-GB"/>
        </w:rPr>
      </w:pPr>
      <w:r>
        <w:rPr>
          <w:rFonts w:cstheme="minorHAnsi"/>
          <w:sz w:val="22"/>
          <w:szCs w:val="22"/>
        </w:rPr>
        <w:t>4.2</w:t>
      </w:r>
      <w:r>
        <w:rPr>
          <w:rFonts w:cstheme="minorHAnsi"/>
          <w:sz w:val="22"/>
          <w:szCs w:val="22"/>
        </w:rPr>
        <w:tab/>
      </w:r>
      <w:r w:rsidRPr="00D622B2">
        <w:rPr>
          <w:rFonts w:cstheme="minorHAnsi"/>
          <w:sz w:val="22"/>
          <w:szCs w:val="22"/>
        </w:rPr>
        <w:t>Britain ranks among the world’s 10 most visited countries, and its international visitor economy has historically outperformed the wider economy. Between 2009 and 2019, visitor numbers rose from 31 million to 40.9 million (+32%), while spending increased from £17.6 billion to £28.4 billion (+61%).</w:t>
      </w:r>
      <w:r>
        <w:rPr>
          <w:rStyle w:val="FootnoteReference"/>
          <w:rFonts w:cstheme="minorHAnsi"/>
          <w:sz w:val="22"/>
          <w:szCs w:val="22"/>
        </w:rPr>
        <w:footnoteReference w:id="5"/>
      </w:r>
      <w:r w:rsidRPr="00D622B2">
        <w:rPr>
          <w:rFonts w:cstheme="minorHAnsi"/>
          <w:sz w:val="22"/>
          <w:szCs w:val="22"/>
        </w:rPr>
        <w:t xml:space="preserve"> This average annual growth of around 6% compares favourably with wider economic growth of 1.7% over the same period.</w:t>
      </w:r>
    </w:p>
    <w:p w:rsidR="005E3221" w:rsidP="00EC5E07">
      <w:pPr>
        <w:ind w:left="720" w:hanging="720"/>
        <w:jc w:val="both"/>
        <w:rPr>
          <w:lang w:eastAsia="en-GB"/>
        </w:rPr>
      </w:pPr>
      <w:r>
        <w:rPr>
          <w:sz w:val="22"/>
          <w:szCs w:val="22"/>
        </w:rPr>
        <w:t>4.3         However, UN Tourism expects future growth to be concentrated in emerging markets rather than traditional destinations. The Government’s target of 50 million international visitors a year by 2030 will require incentives that make Britain a destination of choice.</w:t>
      </w:r>
    </w:p>
    <w:p w:rsidR="005E3221" w:rsidP="00D622B2">
      <w:pPr>
        <w:ind w:left="720" w:hanging="720"/>
        <w:jc w:val="both"/>
        <w:rPr>
          <w:lang w:eastAsia="en-GB"/>
        </w:rPr>
      </w:pPr>
      <w:r>
        <w:rPr>
          <w:sz w:val="22"/>
          <w:szCs w:val="22"/>
        </w:rPr>
        <w:t>4.4         Higher visitor numbers must also deliver higher spending. Evidence suggests Britain’s post-COVID</w:t>
      </w:r>
      <w:r>
        <w:rPr>
          <w:sz w:val="22"/>
          <w:szCs w:val="22"/>
        </w:rPr>
        <w:t>-19</w:t>
      </w:r>
      <w:r>
        <w:rPr>
          <w:sz w:val="22"/>
          <w:szCs w:val="22"/>
        </w:rPr>
        <w:t xml:space="preserve"> recovery in international tourism remains weaker than that of key competitors.</w:t>
      </w:r>
      <w:r>
        <w:rPr>
          <w:sz w:val="22"/>
          <w:szCs w:val="22"/>
        </w:rPr>
        <w:t xml:space="preserve"> W</w:t>
      </w:r>
      <w:r>
        <w:rPr>
          <w:sz w:val="22"/>
          <w:szCs w:val="22"/>
        </w:rPr>
        <w:t>hile global spending has generally recovered faster than visitor numbers, Britain’s spending recovery has lagged behind visitor growth. In short, fewer international visitors are choosing the UK, and those who do are spending less.</w:t>
      </w:r>
    </w:p>
    <w:p w:rsidR="005E3221" w:rsidRPr="00D622B2" w:rsidP="00D622B2">
      <w:pPr>
        <w:ind w:left="720" w:hanging="720"/>
        <w:jc w:val="both"/>
        <w:rPr>
          <w:rFonts w:cstheme="minorHAnsi"/>
          <w:sz w:val="22"/>
          <w:szCs w:val="22"/>
        </w:rPr>
      </w:pPr>
      <w:r>
        <w:rPr>
          <w:rFonts w:cstheme="minorHAnsi"/>
          <w:sz w:val="22"/>
          <w:szCs w:val="22"/>
        </w:rPr>
        <w:t>4.5</w:t>
      </w:r>
      <w:r>
        <w:rPr>
          <w:rFonts w:cstheme="minorHAnsi"/>
          <w:sz w:val="22"/>
          <w:szCs w:val="22"/>
        </w:rPr>
        <w:tab/>
      </w:r>
      <w:r w:rsidRPr="00D622B2">
        <w:rPr>
          <w:rFonts w:cstheme="minorHAnsi"/>
          <w:sz w:val="22"/>
          <w:szCs w:val="22"/>
        </w:rPr>
        <w:t xml:space="preserve">Table </w:t>
      </w:r>
      <w:r>
        <w:rPr>
          <w:rFonts w:cstheme="minorHAnsi"/>
          <w:sz w:val="22"/>
          <w:szCs w:val="22"/>
        </w:rPr>
        <w:t>One</w:t>
      </w:r>
      <w:r w:rsidRPr="00D622B2">
        <w:rPr>
          <w:rFonts w:cstheme="minorHAnsi"/>
          <w:sz w:val="22"/>
          <w:szCs w:val="22"/>
        </w:rPr>
        <w:t xml:space="preserve"> shows the relative recovery in 2024 to 2019, pre-COVID-19 levels of international visitor numbers and spending for Britain, France, Spain and Italy.</w:t>
      </w:r>
      <w:r>
        <w:rPr>
          <w:rStyle w:val="FootnoteReference"/>
          <w:rFonts w:cstheme="minorHAnsi"/>
          <w:sz w:val="22"/>
          <w:szCs w:val="22"/>
        </w:rPr>
        <w:footnoteReference w:id="6"/>
      </w:r>
    </w:p>
    <w:tbl>
      <w:tblPr>
        <w:tblStyle w:val="TableGrid"/>
        <w:tblW w:w="8217" w:type="dxa"/>
        <w:tblInd w:w="808" w:type="dxa"/>
        <w:tblLook w:val="04A0"/>
      </w:tblPr>
      <w:tblGrid>
        <w:gridCol w:w="1555"/>
        <w:gridCol w:w="1842"/>
        <w:gridCol w:w="1985"/>
        <w:gridCol w:w="2835"/>
      </w:tblGrid>
      <w:tr w:rsidTr="00184FF5">
        <w:tblPrEx>
          <w:tblW w:w="8217" w:type="dxa"/>
          <w:tblInd w:w="808" w:type="dxa"/>
          <w:tblLook w:val="04A0"/>
        </w:tblPrEx>
        <w:tc>
          <w:tcPr>
            <w:tcW w:w="1555" w:type="dxa"/>
            <w:shd w:val="clear" w:color="auto" w:fill="A6A6A6" w:themeFill="background1" w:themeFillShade="A6"/>
          </w:tcPr>
          <w:p w:rsidR="005E3221" w:rsidRPr="00D622B2" w:rsidP="00184FF5">
            <w:pPr>
              <w:jc w:val="both"/>
              <w:rPr>
                <w:rFonts w:cstheme="minorHAnsi"/>
                <w:sz w:val="22"/>
                <w:szCs w:val="22"/>
              </w:rPr>
            </w:pPr>
            <w:r w:rsidRPr="00D622B2">
              <w:rPr>
                <w:rFonts w:cstheme="minorHAnsi"/>
                <w:b/>
                <w:bCs/>
                <w:sz w:val="22"/>
                <w:szCs w:val="22"/>
              </w:rPr>
              <w:t>Country</w:t>
            </w:r>
          </w:p>
        </w:tc>
        <w:tc>
          <w:tcPr>
            <w:tcW w:w="1842" w:type="dxa"/>
            <w:shd w:val="clear" w:color="auto" w:fill="A6A6A6" w:themeFill="background1" w:themeFillShade="A6"/>
          </w:tcPr>
          <w:p w:rsidR="005E3221" w:rsidRPr="00D622B2" w:rsidP="00184FF5">
            <w:pPr>
              <w:jc w:val="both"/>
              <w:rPr>
                <w:rFonts w:cstheme="minorHAnsi"/>
                <w:sz w:val="22"/>
                <w:szCs w:val="22"/>
              </w:rPr>
            </w:pPr>
            <w:r w:rsidRPr="00D622B2">
              <w:rPr>
                <w:rFonts w:cstheme="minorHAnsi"/>
                <w:b/>
                <w:bCs/>
                <w:sz w:val="22"/>
                <w:szCs w:val="22"/>
              </w:rPr>
              <w:t>Visitor numbers</w:t>
            </w:r>
          </w:p>
        </w:tc>
        <w:tc>
          <w:tcPr>
            <w:tcW w:w="1985" w:type="dxa"/>
            <w:shd w:val="clear" w:color="auto" w:fill="A6A6A6" w:themeFill="background1" w:themeFillShade="A6"/>
          </w:tcPr>
          <w:p w:rsidR="005E3221" w:rsidRPr="00D622B2" w:rsidP="00184FF5">
            <w:pPr>
              <w:jc w:val="both"/>
              <w:rPr>
                <w:rFonts w:cstheme="minorHAnsi"/>
                <w:sz w:val="22"/>
                <w:szCs w:val="22"/>
              </w:rPr>
            </w:pPr>
            <w:r w:rsidRPr="00D622B2">
              <w:rPr>
                <w:rFonts w:cstheme="minorHAnsi"/>
                <w:b/>
                <w:bCs/>
                <w:sz w:val="22"/>
                <w:szCs w:val="22"/>
              </w:rPr>
              <w:t>Visitor spending</w:t>
            </w:r>
          </w:p>
        </w:tc>
        <w:tc>
          <w:tcPr>
            <w:tcW w:w="2835" w:type="dxa"/>
            <w:shd w:val="clear" w:color="auto" w:fill="A6A6A6" w:themeFill="background1" w:themeFillShade="A6"/>
          </w:tcPr>
          <w:p w:rsidR="005E3221" w:rsidRPr="00D622B2" w:rsidP="00184FF5">
            <w:pPr>
              <w:jc w:val="both"/>
              <w:rPr>
                <w:rFonts w:cstheme="minorHAnsi"/>
                <w:sz w:val="22"/>
                <w:szCs w:val="22"/>
              </w:rPr>
            </w:pPr>
            <w:r w:rsidRPr="00D622B2">
              <w:rPr>
                <w:rFonts w:cstheme="minorHAnsi"/>
                <w:b/>
                <w:bCs/>
                <w:sz w:val="22"/>
                <w:szCs w:val="22"/>
              </w:rPr>
              <w:t>Visitor spending on shopping</w:t>
            </w:r>
          </w:p>
        </w:tc>
      </w:tr>
      <w:tr w:rsidTr="00184FF5">
        <w:tblPrEx>
          <w:tblW w:w="8217" w:type="dxa"/>
          <w:tblInd w:w="808" w:type="dxa"/>
          <w:tblLook w:val="04A0"/>
        </w:tblPrEx>
        <w:tc>
          <w:tcPr>
            <w:tcW w:w="1555" w:type="dxa"/>
          </w:tcPr>
          <w:p w:rsidR="005E3221" w:rsidRPr="00D622B2" w:rsidP="00184FF5">
            <w:pPr>
              <w:jc w:val="both"/>
              <w:rPr>
                <w:rFonts w:cstheme="minorHAnsi"/>
                <w:sz w:val="22"/>
                <w:szCs w:val="22"/>
              </w:rPr>
            </w:pPr>
            <w:r w:rsidRPr="00D622B2">
              <w:rPr>
                <w:rFonts w:cstheme="minorHAnsi"/>
                <w:b/>
                <w:bCs/>
                <w:sz w:val="22"/>
                <w:szCs w:val="22"/>
              </w:rPr>
              <w:t>UK</w:t>
            </w:r>
          </w:p>
        </w:tc>
        <w:tc>
          <w:tcPr>
            <w:tcW w:w="1842" w:type="dxa"/>
          </w:tcPr>
          <w:p w:rsidR="005E3221" w:rsidRPr="00D622B2" w:rsidP="00184FF5">
            <w:pPr>
              <w:jc w:val="both"/>
              <w:rPr>
                <w:rFonts w:cstheme="minorHAnsi"/>
                <w:sz w:val="22"/>
                <w:szCs w:val="22"/>
              </w:rPr>
            </w:pPr>
            <w:r w:rsidRPr="00D622B2">
              <w:rPr>
                <w:rFonts w:cstheme="minorHAnsi"/>
                <w:b/>
                <w:bCs/>
                <w:sz w:val="22"/>
                <w:szCs w:val="22"/>
              </w:rPr>
              <w:t>99%</w:t>
            </w:r>
          </w:p>
        </w:tc>
        <w:tc>
          <w:tcPr>
            <w:tcW w:w="1985" w:type="dxa"/>
          </w:tcPr>
          <w:p w:rsidR="005E3221" w:rsidRPr="00D622B2" w:rsidP="00184FF5">
            <w:pPr>
              <w:jc w:val="both"/>
              <w:rPr>
                <w:rFonts w:cstheme="minorHAnsi"/>
                <w:sz w:val="22"/>
                <w:szCs w:val="22"/>
              </w:rPr>
            </w:pPr>
            <w:r w:rsidRPr="00D622B2">
              <w:rPr>
                <w:rFonts w:cstheme="minorHAnsi"/>
                <w:b/>
                <w:bCs/>
                <w:sz w:val="22"/>
                <w:szCs w:val="22"/>
              </w:rPr>
              <w:t>92%</w:t>
            </w:r>
          </w:p>
        </w:tc>
        <w:tc>
          <w:tcPr>
            <w:tcW w:w="2835" w:type="dxa"/>
          </w:tcPr>
          <w:p w:rsidR="005E3221" w:rsidRPr="00D622B2" w:rsidP="00184FF5">
            <w:pPr>
              <w:jc w:val="both"/>
              <w:rPr>
                <w:rFonts w:cstheme="minorHAnsi"/>
                <w:sz w:val="22"/>
                <w:szCs w:val="22"/>
              </w:rPr>
            </w:pPr>
            <w:r w:rsidRPr="00D622B2">
              <w:rPr>
                <w:rFonts w:cstheme="minorHAnsi"/>
                <w:b/>
                <w:bCs/>
                <w:sz w:val="22"/>
                <w:szCs w:val="22"/>
              </w:rPr>
              <w:t>75%</w:t>
            </w:r>
          </w:p>
        </w:tc>
      </w:tr>
      <w:tr w:rsidTr="00184FF5">
        <w:tblPrEx>
          <w:tblW w:w="8217" w:type="dxa"/>
          <w:tblInd w:w="808" w:type="dxa"/>
          <w:tblLook w:val="04A0"/>
        </w:tblPrEx>
        <w:tc>
          <w:tcPr>
            <w:tcW w:w="1555" w:type="dxa"/>
          </w:tcPr>
          <w:p w:rsidR="005E3221" w:rsidRPr="00D622B2" w:rsidP="00184FF5">
            <w:pPr>
              <w:jc w:val="both"/>
              <w:rPr>
                <w:rFonts w:cstheme="minorHAnsi"/>
                <w:sz w:val="22"/>
                <w:szCs w:val="22"/>
              </w:rPr>
            </w:pPr>
            <w:r w:rsidRPr="00D622B2">
              <w:rPr>
                <w:rFonts w:cstheme="minorHAnsi"/>
                <w:b/>
                <w:bCs/>
                <w:sz w:val="22"/>
                <w:szCs w:val="22"/>
              </w:rPr>
              <w:t>France</w:t>
            </w:r>
          </w:p>
        </w:tc>
        <w:tc>
          <w:tcPr>
            <w:tcW w:w="1842" w:type="dxa"/>
          </w:tcPr>
          <w:p w:rsidR="005E3221" w:rsidRPr="00D622B2" w:rsidP="00184FF5">
            <w:pPr>
              <w:jc w:val="both"/>
              <w:rPr>
                <w:rFonts w:cstheme="minorHAnsi"/>
                <w:sz w:val="22"/>
                <w:szCs w:val="22"/>
              </w:rPr>
            </w:pPr>
            <w:r w:rsidRPr="00D622B2">
              <w:rPr>
                <w:rFonts w:cstheme="minorHAnsi"/>
                <w:b/>
                <w:bCs/>
                <w:sz w:val="22"/>
                <w:szCs w:val="22"/>
              </w:rPr>
              <w:t>112%</w:t>
            </w:r>
          </w:p>
        </w:tc>
        <w:tc>
          <w:tcPr>
            <w:tcW w:w="1985" w:type="dxa"/>
          </w:tcPr>
          <w:p w:rsidR="005E3221" w:rsidRPr="00D622B2" w:rsidP="00184FF5">
            <w:pPr>
              <w:jc w:val="both"/>
              <w:rPr>
                <w:rFonts w:cstheme="minorHAnsi"/>
                <w:sz w:val="22"/>
                <w:szCs w:val="22"/>
              </w:rPr>
            </w:pPr>
            <w:r w:rsidRPr="00D622B2">
              <w:rPr>
                <w:rFonts w:cstheme="minorHAnsi"/>
                <w:b/>
                <w:bCs/>
                <w:sz w:val="22"/>
                <w:szCs w:val="22"/>
              </w:rPr>
              <w:t>105%</w:t>
            </w:r>
          </w:p>
        </w:tc>
        <w:tc>
          <w:tcPr>
            <w:tcW w:w="2835" w:type="dxa"/>
          </w:tcPr>
          <w:p w:rsidR="005E3221" w:rsidRPr="00D622B2" w:rsidP="00184FF5">
            <w:pPr>
              <w:jc w:val="both"/>
              <w:rPr>
                <w:rFonts w:cstheme="minorHAnsi"/>
                <w:sz w:val="22"/>
                <w:szCs w:val="22"/>
              </w:rPr>
            </w:pPr>
            <w:r w:rsidRPr="00D622B2">
              <w:rPr>
                <w:rFonts w:cstheme="minorHAnsi"/>
                <w:b/>
                <w:bCs/>
                <w:sz w:val="22"/>
                <w:szCs w:val="22"/>
              </w:rPr>
              <w:t>159%</w:t>
            </w:r>
          </w:p>
        </w:tc>
      </w:tr>
      <w:tr w:rsidTr="00184FF5">
        <w:tblPrEx>
          <w:tblW w:w="8217" w:type="dxa"/>
          <w:tblInd w:w="808" w:type="dxa"/>
          <w:tblLook w:val="04A0"/>
        </w:tblPrEx>
        <w:tc>
          <w:tcPr>
            <w:tcW w:w="1555" w:type="dxa"/>
          </w:tcPr>
          <w:p w:rsidR="005E3221" w:rsidRPr="00D622B2" w:rsidP="00184FF5">
            <w:pPr>
              <w:jc w:val="both"/>
              <w:rPr>
                <w:rFonts w:cstheme="minorHAnsi"/>
                <w:sz w:val="22"/>
                <w:szCs w:val="22"/>
              </w:rPr>
            </w:pPr>
            <w:r w:rsidRPr="00D622B2">
              <w:rPr>
                <w:rFonts w:cstheme="minorHAnsi"/>
                <w:b/>
                <w:bCs/>
                <w:sz w:val="22"/>
                <w:szCs w:val="22"/>
              </w:rPr>
              <w:t>Spain</w:t>
            </w:r>
          </w:p>
        </w:tc>
        <w:tc>
          <w:tcPr>
            <w:tcW w:w="1842" w:type="dxa"/>
          </w:tcPr>
          <w:p w:rsidR="005E3221" w:rsidRPr="00D622B2" w:rsidP="00184FF5">
            <w:pPr>
              <w:jc w:val="both"/>
              <w:rPr>
                <w:rFonts w:cstheme="minorHAnsi"/>
                <w:sz w:val="22"/>
                <w:szCs w:val="22"/>
              </w:rPr>
            </w:pPr>
            <w:r w:rsidRPr="00D622B2">
              <w:rPr>
                <w:rFonts w:cstheme="minorHAnsi"/>
                <w:b/>
                <w:bCs/>
                <w:sz w:val="22"/>
                <w:szCs w:val="22"/>
              </w:rPr>
              <w:t>113%</w:t>
            </w:r>
          </w:p>
        </w:tc>
        <w:tc>
          <w:tcPr>
            <w:tcW w:w="1985" w:type="dxa"/>
          </w:tcPr>
          <w:p w:rsidR="005E3221" w:rsidRPr="00D622B2" w:rsidP="00184FF5">
            <w:pPr>
              <w:jc w:val="both"/>
              <w:rPr>
                <w:rFonts w:cstheme="minorHAnsi"/>
                <w:sz w:val="22"/>
                <w:szCs w:val="22"/>
              </w:rPr>
            </w:pPr>
            <w:r w:rsidRPr="00D622B2">
              <w:rPr>
                <w:rFonts w:cstheme="minorHAnsi"/>
                <w:b/>
                <w:bCs/>
                <w:sz w:val="22"/>
                <w:szCs w:val="22"/>
              </w:rPr>
              <w:t>113%</w:t>
            </w:r>
          </w:p>
        </w:tc>
        <w:tc>
          <w:tcPr>
            <w:tcW w:w="2835" w:type="dxa"/>
          </w:tcPr>
          <w:p w:rsidR="005E3221" w:rsidRPr="00D622B2" w:rsidP="00184FF5">
            <w:pPr>
              <w:jc w:val="both"/>
              <w:rPr>
                <w:rFonts w:cstheme="minorHAnsi"/>
                <w:sz w:val="22"/>
                <w:szCs w:val="22"/>
              </w:rPr>
            </w:pPr>
            <w:r w:rsidRPr="00D622B2">
              <w:rPr>
                <w:rFonts w:cstheme="minorHAnsi"/>
                <w:b/>
                <w:bCs/>
                <w:sz w:val="22"/>
                <w:szCs w:val="22"/>
              </w:rPr>
              <w:t>166%</w:t>
            </w:r>
          </w:p>
        </w:tc>
      </w:tr>
      <w:tr w:rsidTr="00184FF5">
        <w:tblPrEx>
          <w:tblW w:w="8217" w:type="dxa"/>
          <w:tblInd w:w="808" w:type="dxa"/>
          <w:tblLook w:val="04A0"/>
        </w:tblPrEx>
        <w:tc>
          <w:tcPr>
            <w:tcW w:w="1555" w:type="dxa"/>
          </w:tcPr>
          <w:p w:rsidR="005E3221" w:rsidRPr="00D622B2" w:rsidP="00184FF5">
            <w:pPr>
              <w:jc w:val="both"/>
              <w:rPr>
                <w:rFonts w:cstheme="minorHAnsi"/>
                <w:sz w:val="22"/>
                <w:szCs w:val="22"/>
              </w:rPr>
            </w:pPr>
            <w:r w:rsidRPr="00D622B2">
              <w:rPr>
                <w:rFonts w:cstheme="minorHAnsi"/>
                <w:b/>
                <w:bCs/>
                <w:sz w:val="22"/>
                <w:szCs w:val="22"/>
              </w:rPr>
              <w:t>Italy</w:t>
            </w:r>
          </w:p>
        </w:tc>
        <w:tc>
          <w:tcPr>
            <w:tcW w:w="1842" w:type="dxa"/>
          </w:tcPr>
          <w:p w:rsidR="005E3221" w:rsidRPr="00D622B2" w:rsidP="00184FF5">
            <w:pPr>
              <w:jc w:val="both"/>
              <w:rPr>
                <w:rFonts w:cstheme="minorHAnsi"/>
                <w:sz w:val="22"/>
                <w:szCs w:val="22"/>
              </w:rPr>
            </w:pPr>
            <w:r w:rsidRPr="00D622B2">
              <w:rPr>
                <w:rFonts w:cstheme="minorHAnsi"/>
                <w:b/>
                <w:bCs/>
                <w:sz w:val="22"/>
                <w:szCs w:val="22"/>
              </w:rPr>
              <w:t>105%</w:t>
            </w:r>
          </w:p>
        </w:tc>
        <w:tc>
          <w:tcPr>
            <w:tcW w:w="1985" w:type="dxa"/>
          </w:tcPr>
          <w:p w:rsidR="005E3221" w:rsidRPr="00D622B2" w:rsidP="00184FF5">
            <w:pPr>
              <w:jc w:val="both"/>
              <w:rPr>
                <w:rFonts w:cstheme="minorHAnsi"/>
                <w:sz w:val="22"/>
                <w:szCs w:val="22"/>
              </w:rPr>
            </w:pPr>
            <w:r w:rsidRPr="00D622B2">
              <w:rPr>
                <w:rFonts w:cstheme="minorHAnsi"/>
                <w:b/>
                <w:bCs/>
                <w:sz w:val="22"/>
                <w:szCs w:val="22"/>
              </w:rPr>
              <w:t>113%</w:t>
            </w:r>
          </w:p>
        </w:tc>
        <w:tc>
          <w:tcPr>
            <w:tcW w:w="2835" w:type="dxa"/>
          </w:tcPr>
          <w:p w:rsidR="005E3221" w:rsidRPr="00D622B2" w:rsidP="00184FF5">
            <w:pPr>
              <w:jc w:val="both"/>
              <w:rPr>
                <w:rFonts w:cstheme="minorHAnsi"/>
                <w:sz w:val="22"/>
                <w:szCs w:val="22"/>
              </w:rPr>
            </w:pPr>
            <w:r w:rsidRPr="00D622B2">
              <w:rPr>
                <w:rFonts w:cstheme="minorHAnsi"/>
                <w:b/>
                <w:bCs/>
                <w:sz w:val="22"/>
                <w:szCs w:val="22"/>
              </w:rPr>
              <w:t>137%</w:t>
            </w:r>
          </w:p>
        </w:tc>
      </w:tr>
    </w:tbl>
    <w:p w:rsidR="005E3221" w:rsidRPr="00D622B2" w:rsidP="00D622B2">
      <w:pPr>
        <w:ind w:firstLine="720"/>
        <w:jc w:val="both"/>
        <w:rPr>
          <w:rFonts w:cstheme="minorHAnsi"/>
          <w:sz w:val="22"/>
          <w:szCs w:val="22"/>
          <w:lang w:eastAsia="en-GB"/>
        </w:rPr>
      </w:pPr>
      <w:r>
        <w:rPr>
          <w:rFonts w:cstheme="minorHAnsi"/>
          <w:sz w:val="22"/>
          <w:szCs w:val="22"/>
          <w:lang w:eastAsia="en-GB"/>
        </w:rPr>
        <w:t xml:space="preserve"> </w:t>
      </w:r>
      <w:r w:rsidRPr="00D622B2">
        <w:rPr>
          <w:rFonts w:cstheme="minorHAnsi"/>
          <w:sz w:val="22"/>
          <w:szCs w:val="22"/>
          <w:lang w:eastAsia="en-GB"/>
        </w:rPr>
        <w:t xml:space="preserve">Table </w:t>
      </w:r>
      <w:r>
        <w:rPr>
          <w:rFonts w:cstheme="minorHAnsi"/>
          <w:sz w:val="22"/>
          <w:szCs w:val="22"/>
          <w:lang w:eastAsia="en-GB"/>
        </w:rPr>
        <w:t>One</w:t>
      </w:r>
    </w:p>
    <w:p w:rsidR="005E3221" w:rsidP="00D622B2">
      <w:pPr>
        <w:ind w:left="720" w:hanging="720"/>
        <w:jc w:val="both"/>
        <w:rPr>
          <w:rFonts w:cstheme="minorHAnsi"/>
          <w:sz w:val="22"/>
          <w:szCs w:val="22"/>
          <w:lang w:eastAsia="en-GB"/>
        </w:rPr>
      </w:pPr>
      <w:r>
        <w:rPr>
          <w:rFonts w:cstheme="minorHAnsi"/>
          <w:sz w:val="22"/>
          <w:szCs w:val="22"/>
          <w:lang w:eastAsia="en-GB"/>
        </w:rPr>
        <w:t>4.6</w:t>
      </w:r>
      <w:r>
        <w:rPr>
          <w:rFonts w:cstheme="minorHAnsi"/>
          <w:sz w:val="22"/>
          <w:szCs w:val="22"/>
          <w:lang w:eastAsia="en-GB"/>
        </w:rPr>
        <w:tab/>
      </w:r>
      <w:r w:rsidRPr="00D622B2">
        <w:rPr>
          <w:rFonts w:cstheme="minorHAnsi"/>
          <w:sz w:val="22"/>
          <w:szCs w:val="22"/>
          <w:lang w:eastAsia="en-GB"/>
        </w:rPr>
        <w:t>The strong post-COVID-19 bounce back of the</w:t>
      </w:r>
      <w:r>
        <w:rPr>
          <w:rFonts w:cstheme="minorHAnsi"/>
          <w:sz w:val="22"/>
          <w:szCs w:val="22"/>
          <w:lang w:eastAsia="en-GB"/>
        </w:rPr>
        <w:t xml:space="preserve"> </w:t>
      </w:r>
      <w:r w:rsidRPr="00D622B2">
        <w:rPr>
          <w:rFonts w:cstheme="minorHAnsi"/>
          <w:sz w:val="22"/>
          <w:szCs w:val="22"/>
          <w:lang w:eastAsia="en-GB"/>
        </w:rPr>
        <w:t>international visitor market</w:t>
      </w:r>
      <w:r>
        <w:rPr>
          <w:rFonts w:cstheme="minorHAnsi"/>
          <w:sz w:val="22"/>
          <w:szCs w:val="22"/>
          <w:lang w:eastAsia="en-GB"/>
        </w:rPr>
        <w:t xml:space="preserve"> in Europe</w:t>
      </w:r>
      <w:r w:rsidRPr="00D622B2">
        <w:rPr>
          <w:rFonts w:cstheme="minorHAnsi"/>
          <w:sz w:val="22"/>
          <w:szCs w:val="22"/>
          <w:lang w:eastAsia="en-GB"/>
        </w:rPr>
        <w:t xml:space="preserve"> has resulted in significant increases in shopper spending levels in France, Spain and Italy but in the UK spending has plateaued at around 75% of 2019 levels.  By examining the performance of British tax-free shopping spending levels in 2019 relative to these other destinations, AIR has estimated that ending tax-free shopping cost British high street stores around £2bn</w:t>
      </w:r>
      <w:r>
        <w:rPr>
          <w:rFonts w:cstheme="minorHAnsi"/>
          <w:sz w:val="22"/>
          <w:szCs w:val="22"/>
          <w:lang w:eastAsia="en-GB"/>
        </w:rPr>
        <w:t xml:space="preserve"> annually</w:t>
      </w:r>
      <w:r w:rsidRPr="00D622B2">
        <w:rPr>
          <w:rFonts w:cstheme="minorHAnsi"/>
          <w:sz w:val="22"/>
          <w:szCs w:val="22"/>
          <w:lang w:eastAsia="en-GB"/>
        </w:rPr>
        <w:t xml:space="preserve"> in spending diverted to EU destinations.  </w:t>
      </w:r>
    </w:p>
    <w:p w:rsidR="005E3221" w:rsidP="00D622B2">
      <w:pPr>
        <w:ind w:left="720" w:hanging="720"/>
        <w:jc w:val="both"/>
        <w:rPr>
          <w:lang w:eastAsia="en-GB"/>
        </w:rPr>
      </w:pPr>
      <w:r>
        <w:rPr>
          <w:color w:val="000000"/>
          <w:sz w:val="22"/>
          <w:szCs w:val="22"/>
        </w:rPr>
        <w:t>4.7         Other factors may also contribute to the gap in visitor numbers and spendin</w:t>
      </w:r>
      <w:r>
        <w:rPr>
          <w:color w:val="000000"/>
          <w:sz w:val="22"/>
          <w:szCs w:val="22"/>
        </w:rPr>
        <w:t>g.</w:t>
      </w:r>
      <w:r>
        <w:rPr>
          <w:color w:val="000000"/>
          <w:sz w:val="22"/>
          <w:szCs w:val="22"/>
        </w:rPr>
        <w:t xml:space="preserve"> Britain has become relatively more expensive than nearby EU destinations: cumulative UK inflation between 2019 and 2024 was around 28%, compared with around 20% in Europe, and the pound strengthened by 8.2% in 2024 compared with 4.2% for the euro.</w:t>
      </w:r>
    </w:p>
    <w:p w:rsidR="005E3221" w:rsidRPr="00D622B2" w:rsidP="00D622B2">
      <w:pPr>
        <w:ind w:left="720" w:hanging="720"/>
        <w:jc w:val="both"/>
        <w:rPr>
          <w:rFonts w:cstheme="minorHAnsi"/>
          <w:color w:val="000000"/>
          <w:sz w:val="22"/>
          <w:szCs w:val="22"/>
        </w:rPr>
      </w:pPr>
      <w:r>
        <w:rPr>
          <w:rFonts w:cstheme="minorHAnsi"/>
          <w:color w:val="000000"/>
          <w:sz w:val="22"/>
          <w:szCs w:val="22"/>
        </w:rPr>
        <w:t>4.8</w:t>
      </w:r>
      <w:r>
        <w:rPr>
          <w:rFonts w:cstheme="minorHAnsi"/>
          <w:color w:val="000000"/>
          <w:sz w:val="22"/>
          <w:szCs w:val="22"/>
        </w:rPr>
        <w:tab/>
      </w:r>
      <w:r w:rsidRPr="00D622B2">
        <w:rPr>
          <w:rFonts w:cstheme="minorHAnsi"/>
          <w:color w:val="000000"/>
          <w:sz w:val="22"/>
          <w:szCs w:val="22"/>
        </w:rPr>
        <w:t>But while Britain has become more expensive for international visitors relative to our nearby European competitor destinations, this</w:t>
      </w:r>
      <w:r>
        <w:rPr>
          <w:rFonts w:cstheme="minorHAnsi"/>
          <w:color w:val="000000"/>
          <w:sz w:val="22"/>
          <w:szCs w:val="22"/>
        </w:rPr>
        <w:t xml:space="preserve"> is not </w:t>
      </w:r>
      <w:r w:rsidRPr="00D622B2">
        <w:rPr>
          <w:rFonts w:cstheme="minorHAnsi"/>
          <w:color w:val="000000"/>
          <w:sz w:val="22"/>
          <w:szCs w:val="22"/>
        </w:rPr>
        <w:t>the whole story.  Inflation and exchange rates are difficult for travellers to forecast ahead and to fully comprehend.  But the clear message to international visitors—amplified by social media and tour operators—is that without tax-free shopping, goods in Britain are</w:t>
      </w:r>
      <w:r>
        <w:rPr>
          <w:rFonts w:cstheme="minorHAnsi"/>
          <w:color w:val="000000"/>
          <w:sz w:val="22"/>
          <w:szCs w:val="22"/>
        </w:rPr>
        <w:t xml:space="preserve"> </w:t>
      </w:r>
      <w:r w:rsidRPr="00D622B2">
        <w:rPr>
          <w:rFonts w:cstheme="minorHAnsi"/>
          <w:color w:val="000000"/>
          <w:sz w:val="22"/>
          <w:szCs w:val="22"/>
        </w:rPr>
        <w:t>20% more expensive than in France, Spain and Italy regardless of the exchange rate or inflation.</w:t>
      </w:r>
    </w:p>
    <w:p w:rsidR="005E3221" w:rsidRPr="00D622B2" w:rsidP="00D622B2">
      <w:pPr>
        <w:ind w:left="720" w:hanging="720"/>
        <w:jc w:val="both"/>
        <w:rPr>
          <w:rFonts w:cstheme="minorHAnsi"/>
          <w:sz w:val="22"/>
          <w:szCs w:val="22"/>
          <w:u w:val="single"/>
        </w:rPr>
      </w:pPr>
      <w:r>
        <w:rPr>
          <w:rFonts w:cstheme="minorHAnsi"/>
          <w:sz w:val="22"/>
          <w:szCs w:val="22"/>
        </w:rPr>
        <w:t>5.</w:t>
      </w:r>
      <w:r>
        <w:rPr>
          <w:rFonts w:cstheme="minorHAnsi"/>
          <w:sz w:val="22"/>
          <w:szCs w:val="22"/>
        </w:rPr>
        <w:tab/>
      </w:r>
      <w:r w:rsidRPr="00D622B2">
        <w:rPr>
          <w:rFonts w:cstheme="minorHAnsi"/>
          <w:sz w:val="22"/>
          <w:szCs w:val="22"/>
          <w:u w:val="single"/>
        </w:rPr>
        <w:t>The evidence shows that tax-free shopping is good for the economy and the Exchequer</w:t>
      </w:r>
    </w:p>
    <w:p w:rsidR="005E3221" w:rsidRPr="00D622B2" w:rsidP="00D622B2">
      <w:pPr>
        <w:ind w:left="720" w:hanging="720"/>
        <w:jc w:val="both"/>
        <w:rPr>
          <w:rFonts w:cstheme="minorHAnsi"/>
          <w:sz w:val="22"/>
          <w:szCs w:val="22"/>
        </w:rPr>
      </w:pPr>
      <w:r>
        <w:rPr>
          <w:rFonts w:cstheme="minorHAnsi"/>
          <w:sz w:val="22"/>
          <w:szCs w:val="22"/>
        </w:rPr>
        <w:t>5.1</w:t>
      </w:r>
      <w:r>
        <w:rPr>
          <w:rFonts w:cstheme="minorHAnsi"/>
          <w:sz w:val="22"/>
          <w:szCs w:val="22"/>
        </w:rPr>
        <w:tab/>
        <w:t>British travellers, allowed to shop tax-free in the EU since 2021, provide real evidence of the impact of tax-free shopping on international traveller behaviour. It reveals</w:t>
      </w:r>
      <w:r w:rsidRPr="00D622B2">
        <w:rPr>
          <w:rFonts w:cstheme="minorHAnsi"/>
          <w:sz w:val="22"/>
          <w:szCs w:val="22"/>
        </w:rPr>
        <w:t xml:space="preserve"> the scale of the opportunity for high street businesses across the UK if Britain chose to reciprocate with a new scheme for all international visitors.</w:t>
      </w:r>
    </w:p>
    <w:p w:rsidR="005E3221" w:rsidP="00D622B2">
      <w:pPr>
        <w:ind w:left="720" w:hanging="720"/>
        <w:jc w:val="both"/>
        <w:rPr>
          <w:lang w:eastAsia="en-GB"/>
        </w:rPr>
      </w:pPr>
      <w:r>
        <w:rPr>
          <w:sz w:val="22"/>
          <w:szCs w:val="22"/>
        </w:rPr>
        <w:t>5.3         Before Brexit, EU visitors had little incentive to shop in the UK because prices were broadly similar across the EU. Retail data shows that in 2019 just 6% of international spending in UK stores came from EU visitors, totalling £170 million and generating £34 million in VAT.</w:t>
      </w:r>
      <w:r>
        <w:rPr>
          <w:rStyle w:val="FootnoteReference"/>
          <w:sz w:val="22"/>
          <w:szCs w:val="22"/>
        </w:rPr>
        <w:footnoteReference w:id="7"/>
      </w:r>
      <w:r>
        <w:rPr>
          <w:sz w:val="22"/>
          <w:szCs w:val="22"/>
        </w:rPr>
        <w:t xml:space="preserve"> </w:t>
      </w:r>
    </w:p>
    <w:p w:rsidR="005E3221" w:rsidP="00D622B2">
      <w:pPr>
        <w:ind w:left="720" w:hanging="720"/>
        <w:jc w:val="both"/>
        <w:rPr>
          <w:lang w:eastAsia="en-GB"/>
        </w:rPr>
      </w:pPr>
      <w:r>
        <w:rPr>
          <w:sz w:val="22"/>
          <w:szCs w:val="22"/>
        </w:rPr>
        <w:t>5.4         Since Brexit, the effect of offering tax-free shopping to nearby visitors is clearer. By 2025, British tax-free shopping spending in the EU had risen to £819 million, a 560% increase on the £143 million spent when British travellers first became eligible in 2021. The evidence suggests this is a new shopping-led market that also drives additional spending on hotels, restaurants and travel. In Paris, for example, bed nights by British visitors in 2023 were up 130% on 2019 levels, compared with 10%</w:t>
      </w:r>
      <w:r>
        <w:rPr>
          <w:sz w:val="22"/>
          <w:szCs w:val="22"/>
        </w:rPr>
        <w:t>–30% for visitors from other EU countries.</w:t>
      </w:r>
    </w:p>
    <w:p w:rsidR="005E3221" w:rsidP="00D622B2">
      <w:pPr>
        <w:spacing w:line="259" w:lineRule="auto"/>
        <w:ind w:left="720" w:hanging="720"/>
        <w:jc w:val="both"/>
        <w:rPr>
          <w:rFonts w:cstheme="minorHAnsi"/>
          <w:sz w:val="22"/>
          <w:szCs w:val="22"/>
        </w:rPr>
      </w:pPr>
      <w:r>
        <w:rPr>
          <w:rFonts w:cstheme="minorHAnsi"/>
          <w:sz w:val="22"/>
          <w:szCs w:val="22"/>
        </w:rPr>
        <w:t>5.5</w:t>
      </w:r>
      <w:r>
        <w:rPr>
          <w:rFonts w:cstheme="minorHAnsi"/>
          <w:sz w:val="22"/>
          <w:szCs w:val="22"/>
        </w:rPr>
        <w:tab/>
      </w:r>
      <w:r w:rsidRPr="00D622B2">
        <w:rPr>
          <w:rFonts w:cstheme="minorHAnsi"/>
          <w:sz w:val="22"/>
          <w:szCs w:val="22"/>
        </w:rPr>
        <w:t>Based on the accepted ratio of £4 of non-shopping spend for every £1 spent on shopping, this £819 million extra spending on tax-free shopping suggests an additional £3.3bn spent by this new, tax-free-shopping-led market, generating £655 million of additional VAT. If Britain chose to reciprocate, the new market is likely to be multiples of this new £4bn market created in the EU, given the 7:1 ratio of the populations of the EU and the UK. Half of this new foreign spending will be in high street businesses o</w:t>
      </w:r>
      <w:r w:rsidRPr="00D622B2">
        <w:rPr>
          <w:rFonts w:cstheme="minorHAnsi"/>
          <w:sz w:val="22"/>
          <w:szCs w:val="22"/>
        </w:rPr>
        <w:t>utside London.</w:t>
      </w:r>
    </w:p>
    <w:p w:rsidR="005E3221" w:rsidRPr="00D622B2" w:rsidP="00D622B2">
      <w:pPr>
        <w:spacing w:line="259" w:lineRule="auto"/>
        <w:ind w:left="720" w:hanging="720"/>
        <w:jc w:val="both"/>
        <w:rPr>
          <w:rFonts w:cstheme="minorHAnsi"/>
          <w:sz w:val="22"/>
          <w:szCs w:val="22"/>
        </w:rPr>
      </w:pPr>
      <w:r>
        <w:rPr>
          <w:rFonts w:cstheme="minorHAnsi"/>
          <w:sz w:val="22"/>
          <w:szCs w:val="22"/>
        </w:rPr>
        <w:t>5.6</w:t>
      </w:r>
      <w:r>
        <w:rPr>
          <w:rFonts w:cstheme="minorHAnsi"/>
          <w:sz w:val="22"/>
          <w:szCs w:val="22"/>
        </w:rPr>
        <w:tab/>
      </w:r>
      <w:r w:rsidRPr="00D622B2">
        <w:rPr>
          <w:rFonts w:cstheme="minorHAnsi"/>
          <w:sz w:val="22"/>
          <w:szCs w:val="22"/>
        </w:rPr>
        <w:t xml:space="preserve">Table </w:t>
      </w:r>
      <w:r>
        <w:rPr>
          <w:rFonts w:cstheme="minorHAnsi"/>
          <w:sz w:val="22"/>
          <w:szCs w:val="22"/>
        </w:rPr>
        <w:t>Two</w:t>
      </w:r>
      <w:r w:rsidRPr="00D622B2">
        <w:rPr>
          <w:rFonts w:cstheme="minorHAnsi"/>
          <w:sz w:val="22"/>
          <w:szCs w:val="22"/>
        </w:rPr>
        <w:t xml:space="preserve"> is AIR’s estimate of the regional benefits of a new tax-free shopping scheme for each region of the UK</w:t>
      </w:r>
      <w:r>
        <w:rPr>
          <w:rFonts w:cstheme="minorHAnsi"/>
          <w:sz w:val="22"/>
          <w:szCs w:val="22"/>
        </w:rPr>
        <w:t xml:space="preserve">. This is based on i) the recovery of the estimated £2bn lost spending by non-EU visitors, distributed as in 2019;  ii) the (conservative) estimate of £4bn additional spending </w:t>
      </w:r>
      <w:r>
        <w:rPr>
          <w:rFonts w:cstheme="minorHAnsi"/>
          <w:sz w:val="22"/>
          <w:szCs w:val="22"/>
        </w:rPr>
        <w:t>by EU visitors distributed according to VisitBritain data of each region’s percentage of EU visitor spending, iii) the combined benefit per region, and iv) the estimated number of new jobs created, based on British Retail Consortium ratio of one job supporte</w:t>
      </w:r>
      <w:r>
        <w:rPr>
          <w:rFonts w:cstheme="minorHAnsi"/>
          <w:sz w:val="22"/>
          <w:szCs w:val="22"/>
        </w:rPr>
        <w:t>d</w:t>
      </w:r>
      <w:r>
        <w:rPr>
          <w:rFonts w:cstheme="minorHAnsi"/>
          <w:sz w:val="22"/>
          <w:szCs w:val="22"/>
        </w:rPr>
        <w:t xml:space="preserve"> per £50,000 of spending.</w:t>
      </w:r>
    </w:p>
    <w:tbl>
      <w:tblPr>
        <w:tblStyle w:val="TableGrid"/>
        <w:tblW w:w="8931" w:type="dxa"/>
        <w:tblInd w:w="778" w:type="dxa"/>
        <w:tblLook w:val="04A0"/>
      </w:tblPr>
      <w:tblGrid>
        <w:gridCol w:w="3230"/>
        <w:gridCol w:w="1533"/>
        <w:gridCol w:w="1412"/>
        <w:gridCol w:w="1380"/>
        <w:gridCol w:w="1376"/>
      </w:tblGrid>
      <w:tr w:rsidTr="00D622B2">
        <w:tblPrEx>
          <w:tblW w:w="8931" w:type="dxa"/>
          <w:tblInd w:w="778" w:type="dxa"/>
          <w:tblLook w:val="04A0"/>
        </w:tblPrEx>
        <w:tc>
          <w:tcPr>
            <w:tcW w:w="3230" w:type="dxa"/>
            <w:shd w:val="clear" w:color="auto" w:fill="A6A6A6" w:themeFill="background1" w:themeFillShade="A6"/>
          </w:tcPr>
          <w:p w:rsidR="005E3221" w:rsidRPr="00D622B2" w:rsidP="00184FF5">
            <w:pPr>
              <w:rPr>
                <w:rFonts w:cstheme="minorHAnsi"/>
                <w:b/>
                <w:bCs/>
                <w:sz w:val="22"/>
                <w:szCs w:val="22"/>
              </w:rPr>
            </w:pPr>
            <w:r w:rsidRPr="00D622B2">
              <w:rPr>
                <w:rFonts w:cstheme="minorHAnsi"/>
                <w:b/>
                <w:bCs/>
                <w:sz w:val="22"/>
                <w:szCs w:val="22"/>
              </w:rPr>
              <w:t>Region/Nation</w:t>
            </w:r>
          </w:p>
        </w:tc>
        <w:tc>
          <w:tcPr>
            <w:tcW w:w="1533" w:type="dxa"/>
            <w:shd w:val="clear" w:color="auto" w:fill="A6A6A6" w:themeFill="background1" w:themeFillShade="A6"/>
          </w:tcPr>
          <w:p w:rsidR="005E3221" w:rsidRPr="00D622B2" w:rsidP="00184FF5">
            <w:pPr>
              <w:rPr>
                <w:rFonts w:cstheme="minorHAnsi"/>
                <w:b/>
                <w:bCs/>
                <w:sz w:val="22"/>
                <w:szCs w:val="22"/>
              </w:rPr>
            </w:pPr>
            <w:r w:rsidRPr="00D622B2">
              <w:rPr>
                <w:rFonts w:cstheme="minorHAnsi"/>
                <w:b/>
                <w:bCs/>
                <w:sz w:val="22"/>
                <w:szCs w:val="22"/>
              </w:rPr>
              <w:t>i) Additional non-EU spending</w:t>
            </w:r>
          </w:p>
          <w:p w:rsidR="005E3221" w:rsidRPr="00D622B2" w:rsidP="00184FF5">
            <w:pPr>
              <w:rPr>
                <w:rFonts w:cstheme="minorHAnsi"/>
                <w:b/>
                <w:bCs/>
                <w:sz w:val="22"/>
                <w:szCs w:val="22"/>
              </w:rPr>
            </w:pPr>
            <w:r w:rsidRPr="00D622B2">
              <w:rPr>
                <w:rFonts w:cstheme="minorHAnsi"/>
                <w:b/>
                <w:bCs/>
                <w:sz w:val="22"/>
                <w:szCs w:val="22"/>
              </w:rPr>
              <w:t>(+£2bn)</w:t>
            </w:r>
          </w:p>
        </w:tc>
        <w:tc>
          <w:tcPr>
            <w:tcW w:w="1412" w:type="dxa"/>
            <w:shd w:val="clear" w:color="auto" w:fill="A6A6A6" w:themeFill="background1" w:themeFillShade="A6"/>
          </w:tcPr>
          <w:p w:rsidR="005E3221" w:rsidRPr="00D622B2" w:rsidP="00184FF5">
            <w:pPr>
              <w:rPr>
                <w:rFonts w:cstheme="minorHAnsi"/>
                <w:b/>
                <w:bCs/>
                <w:sz w:val="22"/>
                <w:szCs w:val="22"/>
              </w:rPr>
            </w:pPr>
            <w:r w:rsidRPr="00D622B2">
              <w:rPr>
                <w:rFonts w:cstheme="minorHAnsi"/>
                <w:b/>
                <w:bCs/>
                <w:sz w:val="22"/>
                <w:szCs w:val="22"/>
              </w:rPr>
              <w:t>ii)Additional EU spending</w:t>
            </w:r>
          </w:p>
          <w:p w:rsidR="005E3221" w:rsidRPr="00D622B2" w:rsidP="00184FF5">
            <w:pPr>
              <w:rPr>
                <w:rFonts w:cstheme="minorHAnsi"/>
                <w:b/>
                <w:bCs/>
                <w:sz w:val="22"/>
                <w:szCs w:val="22"/>
              </w:rPr>
            </w:pPr>
            <w:r w:rsidRPr="00D622B2">
              <w:rPr>
                <w:rFonts w:cstheme="minorHAnsi"/>
                <w:b/>
                <w:bCs/>
                <w:sz w:val="22"/>
                <w:szCs w:val="22"/>
              </w:rPr>
              <w:t>(+£4bn)</w:t>
            </w:r>
          </w:p>
        </w:tc>
        <w:tc>
          <w:tcPr>
            <w:tcW w:w="1380" w:type="dxa"/>
            <w:shd w:val="clear" w:color="auto" w:fill="A6A6A6" w:themeFill="background1" w:themeFillShade="A6"/>
          </w:tcPr>
          <w:p w:rsidR="005E3221" w:rsidRPr="00D622B2" w:rsidP="00184FF5">
            <w:pPr>
              <w:rPr>
                <w:rFonts w:cstheme="minorHAnsi"/>
                <w:b/>
                <w:bCs/>
                <w:sz w:val="22"/>
                <w:szCs w:val="22"/>
              </w:rPr>
            </w:pPr>
            <w:r w:rsidRPr="00D622B2">
              <w:rPr>
                <w:rFonts w:cstheme="minorHAnsi"/>
                <w:b/>
                <w:bCs/>
                <w:sz w:val="22"/>
                <w:szCs w:val="22"/>
              </w:rPr>
              <w:t>iii)Combined additional spending</w:t>
            </w:r>
          </w:p>
        </w:tc>
        <w:tc>
          <w:tcPr>
            <w:tcW w:w="1376" w:type="dxa"/>
            <w:shd w:val="clear" w:color="auto" w:fill="A6A6A6" w:themeFill="background1" w:themeFillShade="A6"/>
          </w:tcPr>
          <w:p w:rsidR="005E3221" w:rsidRPr="00D622B2" w:rsidP="00184FF5">
            <w:pPr>
              <w:rPr>
                <w:rFonts w:cstheme="minorHAnsi"/>
                <w:b/>
                <w:bCs/>
                <w:sz w:val="22"/>
                <w:szCs w:val="22"/>
              </w:rPr>
            </w:pPr>
            <w:r w:rsidRPr="00D622B2">
              <w:rPr>
                <w:rFonts w:cstheme="minorHAnsi"/>
                <w:b/>
                <w:bCs/>
                <w:sz w:val="22"/>
                <w:szCs w:val="22"/>
              </w:rPr>
              <w:t>iv)Combined additional jobs</w:t>
            </w:r>
            <w:r>
              <w:rPr>
                <w:rStyle w:val="FootnoteReference"/>
                <w:rFonts w:cstheme="minorHAnsi"/>
                <w:b/>
                <w:bCs/>
                <w:sz w:val="22"/>
                <w:szCs w:val="22"/>
              </w:rPr>
              <w:footnoteReference w:id="8"/>
            </w:r>
          </w:p>
        </w:tc>
      </w:tr>
      <w:tr w:rsidTr="00D622B2">
        <w:tblPrEx>
          <w:tblW w:w="8931" w:type="dxa"/>
          <w:tblInd w:w="778" w:type="dxa"/>
          <w:tblLook w:val="04A0"/>
        </w:tblPrEx>
        <w:tc>
          <w:tcPr>
            <w:tcW w:w="3230" w:type="dxa"/>
          </w:tcPr>
          <w:p w:rsidR="005E3221" w:rsidRPr="00D622B2" w:rsidP="00184FF5">
            <w:pPr>
              <w:rPr>
                <w:rFonts w:cstheme="minorHAnsi"/>
                <w:sz w:val="22"/>
                <w:szCs w:val="22"/>
              </w:rPr>
            </w:pPr>
            <w:r w:rsidRPr="00D622B2">
              <w:rPr>
                <w:rFonts w:cstheme="minorHAnsi"/>
                <w:sz w:val="22"/>
                <w:szCs w:val="22"/>
              </w:rPr>
              <w:t>London</w:t>
            </w:r>
          </w:p>
        </w:tc>
        <w:tc>
          <w:tcPr>
            <w:tcW w:w="1533" w:type="dxa"/>
          </w:tcPr>
          <w:p w:rsidR="005E3221" w:rsidRPr="00D622B2" w:rsidP="00184FF5">
            <w:pPr>
              <w:rPr>
                <w:rFonts w:cstheme="minorHAnsi"/>
                <w:sz w:val="22"/>
                <w:szCs w:val="22"/>
              </w:rPr>
            </w:pPr>
            <w:r w:rsidRPr="00D622B2">
              <w:rPr>
                <w:rFonts w:cstheme="minorHAnsi"/>
                <w:sz w:val="22"/>
                <w:szCs w:val="22"/>
              </w:rPr>
              <w:t>£1.6bn</w:t>
            </w:r>
          </w:p>
        </w:tc>
        <w:tc>
          <w:tcPr>
            <w:tcW w:w="1412" w:type="dxa"/>
          </w:tcPr>
          <w:p w:rsidR="005E3221" w:rsidRPr="00D622B2" w:rsidP="00184FF5">
            <w:pPr>
              <w:rPr>
                <w:rFonts w:cstheme="minorHAnsi"/>
                <w:sz w:val="22"/>
                <w:szCs w:val="22"/>
              </w:rPr>
            </w:pPr>
            <w:r w:rsidRPr="00D622B2">
              <w:rPr>
                <w:rFonts w:cstheme="minorHAnsi"/>
                <w:sz w:val="22"/>
                <w:szCs w:val="22"/>
              </w:rPr>
              <w:t>£2bn</w:t>
            </w:r>
          </w:p>
        </w:tc>
        <w:tc>
          <w:tcPr>
            <w:tcW w:w="1380" w:type="dxa"/>
          </w:tcPr>
          <w:p w:rsidR="005E3221" w:rsidRPr="00D622B2" w:rsidP="00184FF5">
            <w:pPr>
              <w:rPr>
                <w:rFonts w:cstheme="minorHAnsi"/>
                <w:sz w:val="22"/>
                <w:szCs w:val="22"/>
              </w:rPr>
            </w:pPr>
            <w:r w:rsidRPr="00D622B2">
              <w:rPr>
                <w:rFonts w:cstheme="minorHAnsi"/>
                <w:sz w:val="22"/>
                <w:szCs w:val="22"/>
              </w:rPr>
              <w:t>£3.6bn</w:t>
            </w:r>
          </w:p>
        </w:tc>
        <w:tc>
          <w:tcPr>
            <w:tcW w:w="1376" w:type="dxa"/>
          </w:tcPr>
          <w:p w:rsidR="005E3221" w:rsidRPr="00D622B2" w:rsidP="00184FF5">
            <w:pPr>
              <w:rPr>
                <w:rFonts w:cstheme="minorHAnsi"/>
                <w:sz w:val="22"/>
                <w:szCs w:val="22"/>
              </w:rPr>
            </w:pPr>
            <w:r w:rsidRPr="00D622B2">
              <w:rPr>
                <w:rFonts w:cstheme="minorHAnsi"/>
                <w:sz w:val="22"/>
                <w:szCs w:val="22"/>
              </w:rPr>
              <w:t>73,000</w:t>
            </w:r>
          </w:p>
        </w:tc>
      </w:tr>
      <w:tr w:rsidTr="00D622B2">
        <w:tblPrEx>
          <w:tblW w:w="8931" w:type="dxa"/>
          <w:tblInd w:w="778" w:type="dxa"/>
          <w:tblLook w:val="04A0"/>
        </w:tblPrEx>
        <w:tc>
          <w:tcPr>
            <w:tcW w:w="3230" w:type="dxa"/>
          </w:tcPr>
          <w:p w:rsidR="005E3221" w:rsidRPr="00D622B2" w:rsidP="00184FF5">
            <w:pPr>
              <w:rPr>
                <w:rFonts w:cstheme="minorHAnsi"/>
                <w:sz w:val="22"/>
                <w:szCs w:val="22"/>
              </w:rPr>
            </w:pPr>
            <w:r w:rsidRPr="00D622B2">
              <w:rPr>
                <w:rFonts w:cstheme="minorHAnsi"/>
                <w:sz w:val="22"/>
                <w:szCs w:val="22"/>
              </w:rPr>
              <w:t>South East (inc. Bicester Village)</w:t>
            </w:r>
          </w:p>
        </w:tc>
        <w:tc>
          <w:tcPr>
            <w:tcW w:w="1533" w:type="dxa"/>
          </w:tcPr>
          <w:p w:rsidR="005E3221" w:rsidRPr="00D622B2" w:rsidP="00184FF5">
            <w:pPr>
              <w:rPr>
                <w:rFonts w:cstheme="minorHAnsi"/>
                <w:sz w:val="22"/>
                <w:szCs w:val="22"/>
              </w:rPr>
            </w:pPr>
            <w:r w:rsidRPr="00D622B2">
              <w:rPr>
                <w:rFonts w:cstheme="minorHAnsi"/>
                <w:sz w:val="22"/>
                <w:szCs w:val="22"/>
              </w:rPr>
              <w:t>£200m</w:t>
            </w:r>
          </w:p>
        </w:tc>
        <w:tc>
          <w:tcPr>
            <w:tcW w:w="1412" w:type="dxa"/>
          </w:tcPr>
          <w:p w:rsidR="005E3221" w:rsidRPr="00D622B2" w:rsidP="00184FF5">
            <w:pPr>
              <w:rPr>
                <w:rFonts w:cstheme="minorHAnsi"/>
                <w:sz w:val="22"/>
                <w:szCs w:val="22"/>
              </w:rPr>
            </w:pPr>
            <w:r w:rsidRPr="00D622B2">
              <w:rPr>
                <w:rFonts w:cstheme="minorHAnsi"/>
                <w:sz w:val="22"/>
                <w:szCs w:val="22"/>
              </w:rPr>
              <w:t>£400m</w:t>
            </w:r>
          </w:p>
        </w:tc>
        <w:tc>
          <w:tcPr>
            <w:tcW w:w="1380" w:type="dxa"/>
          </w:tcPr>
          <w:p w:rsidR="005E3221" w:rsidRPr="00D622B2" w:rsidP="00184FF5">
            <w:pPr>
              <w:rPr>
                <w:rFonts w:cstheme="minorHAnsi"/>
                <w:sz w:val="22"/>
                <w:szCs w:val="22"/>
              </w:rPr>
            </w:pPr>
            <w:r w:rsidRPr="00D622B2">
              <w:rPr>
                <w:rFonts w:cstheme="minorHAnsi"/>
                <w:sz w:val="22"/>
                <w:szCs w:val="22"/>
              </w:rPr>
              <w:t>£600m</w:t>
            </w:r>
          </w:p>
        </w:tc>
        <w:tc>
          <w:tcPr>
            <w:tcW w:w="1376" w:type="dxa"/>
          </w:tcPr>
          <w:p w:rsidR="005E3221" w:rsidRPr="00D622B2" w:rsidP="00184FF5">
            <w:pPr>
              <w:rPr>
                <w:rFonts w:cstheme="minorHAnsi"/>
                <w:sz w:val="22"/>
                <w:szCs w:val="22"/>
              </w:rPr>
            </w:pPr>
            <w:r w:rsidRPr="00D622B2">
              <w:rPr>
                <w:rFonts w:cstheme="minorHAnsi"/>
                <w:sz w:val="22"/>
                <w:szCs w:val="22"/>
              </w:rPr>
              <w:t>12,000</w:t>
            </w:r>
          </w:p>
        </w:tc>
      </w:tr>
      <w:tr w:rsidTr="00D622B2">
        <w:tblPrEx>
          <w:tblW w:w="8931" w:type="dxa"/>
          <w:tblInd w:w="778" w:type="dxa"/>
          <w:tblLook w:val="04A0"/>
        </w:tblPrEx>
        <w:tc>
          <w:tcPr>
            <w:tcW w:w="3230" w:type="dxa"/>
          </w:tcPr>
          <w:p w:rsidR="005E3221" w:rsidRPr="00D622B2" w:rsidP="00184FF5">
            <w:pPr>
              <w:rPr>
                <w:rFonts w:cstheme="minorHAnsi"/>
                <w:sz w:val="22"/>
                <w:szCs w:val="22"/>
              </w:rPr>
            </w:pPr>
            <w:r w:rsidRPr="00D622B2">
              <w:rPr>
                <w:rFonts w:cstheme="minorHAnsi"/>
                <w:sz w:val="22"/>
                <w:szCs w:val="22"/>
              </w:rPr>
              <w:t>West of England</w:t>
            </w:r>
          </w:p>
        </w:tc>
        <w:tc>
          <w:tcPr>
            <w:tcW w:w="1533" w:type="dxa"/>
          </w:tcPr>
          <w:p w:rsidR="005E3221" w:rsidRPr="00D622B2" w:rsidP="00184FF5">
            <w:pPr>
              <w:rPr>
                <w:rFonts w:cstheme="minorHAnsi"/>
                <w:sz w:val="22"/>
                <w:szCs w:val="22"/>
              </w:rPr>
            </w:pPr>
            <w:r w:rsidRPr="00D622B2">
              <w:rPr>
                <w:rFonts w:cstheme="minorHAnsi"/>
                <w:sz w:val="22"/>
                <w:szCs w:val="22"/>
              </w:rPr>
              <w:t>£5m</w:t>
            </w:r>
          </w:p>
        </w:tc>
        <w:tc>
          <w:tcPr>
            <w:tcW w:w="1412" w:type="dxa"/>
          </w:tcPr>
          <w:p w:rsidR="005E3221" w:rsidRPr="00D622B2" w:rsidP="00184FF5">
            <w:pPr>
              <w:rPr>
                <w:rFonts w:cstheme="minorHAnsi"/>
                <w:sz w:val="22"/>
                <w:szCs w:val="22"/>
              </w:rPr>
            </w:pPr>
            <w:r w:rsidRPr="00D622B2">
              <w:rPr>
                <w:rFonts w:cstheme="minorHAnsi"/>
                <w:sz w:val="22"/>
                <w:szCs w:val="22"/>
              </w:rPr>
              <w:t>£240m</w:t>
            </w:r>
          </w:p>
        </w:tc>
        <w:tc>
          <w:tcPr>
            <w:tcW w:w="1380" w:type="dxa"/>
          </w:tcPr>
          <w:p w:rsidR="005E3221" w:rsidRPr="00D622B2" w:rsidP="00184FF5">
            <w:pPr>
              <w:rPr>
                <w:rFonts w:cstheme="minorHAnsi"/>
                <w:sz w:val="22"/>
                <w:szCs w:val="22"/>
              </w:rPr>
            </w:pPr>
            <w:r w:rsidRPr="00D622B2">
              <w:rPr>
                <w:rFonts w:cstheme="minorHAnsi"/>
                <w:sz w:val="22"/>
                <w:szCs w:val="22"/>
              </w:rPr>
              <w:t>£245m</w:t>
            </w:r>
          </w:p>
        </w:tc>
        <w:tc>
          <w:tcPr>
            <w:tcW w:w="1376" w:type="dxa"/>
          </w:tcPr>
          <w:p w:rsidR="005E3221" w:rsidRPr="00D622B2" w:rsidP="00184FF5">
            <w:pPr>
              <w:rPr>
                <w:rFonts w:cstheme="minorHAnsi"/>
                <w:sz w:val="22"/>
                <w:szCs w:val="22"/>
              </w:rPr>
            </w:pPr>
            <w:r w:rsidRPr="00D622B2">
              <w:rPr>
                <w:rFonts w:cstheme="minorHAnsi"/>
                <w:sz w:val="22"/>
                <w:szCs w:val="22"/>
              </w:rPr>
              <w:t>4,900</w:t>
            </w:r>
          </w:p>
        </w:tc>
      </w:tr>
      <w:tr w:rsidTr="00D622B2">
        <w:tblPrEx>
          <w:tblW w:w="8931" w:type="dxa"/>
          <w:tblInd w:w="778" w:type="dxa"/>
          <w:tblLook w:val="04A0"/>
        </w:tblPrEx>
        <w:tc>
          <w:tcPr>
            <w:tcW w:w="3230" w:type="dxa"/>
          </w:tcPr>
          <w:p w:rsidR="005E3221" w:rsidRPr="00D622B2" w:rsidP="00184FF5">
            <w:pPr>
              <w:rPr>
                <w:rFonts w:cstheme="minorHAnsi"/>
                <w:sz w:val="22"/>
                <w:szCs w:val="22"/>
              </w:rPr>
            </w:pPr>
            <w:r w:rsidRPr="00D622B2">
              <w:rPr>
                <w:rFonts w:cstheme="minorHAnsi"/>
                <w:sz w:val="22"/>
                <w:szCs w:val="22"/>
              </w:rPr>
              <w:t>East of England</w:t>
            </w:r>
          </w:p>
        </w:tc>
        <w:tc>
          <w:tcPr>
            <w:tcW w:w="1533" w:type="dxa"/>
          </w:tcPr>
          <w:p w:rsidR="005E3221" w:rsidRPr="00D622B2" w:rsidP="00184FF5">
            <w:pPr>
              <w:rPr>
                <w:rFonts w:cstheme="minorHAnsi"/>
                <w:sz w:val="22"/>
                <w:szCs w:val="22"/>
              </w:rPr>
            </w:pPr>
            <w:r w:rsidRPr="00D622B2">
              <w:rPr>
                <w:rFonts w:cstheme="minorHAnsi"/>
                <w:sz w:val="22"/>
                <w:szCs w:val="22"/>
              </w:rPr>
              <w:t>£4m</w:t>
            </w:r>
          </w:p>
        </w:tc>
        <w:tc>
          <w:tcPr>
            <w:tcW w:w="1412" w:type="dxa"/>
          </w:tcPr>
          <w:p w:rsidR="005E3221" w:rsidRPr="00D622B2" w:rsidP="00184FF5">
            <w:pPr>
              <w:rPr>
                <w:rFonts w:cstheme="minorHAnsi"/>
                <w:sz w:val="22"/>
                <w:szCs w:val="22"/>
              </w:rPr>
            </w:pPr>
            <w:r w:rsidRPr="00D622B2">
              <w:rPr>
                <w:rFonts w:cstheme="minorHAnsi"/>
                <w:sz w:val="22"/>
                <w:szCs w:val="22"/>
              </w:rPr>
              <w:t>£200m</w:t>
            </w:r>
          </w:p>
        </w:tc>
        <w:tc>
          <w:tcPr>
            <w:tcW w:w="1380" w:type="dxa"/>
          </w:tcPr>
          <w:p w:rsidR="005E3221" w:rsidRPr="00D622B2" w:rsidP="00184FF5">
            <w:pPr>
              <w:rPr>
                <w:rFonts w:cstheme="minorHAnsi"/>
                <w:sz w:val="22"/>
                <w:szCs w:val="22"/>
              </w:rPr>
            </w:pPr>
            <w:r w:rsidRPr="00D622B2">
              <w:rPr>
                <w:rFonts w:cstheme="minorHAnsi"/>
                <w:sz w:val="22"/>
                <w:szCs w:val="22"/>
              </w:rPr>
              <w:t>£204m</w:t>
            </w:r>
          </w:p>
        </w:tc>
        <w:tc>
          <w:tcPr>
            <w:tcW w:w="1376" w:type="dxa"/>
          </w:tcPr>
          <w:p w:rsidR="005E3221" w:rsidRPr="00D622B2" w:rsidP="00184FF5">
            <w:pPr>
              <w:rPr>
                <w:rFonts w:cstheme="minorHAnsi"/>
                <w:sz w:val="22"/>
                <w:szCs w:val="22"/>
              </w:rPr>
            </w:pPr>
            <w:r w:rsidRPr="00D622B2">
              <w:rPr>
                <w:rFonts w:cstheme="minorHAnsi"/>
                <w:sz w:val="22"/>
                <w:szCs w:val="22"/>
              </w:rPr>
              <w:t>4,080</w:t>
            </w:r>
          </w:p>
        </w:tc>
      </w:tr>
      <w:tr w:rsidTr="00D622B2">
        <w:tblPrEx>
          <w:tblW w:w="8931" w:type="dxa"/>
          <w:tblInd w:w="778" w:type="dxa"/>
          <w:tblLook w:val="04A0"/>
        </w:tblPrEx>
        <w:tc>
          <w:tcPr>
            <w:tcW w:w="3230" w:type="dxa"/>
          </w:tcPr>
          <w:p w:rsidR="005E3221" w:rsidRPr="00D622B2" w:rsidP="00184FF5">
            <w:pPr>
              <w:rPr>
                <w:rFonts w:cstheme="minorHAnsi"/>
                <w:sz w:val="22"/>
                <w:szCs w:val="22"/>
              </w:rPr>
            </w:pPr>
            <w:r w:rsidRPr="00D622B2">
              <w:rPr>
                <w:rFonts w:cstheme="minorHAnsi"/>
                <w:sz w:val="22"/>
                <w:szCs w:val="22"/>
              </w:rPr>
              <w:t>East Midlands</w:t>
            </w:r>
          </w:p>
        </w:tc>
        <w:tc>
          <w:tcPr>
            <w:tcW w:w="1533" w:type="dxa"/>
          </w:tcPr>
          <w:p w:rsidR="005E3221" w:rsidRPr="00D622B2" w:rsidP="00184FF5">
            <w:pPr>
              <w:rPr>
                <w:rFonts w:cstheme="minorHAnsi"/>
                <w:sz w:val="22"/>
                <w:szCs w:val="22"/>
              </w:rPr>
            </w:pPr>
            <w:r w:rsidRPr="00D622B2">
              <w:rPr>
                <w:rFonts w:cstheme="minorHAnsi"/>
                <w:sz w:val="22"/>
                <w:szCs w:val="22"/>
              </w:rPr>
              <w:t>£4m</w:t>
            </w:r>
          </w:p>
        </w:tc>
        <w:tc>
          <w:tcPr>
            <w:tcW w:w="1412" w:type="dxa"/>
          </w:tcPr>
          <w:p w:rsidR="005E3221" w:rsidRPr="00D622B2" w:rsidP="00184FF5">
            <w:pPr>
              <w:rPr>
                <w:rFonts w:cstheme="minorHAnsi"/>
                <w:sz w:val="22"/>
                <w:szCs w:val="22"/>
              </w:rPr>
            </w:pPr>
            <w:r w:rsidRPr="00D622B2">
              <w:rPr>
                <w:rFonts w:cstheme="minorHAnsi"/>
                <w:sz w:val="22"/>
                <w:szCs w:val="22"/>
              </w:rPr>
              <w:t>£120m</w:t>
            </w:r>
          </w:p>
        </w:tc>
        <w:tc>
          <w:tcPr>
            <w:tcW w:w="1380" w:type="dxa"/>
          </w:tcPr>
          <w:p w:rsidR="005E3221" w:rsidRPr="00D622B2" w:rsidP="00184FF5">
            <w:pPr>
              <w:rPr>
                <w:rFonts w:cstheme="minorHAnsi"/>
                <w:sz w:val="22"/>
                <w:szCs w:val="22"/>
              </w:rPr>
            </w:pPr>
            <w:r w:rsidRPr="00D622B2">
              <w:rPr>
                <w:rFonts w:cstheme="minorHAnsi"/>
                <w:sz w:val="22"/>
                <w:szCs w:val="22"/>
              </w:rPr>
              <w:t>£124m</w:t>
            </w:r>
          </w:p>
        </w:tc>
        <w:tc>
          <w:tcPr>
            <w:tcW w:w="1376" w:type="dxa"/>
          </w:tcPr>
          <w:p w:rsidR="005E3221" w:rsidRPr="00D622B2" w:rsidP="00184FF5">
            <w:pPr>
              <w:rPr>
                <w:rFonts w:cstheme="minorHAnsi"/>
                <w:sz w:val="22"/>
                <w:szCs w:val="22"/>
              </w:rPr>
            </w:pPr>
            <w:r w:rsidRPr="00D622B2">
              <w:rPr>
                <w:rFonts w:cstheme="minorHAnsi"/>
                <w:sz w:val="22"/>
                <w:szCs w:val="22"/>
              </w:rPr>
              <w:t>2,480</w:t>
            </w:r>
          </w:p>
        </w:tc>
      </w:tr>
      <w:tr w:rsidTr="00D622B2">
        <w:tblPrEx>
          <w:tblW w:w="8931" w:type="dxa"/>
          <w:tblInd w:w="778" w:type="dxa"/>
          <w:tblLook w:val="04A0"/>
        </w:tblPrEx>
        <w:tc>
          <w:tcPr>
            <w:tcW w:w="3230" w:type="dxa"/>
          </w:tcPr>
          <w:p w:rsidR="005E3221" w:rsidRPr="00D622B2" w:rsidP="00184FF5">
            <w:pPr>
              <w:rPr>
                <w:rFonts w:cstheme="minorHAnsi"/>
                <w:sz w:val="22"/>
                <w:szCs w:val="22"/>
              </w:rPr>
            </w:pPr>
            <w:r w:rsidRPr="00D622B2">
              <w:rPr>
                <w:rFonts w:cstheme="minorHAnsi"/>
                <w:sz w:val="22"/>
                <w:szCs w:val="22"/>
              </w:rPr>
              <w:t xml:space="preserve">West Midland </w:t>
            </w:r>
          </w:p>
        </w:tc>
        <w:tc>
          <w:tcPr>
            <w:tcW w:w="1533" w:type="dxa"/>
          </w:tcPr>
          <w:p w:rsidR="005E3221" w:rsidRPr="00D622B2" w:rsidP="00184FF5">
            <w:pPr>
              <w:rPr>
                <w:rFonts w:cstheme="minorHAnsi"/>
                <w:sz w:val="22"/>
                <w:szCs w:val="22"/>
              </w:rPr>
            </w:pPr>
            <w:r w:rsidRPr="00D622B2">
              <w:rPr>
                <w:rFonts w:cstheme="minorHAnsi"/>
                <w:sz w:val="22"/>
                <w:szCs w:val="22"/>
              </w:rPr>
              <w:t>£12m</w:t>
            </w:r>
          </w:p>
        </w:tc>
        <w:tc>
          <w:tcPr>
            <w:tcW w:w="1412" w:type="dxa"/>
          </w:tcPr>
          <w:p w:rsidR="005E3221" w:rsidRPr="00D622B2" w:rsidP="00184FF5">
            <w:pPr>
              <w:rPr>
                <w:rFonts w:cstheme="minorHAnsi"/>
                <w:sz w:val="22"/>
                <w:szCs w:val="22"/>
              </w:rPr>
            </w:pPr>
            <w:r w:rsidRPr="00D622B2">
              <w:rPr>
                <w:rFonts w:cstheme="minorHAnsi"/>
                <w:sz w:val="22"/>
                <w:szCs w:val="22"/>
              </w:rPr>
              <w:t>£160m</w:t>
            </w:r>
          </w:p>
        </w:tc>
        <w:tc>
          <w:tcPr>
            <w:tcW w:w="1380" w:type="dxa"/>
          </w:tcPr>
          <w:p w:rsidR="005E3221" w:rsidRPr="00D622B2" w:rsidP="00184FF5">
            <w:pPr>
              <w:rPr>
                <w:rFonts w:cstheme="minorHAnsi"/>
                <w:sz w:val="22"/>
                <w:szCs w:val="22"/>
              </w:rPr>
            </w:pPr>
            <w:r w:rsidRPr="00D622B2">
              <w:rPr>
                <w:rFonts w:cstheme="minorHAnsi"/>
                <w:sz w:val="22"/>
                <w:szCs w:val="22"/>
              </w:rPr>
              <w:t>£172m</w:t>
            </w:r>
          </w:p>
        </w:tc>
        <w:tc>
          <w:tcPr>
            <w:tcW w:w="1376" w:type="dxa"/>
          </w:tcPr>
          <w:p w:rsidR="005E3221" w:rsidRPr="00D622B2" w:rsidP="00184FF5">
            <w:pPr>
              <w:rPr>
                <w:rFonts w:cstheme="minorHAnsi"/>
                <w:sz w:val="22"/>
                <w:szCs w:val="22"/>
              </w:rPr>
            </w:pPr>
            <w:r w:rsidRPr="00D622B2">
              <w:rPr>
                <w:rFonts w:cstheme="minorHAnsi"/>
                <w:sz w:val="22"/>
                <w:szCs w:val="22"/>
              </w:rPr>
              <w:t>3,440</w:t>
            </w:r>
          </w:p>
        </w:tc>
      </w:tr>
      <w:tr w:rsidTr="00D622B2">
        <w:tblPrEx>
          <w:tblW w:w="8931" w:type="dxa"/>
          <w:tblInd w:w="778" w:type="dxa"/>
          <w:tblLook w:val="04A0"/>
        </w:tblPrEx>
        <w:tc>
          <w:tcPr>
            <w:tcW w:w="3230" w:type="dxa"/>
          </w:tcPr>
          <w:p w:rsidR="005E3221" w:rsidRPr="00D622B2" w:rsidP="00184FF5">
            <w:pPr>
              <w:rPr>
                <w:rFonts w:cstheme="minorHAnsi"/>
                <w:sz w:val="22"/>
                <w:szCs w:val="22"/>
              </w:rPr>
            </w:pPr>
            <w:r w:rsidRPr="00D622B2">
              <w:rPr>
                <w:rFonts w:cstheme="minorHAnsi"/>
                <w:sz w:val="22"/>
                <w:szCs w:val="22"/>
              </w:rPr>
              <w:t xml:space="preserve">North West </w:t>
            </w:r>
          </w:p>
        </w:tc>
        <w:tc>
          <w:tcPr>
            <w:tcW w:w="1533" w:type="dxa"/>
          </w:tcPr>
          <w:p w:rsidR="005E3221" w:rsidRPr="00D622B2" w:rsidP="00184FF5">
            <w:pPr>
              <w:rPr>
                <w:rFonts w:cstheme="minorHAnsi"/>
                <w:sz w:val="22"/>
                <w:szCs w:val="22"/>
              </w:rPr>
            </w:pPr>
            <w:r w:rsidRPr="00D622B2">
              <w:rPr>
                <w:rFonts w:cstheme="minorHAnsi"/>
                <w:sz w:val="22"/>
                <w:szCs w:val="22"/>
              </w:rPr>
              <w:t>£74m</w:t>
            </w:r>
          </w:p>
        </w:tc>
        <w:tc>
          <w:tcPr>
            <w:tcW w:w="1412" w:type="dxa"/>
          </w:tcPr>
          <w:p w:rsidR="005E3221" w:rsidRPr="00D622B2" w:rsidP="00184FF5">
            <w:pPr>
              <w:rPr>
                <w:rFonts w:cstheme="minorHAnsi"/>
                <w:sz w:val="22"/>
                <w:szCs w:val="22"/>
              </w:rPr>
            </w:pPr>
            <w:r w:rsidRPr="00D622B2">
              <w:rPr>
                <w:rFonts w:cstheme="minorHAnsi"/>
                <w:sz w:val="22"/>
                <w:szCs w:val="22"/>
              </w:rPr>
              <w:t>£280m</w:t>
            </w:r>
          </w:p>
        </w:tc>
        <w:tc>
          <w:tcPr>
            <w:tcW w:w="1380" w:type="dxa"/>
          </w:tcPr>
          <w:p w:rsidR="005E3221" w:rsidRPr="00D622B2" w:rsidP="00184FF5">
            <w:pPr>
              <w:rPr>
                <w:rFonts w:cstheme="minorHAnsi"/>
                <w:sz w:val="22"/>
                <w:szCs w:val="22"/>
              </w:rPr>
            </w:pPr>
            <w:r w:rsidRPr="00D622B2">
              <w:rPr>
                <w:rFonts w:cstheme="minorHAnsi"/>
                <w:sz w:val="22"/>
                <w:szCs w:val="22"/>
              </w:rPr>
              <w:t>£354m</w:t>
            </w:r>
          </w:p>
        </w:tc>
        <w:tc>
          <w:tcPr>
            <w:tcW w:w="1376" w:type="dxa"/>
          </w:tcPr>
          <w:p w:rsidR="005E3221" w:rsidRPr="00D622B2" w:rsidP="00184FF5">
            <w:pPr>
              <w:rPr>
                <w:rFonts w:cstheme="minorHAnsi"/>
                <w:sz w:val="22"/>
                <w:szCs w:val="22"/>
              </w:rPr>
            </w:pPr>
            <w:r w:rsidRPr="00D622B2">
              <w:rPr>
                <w:rFonts w:cstheme="minorHAnsi"/>
                <w:sz w:val="22"/>
                <w:szCs w:val="22"/>
              </w:rPr>
              <w:t>7</w:t>
            </w:r>
            <w:r>
              <w:rPr>
                <w:rFonts w:cstheme="minorHAnsi"/>
                <w:sz w:val="22"/>
                <w:szCs w:val="22"/>
              </w:rPr>
              <w:t>,</w:t>
            </w:r>
            <w:r w:rsidRPr="00D622B2">
              <w:rPr>
                <w:rFonts w:cstheme="minorHAnsi"/>
                <w:sz w:val="22"/>
                <w:szCs w:val="22"/>
              </w:rPr>
              <w:t>080</w:t>
            </w:r>
          </w:p>
        </w:tc>
      </w:tr>
      <w:tr w:rsidTr="00D622B2">
        <w:tblPrEx>
          <w:tblW w:w="8931" w:type="dxa"/>
          <w:tblInd w:w="778" w:type="dxa"/>
          <w:tblLook w:val="04A0"/>
        </w:tblPrEx>
        <w:tc>
          <w:tcPr>
            <w:tcW w:w="3230" w:type="dxa"/>
          </w:tcPr>
          <w:p w:rsidR="005E3221" w:rsidRPr="00D622B2" w:rsidP="00184FF5">
            <w:pPr>
              <w:rPr>
                <w:rFonts w:cstheme="minorHAnsi"/>
                <w:sz w:val="22"/>
                <w:szCs w:val="22"/>
              </w:rPr>
            </w:pPr>
            <w:r w:rsidRPr="00D622B2">
              <w:rPr>
                <w:rFonts w:cstheme="minorHAnsi"/>
                <w:sz w:val="22"/>
                <w:szCs w:val="22"/>
              </w:rPr>
              <w:t xml:space="preserve">    </w:t>
            </w:r>
            <w:r>
              <w:rPr>
                <w:rFonts w:cstheme="minorHAnsi"/>
                <w:sz w:val="22"/>
                <w:szCs w:val="22"/>
              </w:rPr>
              <w:t xml:space="preserve">  o</w:t>
            </w:r>
            <w:r w:rsidRPr="00D622B2">
              <w:rPr>
                <w:rFonts w:cstheme="minorHAnsi"/>
                <w:sz w:val="22"/>
                <w:szCs w:val="22"/>
              </w:rPr>
              <w:t>f which Manchester</w:t>
            </w:r>
          </w:p>
        </w:tc>
        <w:tc>
          <w:tcPr>
            <w:tcW w:w="1533" w:type="dxa"/>
          </w:tcPr>
          <w:p w:rsidR="005E3221" w:rsidRPr="00D622B2" w:rsidP="00184FF5">
            <w:pPr>
              <w:rPr>
                <w:rFonts w:cstheme="minorHAnsi"/>
                <w:sz w:val="22"/>
                <w:szCs w:val="22"/>
              </w:rPr>
            </w:pPr>
            <w:r w:rsidRPr="00D622B2">
              <w:rPr>
                <w:rFonts w:cstheme="minorHAnsi"/>
                <w:sz w:val="22"/>
                <w:szCs w:val="22"/>
              </w:rPr>
              <w:t>£48m</w:t>
            </w:r>
          </w:p>
        </w:tc>
        <w:tc>
          <w:tcPr>
            <w:tcW w:w="1412" w:type="dxa"/>
          </w:tcPr>
          <w:p w:rsidR="005E3221" w:rsidRPr="00D622B2" w:rsidP="00184FF5">
            <w:pPr>
              <w:rPr>
                <w:rFonts w:cstheme="minorHAnsi"/>
                <w:sz w:val="22"/>
                <w:szCs w:val="22"/>
              </w:rPr>
            </w:pPr>
            <w:r w:rsidRPr="00D622B2">
              <w:rPr>
                <w:rFonts w:cstheme="minorHAnsi"/>
                <w:sz w:val="22"/>
                <w:szCs w:val="22"/>
              </w:rPr>
              <w:t>£188m</w:t>
            </w:r>
          </w:p>
        </w:tc>
        <w:tc>
          <w:tcPr>
            <w:tcW w:w="1380" w:type="dxa"/>
          </w:tcPr>
          <w:p w:rsidR="005E3221" w:rsidRPr="00D622B2" w:rsidP="00184FF5">
            <w:pPr>
              <w:rPr>
                <w:rFonts w:cstheme="minorHAnsi"/>
                <w:sz w:val="22"/>
                <w:szCs w:val="22"/>
              </w:rPr>
            </w:pPr>
            <w:r w:rsidRPr="00D622B2">
              <w:rPr>
                <w:rFonts w:cstheme="minorHAnsi"/>
                <w:sz w:val="22"/>
                <w:szCs w:val="22"/>
              </w:rPr>
              <w:t>£236m</w:t>
            </w:r>
          </w:p>
        </w:tc>
        <w:tc>
          <w:tcPr>
            <w:tcW w:w="1376" w:type="dxa"/>
          </w:tcPr>
          <w:p w:rsidR="005E3221" w:rsidRPr="00D622B2" w:rsidP="00184FF5">
            <w:pPr>
              <w:rPr>
                <w:rFonts w:cstheme="minorHAnsi"/>
                <w:sz w:val="22"/>
                <w:szCs w:val="22"/>
              </w:rPr>
            </w:pPr>
            <w:r w:rsidRPr="00D622B2">
              <w:rPr>
                <w:rFonts w:cstheme="minorHAnsi"/>
                <w:sz w:val="22"/>
                <w:szCs w:val="22"/>
              </w:rPr>
              <w:t>4,720</w:t>
            </w:r>
          </w:p>
        </w:tc>
      </w:tr>
      <w:tr w:rsidTr="00D622B2">
        <w:tblPrEx>
          <w:tblW w:w="8931" w:type="dxa"/>
          <w:tblInd w:w="778" w:type="dxa"/>
          <w:tblLook w:val="04A0"/>
        </w:tblPrEx>
        <w:tc>
          <w:tcPr>
            <w:tcW w:w="3230" w:type="dxa"/>
          </w:tcPr>
          <w:p w:rsidR="005E3221" w:rsidRPr="00D622B2" w:rsidP="00184FF5">
            <w:pPr>
              <w:rPr>
                <w:rFonts w:cstheme="minorHAnsi"/>
                <w:sz w:val="22"/>
                <w:szCs w:val="22"/>
              </w:rPr>
            </w:pPr>
            <w:r w:rsidRPr="00D622B2">
              <w:rPr>
                <w:rFonts w:cstheme="minorHAnsi"/>
                <w:sz w:val="22"/>
                <w:szCs w:val="22"/>
              </w:rPr>
              <w:t xml:space="preserve">    </w:t>
            </w:r>
            <w:r>
              <w:rPr>
                <w:rFonts w:cstheme="minorHAnsi"/>
                <w:sz w:val="22"/>
                <w:szCs w:val="22"/>
              </w:rPr>
              <w:t xml:space="preserve"> </w:t>
            </w:r>
            <w:r w:rsidRPr="00D622B2">
              <w:rPr>
                <w:rFonts w:cstheme="minorHAnsi"/>
                <w:sz w:val="22"/>
                <w:szCs w:val="22"/>
              </w:rPr>
              <w:t xml:space="preserve"> </w:t>
            </w:r>
            <w:r>
              <w:rPr>
                <w:rFonts w:cstheme="minorHAnsi"/>
                <w:sz w:val="22"/>
                <w:szCs w:val="22"/>
              </w:rPr>
              <w:t>o</w:t>
            </w:r>
            <w:r w:rsidRPr="00D622B2">
              <w:rPr>
                <w:rFonts w:cstheme="minorHAnsi"/>
                <w:sz w:val="22"/>
                <w:szCs w:val="22"/>
              </w:rPr>
              <w:t>f which Liverpool</w:t>
            </w:r>
          </w:p>
        </w:tc>
        <w:tc>
          <w:tcPr>
            <w:tcW w:w="1533" w:type="dxa"/>
          </w:tcPr>
          <w:p w:rsidR="005E3221" w:rsidRPr="00D622B2" w:rsidP="00184FF5">
            <w:pPr>
              <w:rPr>
                <w:rFonts w:cstheme="minorHAnsi"/>
                <w:sz w:val="22"/>
                <w:szCs w:val="22"/>
              </w:rPr>
            </w:pPr>
            <w:r w:rsidRPr="00D622B2">
              <w:rPr>
                <w:rFonts w:cstheme="minorHAnsi"/>
                <w:sz w:val="22"/>
                <w:szCs w:val="22"/>
              </w:rPr>
              <w:t>£26m</w:t>
            </w:r>
          </w:p>
        </w:tc>
        <w:tc>
          <w:tcPr>
            <w:tcW w:w="1412" w:type="dxa"/>
          </w:tcPr>
          <w:p w:rsidR="005E3221" w:rsidRPr="00D622B2" w:rsidP="00184FF5">
            <w:pPr>
              <w:rPr>
                <w:rFonts w:cstheme="minorHAnsi"/>
                <w:sz w:val="22"/>
                <w:szCs w:val="22"/>
              </w:rPr>
            </w:pPr>
            <w:r w:rsidRPr="00D622B2">
              <w:rPr>
                <w:rFonts w:cstheme="minorHAnsi"/>
                <w:sz w:val="22"/>
                <w:szCs w:val="22"/>
              </w:rPr>
              <w:t>£82m</w:t>
            </w:r>
          </w:p>
        </w:tc>
        <w:tc>
          <w:tcPr>
            <w:tcW w:w="1380" w:type="dxa"/>
          </w:tcPr>
          <w:p w:rsidR="005E3221" w:rsidRPr="00D622B2" w:rsidP="00184FF5">
            <w:pPr>
              <w:rPr>
                <w:rFonts w:cstheme="minorHAnsi"/>
                <w:sz w:val="22"/>
                <w:szCs w:val="22"/>
              </w:rPr>
            </w:pPr>
            <w:r w:rsidRPr="00D622B2">
              <w:rPr>
                <w:rFonts w:cstheme="minorHAnsi"/>
                <w:sz w:val="22"/>
                <w:szCs w:val="22"/>
              </w:rPr>
              <w:t>£108m</w:t>
            </w:r>
          </w:p>
        </w:tc>
        <w:tc>
          <w:tcPr>
            <w:tcW w:w="1376" w:type="dxa"/>
          </w:tcPr>
          <w:p w:rsidR="005E3221" w:rsidRPr="00D622B2" w:rsidP="00184FF5">
            <w:pPr>
              <w:rPr>
                <w:rFonts w:cstheme="minorHAnsi"/>
                <w:sz w:val="22"/>
                <w:szCs w:val="22"/>
              </w:rPr>
            </w:pPr>
            <w:r w:rsidRPr="00D622B2">
              <w:rPr>
                <w:rFonts w:cstheme="minorHAnsi"/>
                <w:sz w:val="22"/>
                <w:szCs w:val="22"/>
              </w:rPr>
              <w:t>2,160</w:t>
            </w:r>
          </w:p>
        </w:tc>
      </w:tr>
      <w:tr w:rsidTr="00D622B2">
        <w:tblPrEx>
          <w:tblW w:w="8931" w:type="dxa"/>
          <w:tblInd w:w="778" w:type="dxa"/>
          <w:tblLook w:val="04A0"/>
        </w:tblPrEx>
        <w:tc>
          <w:tcPr>
            <w:tcW w:w="3230" w:type="dxa"/>
          </w:tcPr>
          <w:p w:rsidR="005E3221" w:rsidRPr="00D622B2" w:rsidP="00184FF5">
            <w:pPr>
              <w:rPr>
                <w:rFonts w:cstheme="minorHAnsi"/>
                <w:sz w:val="22"/>
                <w:szCs w:val="22"/>
              </w:rPr>
            </w:pPr>
            <w:r w:rsidRPr="00D622B2">
              <w:rPr>
                <w:rFonts w:cstheme="minorHAnsi"/>
                <w:sz w:val="22"/>
                <w:szCs w:val="22"/>
              </w:rPr>
              <w:t>Yorkshire and the Humber</w:t>
            </w:r>
          </w:p>
        </w:tc>
        <w:tc>
          <w:tcPr>
            <w:tcW w:w="1533" w:type="dxa"/>
          </w:tcPr>
          <w:p w:rsidR="005E3221" w:rsidRPr="00D622B2" w:rsidP="00184FF5">
            <w:pPr>
              <w:rPr>
                <w:rFonts w:cstheme="minorHAnsi"/>
                <w:sz w:val="22"/>
                <w:szCs w:val="22"/>
              </w:rPr>
            </w:pPr>
            <w:r w:rsidRPr="00D622B2">
              <w:rPr>
                <w:rFonts w:cstheme="minorHAnsi"/>
                <w:sz w:val="22"/>
                <w:szCs w:val="22"/>
              </w:rPr>
              <w:t>£3m</w:t>
            </w:r>
          </w:p>
        </w:tc>
        <w:tc>
          <w:tcPr>
            <w:tcW w:w="1412" w:type="dxa"/>
          </w:tcPr>
          <w:p w:rsidR="005E3221" w:rsidRPr="00D622B2" w:rsidP="00184FF5">
            <w:pPr>
              <w:rPr>
                <w:rFonts w:cstheme="minorHAnsi"/>
                <w:sz w:val="22"/>
                <w:szCs w:val="22"/>
              </w:rPr>
            </w:pPr>
            <w:r w:rsidRPr="00D622B2">
              <w:rPr>
                <w:rFonts w:cstheme="minorHAnsi"/>
                <w:sz w:val="22"/>
                <w:szCs w:val="22"/>
              </w:rPr>
              <w:t>£80m</w:t>
            </w:r>
          </w:p>
        </w:tc>
        <w:tc>
          <w:tcPr>
            <w:tcW w:w="1380" w:type="dxa"/>
          </w:tcPr>
          <w:p w:rsidR="005E3221" w:rsidRPr="00D622B2" w:rsidP="00184FF5">
            <w:pPr>
              <w:rPr>
                <w:rFonts w:cstheme="minorHAnsi"/>
                <w:sz w:val="22"/>
                <w:szCs w:val="22"/>
              </w:rPr>
            </w:pPr>
            <w:r w:rsidRPr="00D622B2">
              <w:rPr>
                <w:rFonts w:cstheme="minorHAnsi"/>
                <w:sz w:val="22"/>
                <w:szCs w:val="22"/>
              </w:rPr>
              <w:t>£83m</w:t>
            </w:r>
          </w:p>
        </w:tc>
        <w:tc>
          <w:tcPr>
            <w:tcW w:w="1376" w:type="dxa"/>
          </w:tcPr>
          <w:p w:rsidR="005E3221" w:rsidRPr="00D622B2" w:rsidP="00184FF5">
            <w:pPr>
              <w:rPr>
                <w:rFonts w:cstheme="minorHAnsi"/>
                <w:sz w:val="22"/>
                <w:szCs w:val="22"/>
              </w:rPr>
            </w:pPr>
            <w:r w:rsidRPr="00D622B2">
              <w:rPr>
                <w:rFonts w:cstheme="minorHAnsi"/>
                <w:sz w:val="22"/>
                <w:szCs w:val="22"/>
              </w:rPr>
              <w:t>1,660</w:t>
            </w:r>
          </w:p>
        </w:tc>
      </w:tr>
      <w:tr w:rsidTr="00D622B2">
        <w:tblPrEx>
          <w:tblW w:w="8931" w:type="dxa"/>
          <w:tblInd w:w="778" w:type="dxa"/>
          <w:tblLook w:val="04A0"/>
        </w:tblPrEx>
        <w:tc>
          <w:tcPr>
            <w:tcW w:w="3230" w:type="dxa"/>
          </w:tcPr>
          <w:p w:rsidR="005E3221" w:rsidRPr="00D622B2" w:rsidP="00184FF5">
            <w:pPr>
              <w:rPr>
                <w:rFonts w:cstheme="minorHAnsi"/>
                <w:sz w:val="22"/>
                <w:szCs w:val="22"/>
              </w:rPr>
            </w:pPr>
            <w:r w:rsidRPr="00D622B2">
              <w:rPr>
                <w:rFonts w:cstheme="minorHAnsi"/>
                <w:sz w:val="22"/>
                <w:szCs w:val="22"/>
              </w:rPr>
              <w:t>North East</w:t>
            </w:r>
          </w:p>
        </w:tc>
        <w:tc>
          <w:tcPr>
            <w:tcW w:w="1533" w:type="dxa"/>
          </w:tcPr>
          <w:p w:rsidR="005E3221" w:rsidRPr="00D622B2" w:rsidP="00184FF5">
            <w:pPr>
              <w:rPr>
                <w:rFonts w:cstheme="minorHAnsi"/>
                <w:sz w:val="22"/>
                <w:szCs w:val="22"/>
              </w:rPr>
            </w:pPr>
            <w:r w:rsidRPr="00D622B2">
              <w:rPr>
                <w:rFonts w:cstheme="minorHAnsi"/>
                <w:sz w:val="22"/>
                <w:szCs w:val="22"/>
              </w:rPr>
              <w:t>£3m</w:t>
            </w:r>
          </w:p>
        </w:tc>
        <w:tc>
          <w:tcPr>
            <w:tcW w:w="1412" w:type="dxa"/>
          </w:tcPr>
          <w:p w:rsidR="005E3221" w:rsidRPr="00D622B2" w:rsidP="00184FF5">
            <w:pPr>
              <w:rPr>
                <w:rFonts w:cstheme="minorHAnsi"/>
                <w:sz w:val="22"/>
                <w:szCs w:val="22"/>
              </w:rPr>
            </w:pPr>
            <w:r w:rsidRPr="00D622B2">
              <w:rPr>
                <w:rFonts w:cstheme="minorHAnsi"/>
                <w:sz w:val="22"/>
                <w:szCs w:val="22"/>
              </w:rPr>
              <w:t>£40m</w:t>
            </w:r>
          </w:p>
        </w:tc>
        <w:tc>
          <w:tcPr>
            <w:tcW w:w="1380" w:type="dxa"/>
          </w:tcPr>
          <w:p w:rsidR="005E3221" w:rsidRPr="00D622B2" w:rsidP="00184FF5">
            <w:pPr>
              <w:rPr>
                <w:rFonts w:cstheme="minorHAnsi"/>
                <w:sz w:val="22"/>
                <w:szCs w:val="22"/>
              </w:rPr>
            </w:pPr>
            <w:r w:rsidRPr="00D622B2">
              <w:rPr>
                <w:rFonts w:cstheme="minorHAnsi"/>
                <w:sz w:val="22"/>
                <w:szCs w:val="22"/>
              </w:rPr>
              <w:t>£43m</w:t>
            </w:r>
          </w:p>
        </w:tc>
        <w:tc>
          <w:tcPr>
            <w:tcW w:w="1376" w:type="dxa"/>
          </w:tcPr>
          <w:p w:rsidR="005E3221" w:rsidRPr="00D622B2" w:rsidP="00184FF5">
            <w:pPr>
              <w:rPr>
                <w:rFonts w:cstheme="minorHAnsi"/>
                <w:sz w:val="22"/>
                <w:szCs w:val="22"/>
              </w:rPr>
            </w:pPr>
            <w:r w:rsidRPr="00D622B2">
              <w:rPr>
                <w:rFonts w:cstheme="minorHAnsi"/>
                <w:sz w:val="22"/>
                <w:szCs w:val="22"/>
              </w:rPr>
              <w:t>860</w:t>
            </w:r>
          </w:p>
        </w:tc>
      </w:tr>
      <w:tr w:rsidTr="00D622B2">
        <w:tblPrEx>
          <w:tblW w:w="8931" w:type="dxa"/>
          <w:tblInd w:w="778" w:type="dxa"/>
          <w:tblLook w:val="04A0"/>
        </w:tblPrEx>
        <w:tc>
          <w:tcPr>
            <w:tcW w:w="3230" w:type="dxa"/>
          </w:tcPr>
          <w:p w:rsidR="005E3221" w:rsidRPr="00D622B2" w:rsidP="00184FF5">
            <w:pPr>
              <w:rPr>
                <w:rFonts w:cstheme="minorHAnsi"/>
                <w:sz w:val="22"/>
                <w:szCs w:val="22"/>
              </w:rPr>
            </w:pPr>
            <w:r w:rsidRPr="00D622B2">
              <w:rPr>
                <w:rFonts w:cstheme="minorHAnsi"/>
                <w:sz w:val="22"/>
                <w:szCs w:val="22"/>
              </w:rPr>
              <w:t>Scotland</w:t>
            </w:r>
          </w:p>
        </w:tc>
        <w:tc>
          <w:tcPr>
            <w:tcW w:w="1533" w:type="dxa"/>
          </w:tcPr>
          <w:p w:rsidR="005E3221" w:rsidRPr="00D622B2" w:rsidP="00184FF5">
            <w:pPr>
              <w:rPr>
                <w:rFonts w:cstheme="minorHAnsi"/>
                <w:sz w:val="22"/>
                <w:szCs w:val="22"/>
              </w:rPr>
            </w:pPr>
            <w:r w:rsidRPr="00D622B2">
              <w:rPr>
                <w:rFonts w:cstheme="minorHAnsi"/>
                <w:sz w:val="22"/>
                <w:szCs w:val="22"/>
              </w:rPr>
              <w:t>£92m</w:t>
            </w:r>
          </w:p>
        </w:tc>
        <w:tc>
          <w:tcPr>
            <w:tcW w:w="1412" w:type="dxa"/>
          </w:tcPr>
          <w:p w:rsidR="005E3221" w:rsidRPr="00D622B2" w:rsidP="00184FF5">
            <w:pPr>
              <w:rPr>
                <w:rFonts w:cstheme="minorHAnsi"/>
                <w:sz w:val="22"/>
                <w:szCs w:val="22"/>
              </w:rPr>
            </w:pPr>
            <w:r w:rsidRPr="00D622B2">
              <w:rPr>
                <w:rFonts w:cstheme="minorHAnsi"/>
                <w:sz w:val="22"/>
                <w:szCs w:val="22"/>
              </w:rPr>
              <w:t>£400m</w:t>
            </w:r>
          </w:p>
        </w:tc>
        <w:tc>
          <w:tcPr>
            <w:tcW w:w="1380" w:type="dxa"/>
          </w:tcPr>
          <w:p w:rsidR="005E3221" w:rsidRPr="00D622B2" w:rsidP="00184FF5">
            <w:pPr>
              <w:rPr>
                <w:rFonts w:cstheme="minorHAnsi"/>
                <w:sz w:val="22"/>
                <w:szCs w:val="22"/>
              </w:rPr>
            </w:pPr>
            <w:r w:rsidRPr="00D622B2">
              <w:rPr>
                <w:rFonts w:cstheme="minorHAnsi"/>
                <w:sz w:val="22"/>
                <w:szCs w:val="22"/>
              </w:rPr>
              <w:t>£492m</w:t>
            </w:r>
          </w:p>
        </w:tc>
        <w:tc>
          <w:tcPr>
            <w:tcW w:w="1376" w:type="dxa"/>
          </w:tcPr>
          <w:p w:rsidR="005E3221" w:rsidRPr="00D622B2" w:rsidP="00184FF5">
            <w:pPr>
              <w:rPr>
                <w:rFonts w:cstheme="minorHAnsi"/>
                <w:sz w:val="22"/>
                <w:szCs w:val="22"/>
              </w:rPr>
            </w:pPr>
            <w:r w:rsidRPr="00D622B2">
              <w:rPr>
                <w:rFonts w:cstheme="minorHAnsi"/>
                <w:sz w:val="22"/>
                <w:szCs w:val="22"/>
              </w:rPr>
              <w:t>9,840</w:t>
            </w:r>
          </w:p>
        </w:tc>
      </w:tr>
      <w:tr w:rsidTr="00D622B2">
        <w:tblPrEx>
          <w:tblW w:w="8931" w:type="dxa"/>
          <w:tblInd w:w="778" w:type="dxa"/>
          <w:tblLook w:val="04A0"/>
        </w:tblPrEx>
        <w:tc>
          <w:tcPr>
            <w:tcW w:w="3230" w:type="dxa"/>
          </w:tcPr>
          <w:p w:rsidR="005E3221" w:rsidRPr="00D622B2" w:rsidP="00184FF5">
            <w:pPr>
              <w:rPr>
                <w:rFonts w:cstheme="minorHAnsi"/>
                <w:sz w:val="22"/>
                <w:szCs w:val="22"/>
              </w:rPr>
            </w:pPr>
            <w:r w:rsidRPr="00D622B2">
              <w:rPr>
                <w:rFonts w:cstheme="minorHAnsi"/>
                <w:sz w:val="22"/>
                <w:szCs w:val="22"/>
              </w:rPr>
              <w:t>Wales</w:t>
            </w:r>
          </w:p>
        </w:tc>
        <w:tc>
          <w:tcPr>
            <w:tcW w:w="1533" w:type="dxa"/>
          </w:tcPr>
          <w:p w:rsidR="005E3221" w:rsidRPr="00D622B2" w:rsidP="00184FF5">
            <w:pPr>
              <w:rPr>
                <w:rFonts w:cstheme="minorHAnsi"/>
                <w:sz w:val="22"/>
                <w:szCs w:val="22"/>
              </w:rPr>
            </w:pPr>
            <w:r w:rsidRPr="00D622B2">
              <w:rPr>
                <w:rFonts w:cstheme="minorHAnsi"/>
                <w:sz w:val="22"/>
                <w:szCs w:val="22"/>
              </w:rPr>
              <w:t>£3m</w:t>
            </w:r>
          </w:p>
        </w:tc>
        <w:tc>
          <w:tcPr>
            <w:tcW w:w="1412" w:type="dxa"/>
          </w:tcPr>
          <w:p w:rsidR="005E3221" w:rsidRPr="00D622B2" w:rsidP="00184FF5">
            <w:pPr>
              <w:rPr>
                <w:rFonts w:cstheme="minorHAnsi"/>
                <w:sz w:val="22"/>
                <w:szCs w:val="22"/>
              </w:rPr>
            </w:pPr>
            <w:r w:rsidRPr="00D622B2">
              <w:rPr>
                <w:rFonts w:cstheme="minorHAnsi"/>
                <w:sz w:val="22"/>
                <w:szCs w:val="22"/>
              </w:rPr>
              <w:t>£80m</w:t>
            </w:r>
          </w:p>
        </w:tc>
        <w:tc>
          <w:tcPr>
            <w:tcW w:w="1380" w:type="dxa"/>
          </w:tcPr>
          <w:p w:rsidR="005E3221" w:rsidRPr="00D622B2" w:rsidP="00184FF5">
            <w:pPr>
              <w:rPr>
                <w:rFonts w:cstheme="minorHAnsi"/>
                <w:sz w:val="22"/>
                <w:szCs w:val="22"/>
              </w:rPr>
            </w:pPr>
            <w:r w:rsidRPr="00D622B2">
              <w:rPr>
                <w:rFonts w:cstheme="minorHAnsi"/>
                <w:sz w:val="22"/>
                <w:szCs w:val="22"/>
              </w:rPr>
              <w:t>£83m</w:t>
            </w:r>
          </w:p>
        </w:tc>
        <w:tc>
          <w:tcPr>
            <w:tcW w:w="1376" w:type="dxa"/>
          </w:tcPr>
          <w:p w:rsidR="005E3221" w:rsidRPr="00D622B2" w:rsidP="00184FF5">
            <w:pPr>
              <w:rPr>
                <w:rFonts w:cstheme="minorHAnsi"/>
                <w:sz w:val="22"/>
                <w:szCs w:val="22"/>
              </w:rPr>
            </w:pPr>
            <w:r w:rsidRPr="00D622B2">
              <w:rPr>
                <w:rFonts w:cstheme="minorHAnsi"/>
                <w:sz w:val="22"/>
                <w:szCs w:val="22"/>
              </w:rPr>
              <w:t>1,660</w:t>
            </w:r>
          </w:p>
        </w:tc>
      </w:tr>
      <w:tr w:rsidTr="00D622B2">
        <w:tblPrEx>
          <w:tblW w:w="8931" w:type="dxa"/>
          <w:tblInd w:w="778" w:type="dxa"/>
          <w:tblLook w:val="04A0"/>
        </w:tblPrEx>
        <w:tc>
          <w:tcPr>
            <w:tcW w:w="3230" w:type="dxa"/>
          </w:tcPr>
          <w:p w:rsidR="005E3221" w:rsidRPr="00D622B2" w:rsidP="00184FF5">
            <w:pPr>
              <w:rPr>
                <w:rFonts w:cstheme="minorHAnsi"/>
                <w:sz w:val="22"/>
                <w:szCs w:val="22"/>
              </w:rPr>
            </w:pPr>
            <w:r w:rsidRPr="00D622B2">
              <w:rPr>
                <w:rFonts w:cstheme="minorHAnsi"/>
                <w:sz w:val="22"/>
                <w:szCs w:val="22"/>
              </w:rPr>
              <w:t>TOTAL</w:t>
            </w:r>
          </w:p>
        </w:tc>
        <w:tc>
          <w:tcPr>
            <w:tcW w:w="1533" w:type="dxa"/>
          </w:tcPr>
          <w:p w:rsidR="005E3221" w:rsidRPr="00D622B2" w:rsidP="00184FF5">
            <w:pPr>
              <w:rPr>
                <w:rFonts w:cstheme="minorHAnsi"/>
                <w:sz w:val="22"/>
                <w:szCs w:val="22"/>
              </w:rPr>
            </w:pPr>
            <w:r w:rsidRPr="00D622B2">
              <w:rPr>
                <w:rFonts w:cstheme="minorHAnsi"/>
                <w:sz w:val="22"/>
                <w:szCs w:val="22"/>
              </w:rPr>
              <w:t>£2bn</w:t>
            </w:r>
          </w:p>
        </w:tc>
        <w:tc>
          <w:tcPr>
            <w:tcW w:w="1412" w:type="dxa"/>
          </w:tcPr>
          <w:p w:rsidR="005E3221" w:rsidRPr="00D622B2" w:rsidP="00184FF5">
            <w:pPr>
              <w:rPr>
                <w:rFonts w:cstheme="minorHAnsi"/>
                <w:sz w:val="22"/>
                <w:szCs w:val="22"/>
              </w:rPr>
            </w:pPr>
            <w:r w:rsidRPr="00D622B2">
              <w:rPr>
                <w:rFonts w:cstheme="minorHAnsi"/>
                <w:sz w:val="22"/>
                <w:szCs w:val="22"/>
              </w:rPr>
              <w:t>£4bn</w:t>
            </w:r>
          </w:p>
        </w:tc>
        <w:tc>
          <w:tcPr>
            <w:tcW w:w="1380" w:type="dxa"/>
          </w:tcPr>
          <w:p w:rsidR="005E3221" w:rsidRPr="00D622B2" w:rsidP="00184FF5">
            <w:pPr>
              <w:rPr>
                <w:rFonts w:cstheme="minorHAnsi"/>
                <w:sz w:val="22"/>
                <w:szCs w:val="22"/>
              </w:rPr>
            </w:pPr>
            <w:r w:rsidRPr="00D622B2">
              <w:rPr>
                <w:rFonts w:cstheme="minorHAnsi"/>
                <w:sz w:val="22"/>
                <w:szCs w:val="22"/>
              </w:rPr>
              <w:t>£6bn</w:t>
            </w:r>
          </w:p>
        </w:tc>
        <w:tc>
          <w:tcPr>
            <w:tcW w:w="1376" w:type="dxa"/>
          </w:tcPr>
          <w:p w:rsidR="005E3221" w:rsidRPr="00D622B2" w:rsidP="00184FF5">
            <w:pPr>
              <w:rPr>
                <w:rFonts w:cstheme="minorHAnsi"/>
                <w:sz w:val="22"/>
                <w:szCs w:val="22"/>
              </w:rPr>
            </w:pPr>
            <w:r w:rsidRPr="00D622B2">
              <w:rPr>
                <w:rFonts w:cstheme="minorHAnsi"/>
                <w:sz w:val="22"/>
                <w:szCs w:val="22"/>
              </w:rPr>
              <w:t>120,000</w:t>
            </w:r>
          </w:p>
        </w:tc>
      </w:tr>
    </w:tbl>
    <w:p w:rsidR="005E3221" w:rsidRPr="00D622B2" w:rsidP="00D622B2">
      <w:pPr>
        <w:ind w:firstLine="720"/>
        <w:rPr>
          <w:rFonts w:cstheme="minorHAnsi"/>
          <w:sz w:val="22"/>
          <w:szCs w:val="22"/>
        </w:rPr>
      </w:pPr>
      <w:r w:rsidRPr="00D622B2">
        <w:rPr>
          <w:rFonts w:cstheme="minorHAnsi"/>
          <w:sz w:val="22"/>
          <w:szCs w:val="22"/>
        </w:rPr>
        <w:t xml:space="preserve">Table </w:t>
      </w:r>
      <w:r>
        <w:rPr>
          <w:rFonts w:cstheme="minorHAnsi"/>
          <w:sz w:val="22"/>
          <w:szCs w:val="22"/>
        </w:rPr>
        <w:t>Two</w:t>
      </w:r>
    </w:p>
    <w:p w:rsidR="005E3221" w:rsidRPr="00D622B2" w:rsidP="00D622B2">
      <w:pPr>
        <w:ind w:left="720" w:hanging="720"/>
        <w:jc w:val="both"/>
        <w:rPr>
          <w:rFonts w:cstheme="minorHAnsi"/>
          <w:sz w:val="22"/>
          <w:szCs w:val="22"/>
        </w:rPr>
      </w:pPr>
      <w:r>
        <w:rPr>
          <w:rFonts w:cstheme="minorHAnsi"/>
          <w:sz w:val="22"/>
          <w:szCs w:val="22"/>
        </w:rPr>
        <w:t>5.6</w:t>
      </w:r>
      <w:r>
        <w:rPr>
          <w:rFonts w:cstheme="minorHAnsi"/>
          <w:sz w:val="22"/>
          <w:szCs w:val="22"/>
        </w:rPr>
        <w:tab/>
      </w:r>
      <w:r>
        <w:rPr>
          <w:rFonts w:cstheme="minorHAnsi"/>
          <w:sz w:val="22"/>
          <w:szCs w:val="22"/>
        </w:rPr>
        <w:t>All t</w:t>
      </w:r>
      <w:r w:rsidRPr="00D622B2">
        <w:rPr>
          <w:rFonts w:cstheme="minorHAnsi"/>
          <w:sz w:val="22"/>
          <w:szCs w:val="22"/>
        </w:rPr>
        <w:t>he new evidence now available shows significant benefits for the UK’s national and regional economies, job creation and tax revenues. This is why AIR is calling on the government to review this mass of new data to allow a more evidence-based consideration of tax-free shopping.</w:t>
      </w:r>
    </w:p>
    <w:p w:rsidR="005E3221" w:rsidRPr="00D622B2" w:rsidP="00D622B2">
      <w:pPr>
        <w:ind w:left="720" w:hanging="720"/>
        <w:jc w:val="both"/>
        <w:rPr>
          <w:rFonts w:cstheme="minorHAnsi"/>
          <w:sz w:val="22"/>
          <w:szCs w:val="22"/>
          <w:u w:val="single"/>
          <w:lang w:eastAsia="en-GB"/>
        </w:rPr>
      </w:pPr>
      <w:r>
        <w:rPr>
          <w:rFonts w:cstheme="minorHAnsi"/>
          <w:sz w:val="22"/>
          <w:szCs w:val="22"/>
          <w:lang w:eastAsia="en-GB"/>
        </w:rPr>
        <w:t>6.</w:t>
      </w:r>
      <w:r>
        <w:rPr>
          <w:rFonts w:cstheme="minorHAnsi"/>
          <w:sz w:val="22"/>
          <w:szCs w:val="22"/>
          <w:lang w:eastAsia="en-GB"/>
        </w:rPr>
        <w:tab/>
      </w:r>
      <w:r w:rsidRPr="00D622B2">
        <w:rPr>
          <w:rFonts w:cstheme="minorHAnsi"/>
          <w:sz w:val="22"/>
          <w:szCs w:val="22"/>
          <w:u w:val="single"/>
          <w:lang w:eastAsia="en-GB"/>
        </w:rPr>
        <w:t>Why we need to look again at the impact of tax-free shopping on international visitor behaviour</w:t>
      </w:r>
    </w:p>
    <w:p w:rsidR="005E3221" w:rsidRPr="00D622B2" w:rsidP="00D622B2">
      <w:pPr>
        <w:ind w:left="720" w:hanging="720"/>
        <w:jc w:val="both"/>
        <w:rPr>
          <w:rFonts w:cstheme="minorHAnsi"/>
          <w:sz w:val="22"/>
          <w:szCs w:val="22"/>
        </w:rPr>
      </w:pPr>
      <w:r>
        <w:rPr>
          <w:rFonts w:cstheme="minorHAnsi"/>
          <w:sz w:val="22"/>
          <w:szCs w:val="22"/>
        </w:rPr>
        <w:t>6.1</w:t>
      </w:r>
      <w:r>
        <w:rPr>
          <w:rFonts w:cstheme="minorHAnsi"/>
          <w:sz w:val="22"/>
          <w:szCs w:val="22"/>
        </w:rPr>
        <w:tab/>
      </w:r>
      <w:r w:rsidRPr="00D622B2">
        <w:rPr>
          <w:rFonts w:cstheme="minorHAnsi"/>
          <w:sz w:val="22"/>
          <w:szCs w:val="22"/>
        </w:rPr>
        <w:t xml:space="preserve">The Treasury cites the OBR </w:t>
      </w:r>
      <w:r w:rsidRPr="00D622B2">
        <w:rPr>
          <w:rFonts w:eastAsia="Times New Roman" w:cstheme="minorHAnsi"/>
          <w:color w:val="000000"/>
          <w:sz w:val="22"/>
          <w:szCs w:val="22"/>
          <w:lang w:eastAsia="en-GB"/>
        </w:rPr>
        <w:t>assessment which “showed that withdrawing the scheme would have a limited behavioural effect on decisions to visit, or spend, in the UK.”</w:t>
      </w:r>
      <w:r>
        <w:rPr>
          <w:rStyle w:val="FootnoteReference"/>
          <w:rFonts w:eastAsia="Times New Roman" w:cstheme="minorHAnsi"/>
          <w:color w:val="000000"/>
          <w:sz w:val="22"/>
          <w:szCs w:val="22"/>
          <w:lang w:eastAsia="en-GB"/>
        </w:rPr>
        <w:footnoteReference w:id="9"/>
      </w:r>
      <w:r w:rsidRPr="00D622B2">
        <w:rPr>
          <w:rFonts w:cstheme="minorHAnsi"/>
          <w:sz w:val="22"/>
          <w:szCs w:val="22"/>
        </w:rPr>
        <w:t xml:space="preserve"> But the evidence shows that ending tax-free shopping is a major factor in Britian’s </w:t>
      </w:r>
      <w:r>
        <w:rPr>
          <w:rFonts w:cstheme="minorHAnsi"/>
          <w:sz w:val="22"/>
          <w:szCs w:val="22"/>
        </w:rPr>
        <w:t xml:space="preserve">relatively </w:t>
      </w:r>
      <w:r w:rsidRPr="00D622B2">
        <w:rPr>
          <w:rFonts w:cstheme="minorHAnsi"/>
          <w:sz w:val="22"/>
          <w:szCs w:val="22"/>
        </w:rPr>
        <w:t>slow recovery in visitor numbers and spending levels.</w:t>
      </w:r>
    </w:p>
    <w:p w:rsidR="005E3221" w:rsidRPr="00D622B2" w:rsidP="00D622B2">
      <w:pPr>
        <w:ind w:left="720" w:hanging="720"/>
        <w:jc w:val="both"/>
        <w:rPr>
          <w:rFonts w:cstheme="minorHAnsi"/>
          <w:sz w:val="22"/>
          <w:szCs w:val="22"/>
          <w:lang w:eastAsia="en-GB"/>
        </w:rPr>
      </w:pPr>
      <w:r>
        <w:rPr>
          <w:rFonts w:cstheme="minorHAnsi"/>
          <w:sz w:val="22"/>
          <w:szCs w:val="22"/>
        </w:rPr>
        <w:t>6.2</w:t>
      </w:r>
      <w:r>
        <w:rPr>
          <w:rFonts w:cstheme="minorHAnsi"/>
          <w:sz w:val="22"/>
          <w:szCs w:val="22"/>
        </w:rPr>
        <w:tab/>
      </w:r>
      <w:r w:rsidRPr="00D622B2">
        <w:rPr>
          <w:rFonts w:cstheme="minorHAnsi"/>
          <w:sz w:val="22"/>
          <w:szCs w:val="22"/>
        </w:rPr>
        <w:t>For many international travellers, shopping is important in choosing a destination and it represents a significant share of their spending. Britain is recognised as a global shopping destination, with world-renowned international centres in London’s West End and Knightsbridge, alongside strong offers in Manchester, Edinburgh, Leeds, Liverpool, Glasgow and other major cities.</w:t>
      </w:r>
    </w:p>
    <w:p w:rsidR="005E3221" w:rsidRPr="00D622B2" w:rsidP="0037556B">
      <w:pPr>
        <w:ind w:left="720" w:hanging="720"/>
        <w:jc w:val="both"/>
        <w:rPr>
          <w:rFonts w:cstheme="minorHAnsi"/>
          <w:sz w:val="22"/>
          <w:szCs w:val="22"/>
        </w:rPr>
      </w:pPr>
      <w:r>
        <w:rPr>
          <w:rFonts w:cstheme="minorHAnsi"/>
          <w:sz w:val="22"/>
          <w:szCs w:val="22"/>
        </w:rPr>
        <w:t>6.3</w:t>
      </w:r>
      <w:r>
        <w:rPr>
          <w:rFonts w:cstheme="minorHAnsi"/>
          <w:sz w:val="22"/>
          <w:szCs w:val="22"/>
        </w:rPr>
        <w:tab/>
      </w:r>
      <w:r w:rsidRPr="0006648C">
        <w:rPr>
          <w:rFonts w:cstheme="minorHAnsi"/>
          <w:sz w:val="22"/>
          <w:szCs w:val="22"/>
        </w:rPr>
        <w:t>VisitBritain estimates that shopping accounts for 25% of international visitor spending, more than any other single category</w:t>
      </w:r>
      <w:r w:rsidRPr="00D622B2">
        <w:rPr>
          <w:rFonts w:cstheme="minorHAnsi"/>
          <w:sz w:val="22"/>
          <w:szCs w:val="22"/>
        </w:rPr>
        <w:t>.</w:t>
      </w:r>
      <w:r>
        <w:rPr>
          <w:rStyle w:val="FootnoteReference"/>
          <w:rFonts w:cstheme="minorHAnsi"/>
          <w:sz w:val="22"/>
          <w:szCs w:val="22"/>
        </w:rPr>
        <w:footnoteReference w:id="10"/>
      </w:r>
      <w:r w:rsidRPr="00D622B2">
        <w:rPr>
          <w:rFonts w:cstheme="minorHAnsi"/>
          <w:sz w:val="22"/>
          <w:szCs w:val="22"/>
        </w:rPr>
        <w:t xml:space="preserve"> In 2019, the last full year before COVID-19 and before the UK ended VAT-free shopping, international visitors spent £24.8 billion in the UK.</w:t>
      </w:r>
      <w:r>
        <w:rPr>
          <w:rStyle w:val="FootnoteReference"/>
          <w:rFonts w:cstheme="minorHAnsi"/>
          <w:sz w:val="22"/>
          <w:szCs w:val="22"/>
        </w:rPr>
        <w:footnoteReference w:id="11"/>
      </w:r>
      <w:r w:rsidRPr="00D622B2">
        <w:rPr>
          <w:rFonts w:cstheme="minorHAnsi"/>
          <w:sz w:val="22"/>
          <w:szCs w:val="22"/>
        </w:rPr>
        <w:t xml:space="preserve"> On that basis, they spent about £6.2 billion on shopping. HMRC reports that VAT was reclaimed on £2.5 billion of this spending, with a further £1 billion spent airside.</w:t>
      </w:r>
      <w:r>
        <w:rPr>
          <w:rStyle w:val="FootnoteReference"/>
          <w:rFonts w:cstheme="minorHAnsi"/>
          <w:sz w:val="22"/>
          <w:szCs w:val="22"/>
        </w:rPr>
        <w:footnoteReference w:id="12"/>
      </w:r>
      <w:r w:rsidRPr="00D622B2">
        <w:rPr>
          <w:rFonts w:cstheme="minorHAnsi"/>
          <w:sz w:val="22"/>
          <w:szCs w:val="22"/>
          <w:lang w:eastAsia="en-GB"/>
        </w:rPr>
        <w:t xml:space="preserve"> </w:t>
      </w:r>
    </w:p>
    <w:p w:rsidR="005E3221" w:rsidRPr="00D622B2" w:rsidP="00D622B2">
      <w:pPr>
        <w:ind w:left="720" w:hanging="720"/>
        <w:jc w:val="both"/>
        <w:rPr>
          <w:rFonts w:cstheme="minorHAnsi"/>
          <w:sz w:val="22"/>
          <w:szCs w:val="22"/>
          <w:lang w:eastAsia="en-GB"/>
        </w:rPr>
      </w:pPr>
      <w:r>
        <w:rPr>
          <w:rFonts w:cstheme="minorHAnsi"/>
          <w:sz w:val="22"/>
          <w:szCs w:val="22"/>
        </w:rPr>
        <w:t>6.4</w:t>
      </w:r>
      <w:r>
        <w:rPr>
          <w:rFonts w:cstheme="minorHAnsi"/>
          <w:sz w:val="22"/>
          <w:szCs w:val="22"/>
        </w:rPr>
        <w:tab/>
      </w:r>
      <w:r w:rsidRPr="00D622B2">
        <w:rPr>
          <w:rFonts w:cstheme="minorHAnsi"/>
          <w:sz w:val="22"/>
          <w:szCs w:val="22"/>
        </w:rPr>
        <w:t>In London, before VAT-free shopping ended, shopping accounted for 46% of international visitor spending, the largest single spending category.</w:t>
      </w:r>
      <w:r>
        <w:rPr>
          <w:rStyle w:val="FootnoteReference"/>
          <w:rFonts w:cstheme="minorHAnsi"/>
          <w:sz w:val="22"/>
          <w:szCs w:val="22"/>
        </w:rPr>
        <w:footnoteReference w:id="13"/>
      </w:r>
      <w:r w:rsidRPr="00D622B2">
        <w:rPr>
          <w:rFonts w:cstheme="minorHAnsi"/>
          <w:sz w:val="22"/>
          <w:szCs w:val="22"/>
          <w:lang w:eastAsia="en-GB"/>
        </w:rPr>
        <w:t xml:space="preserve"> </w:t>
      </w:r>
    </w:p>
    <w:p w:rsidR="005E3221" w:rsidP="00D622B2">
      <w:pPr>
        <w:ind w:left="720" w:hanging="720"/>
        <w:jc w:val="both"/>
        <w:rPr>
          <w:lang w:eastAsia="en-GB"/>
        </w:rPr>
      </w:pPr>
      <w:r>
        <w:rPr>
          <w:sz w:val="22"/>
          <w:szCs w:val="22"/>
        </w:rPr>
        <w:t>6.5         Shopping is especially important to high-spending visitor groups, particularly those from China and the GCC. Chinese tourists are the world’s highest spender</w:t>
      </w:r>
      <w:bookmarkStart w:id="0" w:name="_ftnref10"/>
      <w:bookmarkEnd w:id="0"/>
      <w:r>
        <w:rPr>
          <w:sz w:val="22"/>
          <w:szCs w:val="22"/>
        </w:rPr>
        <w:t>s</w:t>
      </w:r>
      <w:r>
        <w:rPr>
          <w:rStyle w:val="FootnoteReference"/>
          <w:sz w:val="22"/>
          <w:szCs w:val="22"/>
        </w:rPr>
        <w:footnoteReference w:id="14"/>
      </w:r>
      <w:r>
        <w:rPr>
          <w:sz w:val="22"/>
          <w:szCs w:val="22"/>
        </w:rPr>
        <w:t xml:space="preserve"> and offer major growth potential.</w:t>
      </w:r>
      <w:bookmarkStart w:id="1" w:name="_ftnref11"/>
      <w:bookmarkEnd w:id="1"/>
      <w:r>
        <w:rPr>
          <w:sz w:val="22"/>
          <w:szCs w:val="22"/>
        </w:rPr>
        <w:t xml:space="preserve"> VisitBritain’s Foresight Report 150</w:t>
      </w:r>
      <w:bookmarkStart w:id="2" w:name="_ftnref12"/>
      <w:bookmarkEnd w:id="2"/>
      <w:r>
        <w:rPr>
          <w:rStyle w:val="FootnoteReference"/>
          <w:sz w:val="22"/>
          <w:szCs w:val="22"/>
        </w:rPr>
        <w:footnoteReference w:id="15"/>
      </w:r>
      <w:r>
        <w:rPr>
          <w:sz w:val="22"/>
          <w:szCs w:val="22"/>
        </w:rPr>
        <w:t xml:space="preserve"> cites the International Passenger Survey, which found that shopping was the top attraction for Chinese visitors</w:t>
      </w:r>
      <w:bookmarkStart w:id="3" w:name="_ftnref13"/>
      <w:bookmarkEnd w:id="3"/>
      <w:r>
        <w:rPr>
          <w:sz w:val="22"/>
          <w:szCs w:val="22"/>
        </w:rPr>
        <w:t xml:space="preserve"> and a key reason for visiting the UK for 51% of visitors from Saudi Arabia and 41% from the UAE.</w:t>
      </w:r>
    </w:p>
    <w:tbl>
      <w:tblPr>
        <w:tblStyle w:val="TableGrid"/>
        <w:tblpPr w:leftFromText="180" w:rightFromText="180" w:vertAnchor="text" w:horzAnchor="page" w:tblpX="2213" w:tblpY="2249"/>
        <w:tblW w:w="8651" w:type="dxa"/>
        <w:tblLook w:val="04A0"/>
      </w:tblPr>
      <w:tblGrid>
        <w:gridCol w:w="1670"/>
        <w:gridCol w:w="722"/>
        <w:gridCol w:w="722"/>
        <w:gridCol w:w="988"/>
        <w:gridCol w:w="1126"/>
        <w:gridCol w:w="722"/>
        <w:gridCol w:w="722"/>
        <w:gridCol w:w="851"/>
        <w:gridCol w:w="1128"/>
      </w:tblGrid>
      <w:tr w:rsidTr="00D622B2">
        <w:tblPrEx>
          <w:tblW w:w="8651" w:type="dxa"/>
          <w:tblLook w:val="04A0"/>
        </w:tblPrEx>
        <w:tc>
          <w:tcPr>
            <w:tcW w:w="1670" w:type="dxa"/>
            <w:vMerge w:val="restart"/>
            <w:shd w:val="clear" w:color="auto" w:fill="A6A6A6" w:themeFill="background1" w:themeFillShade="A6"/>
          </w:tcPr>
          <w:p w:rsidR="005E3221" w:rsidRPr="00D622B2" w:rsidP="00D622B2">
            <w:pPr>
              <w:jc w:val="both"/>
              <w:rPr>
                <w:rFonts w:cstheme="minorHAnsi"/>
                <w:b/>
                <w:bCs/>
                <w:sz w:val="22"/>
                <w:szCs w:val="22"/>
              </w:rPr>
            </w:pPr>
            <w:r w:rsidRPr="00D622B2">
              <w:rPr>
                <w:rFonts w:cstheme="minorHAnsi"/>
                <w:b/>
                <w:bCs/>
                <w:sz w:val="22"/>
                <w:szCs w:val="22"/>
              </w:rPr>
              <w:t>Measure</w:t>
            </w:r>
          </w:p>
        </w:tc>
        <w:tc>
          <w:tcPr>
            <w:tcW w:w="3558" w:type="dxa"/>
            <w:gridSpan w:val="4"/>
            <w:shd w:val="clear" w:color="auto" w:fill="A6A6A6" w:themeFill="background1" w:themeFillShade="A6"/>
          </w:tcPr>
          <w:p w:rsidR="005E3221" w:rsidRPr="00D622B2" w:rsidP="00D622B2">
            <w:pPr>
              <w:jc w:val="both"/>
              <w:rPr>
                <w:rFonts w:cstheme="minorHAnsi"/>
                <w:b/>
                <w:bCs/>
                <w:sz w:val="22"/>
                <w:szCs w:val="22"/>
              </w:rPr>
            </w:pPr>
            <w:r w:rsidRPr="00D622B2">
              <w:rPr>
                <w:rFonts w:cstheme="minorHAnsi"/>
                <w:b/>
                <w:bCs/>
                <w:sz w:val="22"/>
                <w:szCs w:val="22"/>
              </w:rPr>
              <w:t>UK</w:t>
            </w:r>
          </w:p>
        </w:tc>
        <w:tc>
          <w:tcPr>
            <w:tcW w:w="3423" w:type="dxa"/>
            <w:gridSpan w:val="4"/>
            <w:shd w:val="clear" w:color="auto" w:fill="A6A6A6" w:themeFill="background1" w:themeFillShade="A6"/>
          </w:tcPr>
          <w:p w:rsidR="005E3221" w:rsidRPr="00D622B2" w:rsidP="00D622B2">
            <w:pPr>
              <w:jc w:val="both"/>
              <w:rPr>
                <w:rFonts w:cstheme="minorHAnsi"/>
                <w:b/>
                <w:bCs/>
                <w:sz w:val="22"/>
                <w:szCs w:val="22"/>
              </w:rPr>
            </w:pPr>
            <w:r w:rsidRPr="00D622B2">
              <w:rPr>
                <w:rFonts w:cstheme="minorHAnsi"/>
                <w:b/>
                <w:bCs/>
                <w:sz w:val="22"/>
                <w:szCs w:val="22"/>
              </w:rPr>
              <w:t>France, Italy and Spain</w:t>
            </w:r>
          </w:p>
        </w:tc>
      </w:tr>
      <w:tr w:rsidTr="00D622B2">
        <w:tblPrEx>
          <w:tblW w:w="8651" w:type="dxa"/>
          <w:tblLook w:val="04A0"/>
        </w:tblPrEx>
        <w:tc>
          <w:tcPr>
            <w:tcW w:w="1670" w:type="dxa"/>
            <w:vMerge/>
            <w:shd w:val="clear" w:color="auto" w:fill="A6A6A6" w:themeFill="background1" w:themeFillShade="A6"/>
          </w:tcPr>
          <w:p w:rsidR="005E3221" w:rsidRPr="00D622B2" w:rsidP="00D622B2">
            <w:pPr>
              <w:jc w:val="both"/>
              <w:rPr>
                <w:rFonts w:cstheme="minorHAnsi"/>
                <w:b/>
                <w:bCs/>
                <w:sz w:val="22"/>
                <w:szCs w:val="22"/>
              </w:rPr>
            </w:pPr>
          </w:p>
        </w:tc>
        <w:tc>
          <w:tcPr>
            <w:tcW w:w="722" w:type="dxa"/>
            <w:shd w:val="clear" w:color="auto" w:fill="A6A6A6" w:themeFill="background1" w:themeFillShade="A6"/>
          </w:tcPr>
          <w:p w:rsidR="005E3221" w:rsidRPr="00D622B2" w:rsidP="00D622B2">
            <w:pPr>
              <w:jc w:val="both"/>
              <w:rPr>
                <w:rFonts w:cstheme="minorHAnsi"/>
                <w:b/>
                <w:bCs/>
                <w:sz w:val="22"/>
                <w:szCs w:val="22"/>
              </w:rPr>
            </w:pPr>
            <w:r w:rsidRPr="00D622B2">
              <w:rPr>
                <w:rFonts w:cstheme="minorHAnsi"/>
                <w:b/>
                <w:bCs/>
                <w:sz w:val="22"/>
                <w:szCs w:val="22"/>
              </w:rPr>
              <w:t>2019</w:t>
            </w:r>
          </w:p>
        </w:tc>
        <w:tc>
          <w:tcPr>
            <w:tcW w:w="722" w:type="dxa"/>
            <w:shd w:val="clear" w:color="auto" w:fill="A6A6A6" w:themeFill="background1" w:themeFillShade="A6"/>
          </w:tcPr>
          <w:p w:rsidR="005E3221" w:rsidRPr="00D622B2" w:rsidP="00D622B2">
            <w:pPr>
              <w:jc w:val="both"/>
              <w:rPr>
                <w:rFonts w:cstheme="minorHAnsi"/>
                <w:b/>
                <w:bCs/>
                <w:sz w:val="22"/>
                <w:szCs w:val="22"/>
              </w:rPr>
            </w:pPr>
            <w:r w:rsidRPr="00D622B2">
              <w:rPr>
                <w:rFonts w:cstheme="minorHAnsi"/>
                <w:b/>
                <w:bCs/>
                <w:sz w:val="22"/>
                <w:szCs w:val="22"/>
              </w:rPr>
              <w:t>2025</w:t>
            </w:r>
          </w:p>
        </w:tc>
        <w:tc>
          <w:tcPr>
            <w:tcW w:w="988" w:type="dxa"/>
            <w:shd w:val="clear" w:color="auto" w:fill="A6A6A6" w:themeFill="background1" w:themeFillShade="A6"/>
          </w:tcPr>
          <w:p w:rsidR="005E3221" w:rsidRPr="00D622B2" w:rsidP="00D622B2">
            <w:pPr>
              <w:jc w:val="both"/>
              <w:rPr>
                <w:rFonts w:cstheme="minorHAnsi"/>
                <w:b/>
                <w:bCs/>
                <w:sz w:val="22"/>
                <w:szCs w:val="22"/>
              </w:rPr>
            </w:pPr>
            <w:r w:rsidRPr="00D622B2">
              <w:rPr>
                <w:rFonts w:cstheme="minorHAnsi"/>
                <w:b/>
                <w:bCs/>
                <w:sz w:val="22"/>
                <w:szCs w:val="22"/>
              </w:rPr>
              <w:t>25 v 19</w:t>
            </w:r>
          </w:p>
        </w:tc>
        <w:tc>
          <w:tcPr>
            <w:tcW w:w="1126" w:type="dxa"/>
            <w:shd w:val="clear" w:color="auto" w:fill="A6A6A6" w:themeFill="background1" w:themeFillShade="A6"/>
          </w:tcPr>
          <w:p w:rsidR="005E3221" w:rsidRPr="00D622B2" w:rsidP="00D622B2">
            <w:pPr>
              <w:jc w:val="both"/>
              <w:rPr>
                <w:rFonts w:cstheme="minorHAnsi"/>
                <w:b/>
                <w:bCs/>
                <w:color w:val="EE0000"/>
                <w:sz w:val="22"/>
                <w:szCs w:val="22"/>
              </w:rPr>
            </w:pPr>
            <w:r w:rsidRPr="00D622B2">
              <w:rPr>
                <w:rFonts w:cstheme="minorHAnsi"/>
                <w:b/>
                <w:bCs/>
                <w:color w:val="EE0000"/>
                <w:sz w:val="22"/>
                <w:szCs w:val="22"/>
              </w:rPr>
              <w:t>25 v 19 %</w:t>
            </w:r>
          </w:p>
        </w:tc>
        <w:tc>
          <w:tcPr>
            <w:tcW w:w="722" w:type="dxa"/>
            <w:shd w:val="clear" w:color="auto" w:fill="A6A6A6" w:themeFill="background1" w:themeFillShade="A6"/>
          </w:tcPr>
          <w:p w:rsidR="005E3221" w:rsidRPr="00D622B2" w:rsidP="00D622B2">
            <w:pPr>
              <w:jc w:val="both"/>
              <w:rPr>
                <w:rFonts w:cstheme="minorHAnsi"/>
                <w:b/>
                <w:bCs/>
                <w:sz w:val="22"/>
                <w:szCs w:val="22"/>
              </w:rPr>
            </w:pPr>
            <w:r w:rsidRPr="00D622B2">
              <w:rPr>
                <w:rFonts w:cstheme="minorHAnsi"/>
                <w:b/>
                <w:bCs/>
                <w:sz w:val="22"/>
                <w:szCs w:val="22"/>
              </w:rPr>
              <w:t>2019</w:t>
            </w:r>
          </w:p>
        </w:tc>
        <w:tc>
          <w:tcPr>
            <w:tcW w:w="722" w:type="dxa"/>
            <w:shd w:val="clear" w:color="auto" w:fill="A6A6A6" w:themeFill="background1" w:themeFillShade="A6"/>
          </w:tcPr>
          <w:p w:rsidR="005E3221" w:rsidRPr="00D622B2" w:rsidP="00D622B2">
            <w:pPr>
              <w:jc w:val="both"/>
              <w:rPr>
                <w:rFonts w:cstheme="minorHAnsi"/>
                <w:b/>
                <w:bCs/>
                <w:sz w:val="22"/>
                <w:szCs w:val="22"/>
              </w:rPr>
            </w:pPr>
            <w:r w:rsidRPr="00D622B2">
              <w:rPr>
                <w:rFonts w:cstheme="minorHAnsi"/>
                <w:b/>
                <w:bCs/>
                <w:sz w:val="22"/>
                <w:szCs w:val="22"/>
              </w:rPr>
              <w:t>2025</w:t>
            </w:r>
          </w:p>
        </w:tc>
        <w:tc>
          <w:tcPr>
            <w:tcW w:w="851" w:type="dxa"/>
            <w:shd w:val="clear" w:color="auto" w:fill="A6A6A6" w:themeFill="background1" w:themeFillShade="A6"/>
          </w:tcPr>
          <w:p w:rsidR="005E3221" w:rsidRPr="00D622B2" w:rsidP="00D622B2">
            <w:pPr>
              <w:jc w:val="both"/>
              <w:rPr>
                <w:rFonts w:cstheme="minorHAnsi"/>
                <w:b/>
                <w:bCs/>
                <w:sz w:val="22"/>
                <w:szCs w:val="22"/>
              </w:rPr>
            </w:pPr>
            <w:r w:rsidRPr="00D622B2">
              <w:rPr>
                <w:rFonts w:cstheme="minorHAnsi"/>
                <w:b/>
                <w:bCs/>
                <w:sz w:val="22"/>
                <w:szCs w:val="22"/>
              </w:rPr>
              <w:t>25 v 19</w:t>
            </w:r>
          </w:p>
        </w:tc>
        <w:tc>
          <w:tcPr>
            <w:tcW w:w="1128" w:type="dxa"/>
            <w:shd w:val="clear" w:color="auto" w:fill="A6A6A6" w:themeFill="background1" w:themeFillShade="A6"/>
          </w:tcPr>
          <w:p w:rsidR="005E3221" w:rsidRPr="00D622B2" w:rsidP="00D622B2">
            <w:pPr>
              <w:jc w:val="both"/>
              <w:rPr>
                <w:rFonts w:cstheme="minorHAnsi"/>
                <w:b/>
                <w:bCs/>
                <w:color w:val="EE0000"/>
                <w:sz w:val="22"/>
                <w:szCs w:val="22"/>
              </w:rPr>
            </w:pPr>
            <w:r w:rsidRPr="00D622B2">
              <w:rPr>
                <w:rFonts w:cstheme="minorHAnsi"/>
                <w:b/>
                <w:bCs/>
                <w:color w:val="EE0000"/>
                <w:sz w:val="22"/>
                <w:szCs w:val="22"/>
              </w:rPr>
              <w:t>25 v 19 %</w:t>
            </w:r>
          </w:p>
        </w:tc>
      </w:tr>
      <w:tr w:rsidTr="00D622B2">
        <w:tblPrEx>
          <w:tblW w:w="8651" w:type="dxa"/>
          <w:tblLook w:val="04A0"/>
        </w:tblPrEx>
        <w:tc>
          <w:tcPr>
            <w:tcW w:w="1670" w:type="dxa"/>
          </w:tcPr>
          <w:p w:rsidR="005E3221" w:rsidRPr="00D622B2" w:rsidP="00D622B2">
            <w:pPr>
              <w:rPr>
                <w:rFonts w:cstheme="minorHAnsi"/>
                <w:sz w:val="22"/>
                <w:szCs w:val="22"/>
              </w:rPr>
            </w:pPr>
            <w:r w:rsidRPr="00D622B2">
              <w:rPr>
                <w:rFonts w:cstheme="minorHAnsi"/>
                <w:sz w:val="22"/>
                <w:szCs w:val="22"/>
              </w:rPr>
              <w:t>Chinese Visitor Numbers</w:t>
            </w:r>
          </w:p>
        </w:tc>
        <w:tc>
          <w:tcPr>
            <w:tcW w:w="722" w:type="dxa"/>
          </w:tcPr>
          <w:p w:rsidR="005E3221" w:rsidRPr="00D622B2" w:rsidP="00D622B2">
            <w:pPr>
              <w:jc w:val="both"/>
              <w:rPr>
                <w:rFonts w:cstheme="minorHAnsi"/>
                <w:sz w:val="22"/>
                <w:szCs w:val="22"/>
              </w:rPr>
            </w:pPr>
            <w:r w:rsidRPr="00D622B2">
              <w:rPr>
                <w:rFonts w:cstheme="minorHAnsi"/>
                <w:sz w:val="22"/>
                <w:szCs w:val="22"/>
              </w:rPr>
              <w:t>883k</w:t>
            </w:r>
          </w:p>
        </w:tc>
        <w:tc>
          <w:tcPr>
            <w:tcW w:w="722" w:type="dxa"/>
          </w:tcPr>
          <w:p w:rsidR="005E3221" w:rsidRPr="00D622B2" w:rsidP="00D622B2">
            <w:pPr>
              <w:jc w:val="both"/>
              <w:rPr>
                <w:rFonts w:cstheme="minorHAnsi"/>
                <w:sz w:val="22"/>
                <w:szCs w:val="22"/>
              </w:rPr>
            </w:pPr>
            <w:r w:rsidRPr="00D622B2">
              <w:rPr>
                <w:rFonts w:cstheme="minorHAnsi"/>
                <w:sz w:val="22"/>
                <w:szCs w:val="22"/>
              </w:rPr>
              <w:t>768k</w:t>
            </w:r>
          </w:p>
        </w:tc>
        <w:tc>
          <w:tcPr>
            <w:tcW w:w="988" w:type="dxa"/>
          </w:tcPr>
          <w:p w:rsidR="005E3221" w:rsidRPr="00D622B2" w:rsidP="00D622B2">
            <w:pPr>
              <w:jc w:val="both"/>
              <w:rPr>
                <w:rFonts w:cstheme="minorHAnsi"/>
                <w:sz w:val="22"/>
                <w:szCs w:val="22"/>
              </w:rPr>
            </w:pPr>
            <w:r w:rsidRPr="00D622B2">
              <w:rPr>
                <w:rFonts w:cstheme="minorHAnsi"/>
                <w:sz w:val="22"/>
                <w:szCs w:val="22"/>
              </w:rPr>
              <w:t>-115k</w:t>
            </w:r>
          </w:p>
        </w:tc>
        <w:tc>
          <w:tcPr>
            <w:tcW w:w="1126" w:type="dxa"/>
          </w:tcPr>
          <w:p w:rsidR="005E3221" w:rsidRPr="00D622B2" w:rsidP="00D622B2">
            <w:pPr>
              <w:jc w:val="both"/>
              <w:rPr>
                <w:rFonts w:cstheme="minorHAnsi"/>
                <w:color w:val="EE0000"/>
                <w:sz w:val="22"/>
                <w:szCs w:val="22"/>
              </w:rPr>
            </w:pPr>
            <w:r w:rsidRPr="00D622B2">
              <w:rPr>
                <w:rFonts w:cstheme="minorHAnsi"/>
                <w:color w:val="EE0000"/>
                <w:sz w:val="22"/>
                <w:szCs w:val="22"/>
              </w:rPr>
              <w:t>-13%</w:t>
            </w:r>
          </w:p>
        </w:tc>
        <w:tc>
          <w:tcPr>
            <w:tcW w:w="722" w:type="dxa"/>
          </w:tcPr>
          <w:p w:rsidR="005E3221" w:rsidRPr="00D622B2" w:rsidP="00D622B2">
            <w:pPr>
              <w:jc w:val="both"/>
              <w:rPr>
                <w:rFonts w:cstheme="minorHAnsi"/>
                <w:sz w:val="22"/>
                <w:szCs w:val="22"/>
              </w:rPr>
            </w:pPr>
            <w:r w:rsidRPr="00D622B2">
              <w:rPr>
                <w:rFonts w:cstheme="minorHAnsi"/>
                <w:sz w:val="22"/>
                <w:szCs w:val="22"/>
              </w:rPr>
              <w:t>5m</w:t>
            </w:r>
          </w:p>
        </w:tc>
        <w:tc>
          <w:tcPr>
            <w:tcW w:w="722" w:type="dxa"/>
          </w:tcPr>
          <w:p w:rsidR="005E3221" w:rsidRPr="00D622B2" w:rsidP="00D622B2">
            <w:pPr>
              <w:jc w:val="both"/>
              <w:rPr>
                <w:rFonts w:cstheme="minorHAnsi"/>
                <w:sz w:val="22"/>
                <w:szCs w:val="22"/>
              </w:rPr>
            </w:pPr>
            <w:r w:rsidRPr="00D622B2">
              <w:rPr>
                <w:rFonts w:cstheme="minorHAnsi"/>
                <w:sz w:val="22"/>
                <w:szCs w:val="22"/>
              </w:rPr>
              <w:t>4.5m</w:t>
            </w:r>
          </w:p>
        </w:tc>
        <w:tc>
          <w:tcPr>
            <w:tcW w:w="851" w:type="dxa"/>
          </w:tcPr>
          <w:p w:rsidR="005E3221" w:rsidRPr="00D622B2" w:rsidP="00D622B2">
            <w:pPr>
              <w:jc w:val="both"/>
              <w:rPr>
                <w:rFonts w:cstheme="minorHAnsi"/>
                <w:sz w:val="22"/>
                <w:szCs w:val="22"/>
              </w:rPr>
            </w:pPr>
            <w:r w:rsidRPr="00D622B2">
              <w:rPr>
                <w:rFonts w:cstheme="minorHAnsi"/>
                <w:sz w:val="22"/>
                <w:szCs w:val="22"/>
              </w:rPr>
              <w:t>-0.5m</w:t>
            </w:r>
          </w:p>
        </w:tc>
        <w:tc>
          <w:tcPr>
            <w:tcW w:w="1128" w:type="dxa"/>
          </w:tcPr>
          <w:p w:rsidR="005E3221" w:rsidRPr="00D622B2" w:rsidP="00D622B2">
            <w:pPr>
              <w:jc w:val="both"/>
              <w:rPr>
                <w:rFonts w:cstheme="minorHAnsi"/>
                <w:color w:val="EE0000"/>
                <w:sz w:val="22"/>
                <w:szCs w:val="22"/>
              </w:rPr>
            </w:pPr>
            <w:r w:rsidRPr="00D622B2">
              <w:rPr>
                <w:rFonts w:cstheme="minorHAnsi"/>
                <w:color w:val="EE0000"/>
                <w:sz w:val="22"/>
                <w:szCs w:val="22"/>
              </w:rPr>
              <w:t>-10%</w:t>
            </w:r>
          </w:p>
        </w:tc>
      </w:tr>
      <w:tr w:rsidTr="00D622B2">
        <w:tblPrEx>
          <w:tblW w:w="8651" w:type="dxa"/>
          <w:tblLook w:val="04A0"/>
        </w:tblPrEx>
        <w:tc>
          <w:tcPr>
            <w:tcW w:w="1670" w:type="dxa"/>
          </w:tcPr>
          <w:p w:rsidR="005E3221" w:rsidRPr="00D622B2" w:rsidP="00D622B2">
            <w:pPr>
              <w:rPr>
                <w:rFonts w:cstheme="minorHAnsi"/>
                <w:sz w:val="22"/>
                <w:szCs w:val="22"/>
              </w:rPr>
            </w:pPr>
            <w:r w:rsidRPr="00D622B2">
              <w:rPr>
                <w:rFonts w:cstheme="minorHAnsi"/>
                <w:sz w:val="22"/>
                <w:szCs w:val="22"/>
              </w:rPr>
              <w:t>Chinese Visitor Spending (£/€)</w:t>
            </w:r>
          </w:p>
        </w:tc>
        <w:tc>
          <w:tcPr>
            <w:tcW w:w="722" w:type="dxa"/>
          </w:tcPr>
          <w:p w:rsidR="005E3221" w:rsidRPr="00D622B2" w:rsidP="00D622B2">
            <w:pPr>
              <w:jc w:val="both"/>
              <w:rPr>
                <w:rFonts w:cstheme="minorHAnsi"/>
                <w:sz w:val="22"/>
                <w:szCs w:val="22"/>
              </w:rPr>
            </w:pPr>
            <w:r w:rsidRPr="00D622B2">
              <w:rPr>
                <w:rFonts w:cstheme="minorHAnsi"/>
                <w:sz w:val="22"/>
                <w:szCs w:val="22"/>
              </w:rPr>
              <w:t>£1.7b</w:t>
            </w:r>
          </w:p>
        </w:tc>
        <w:tc>
          <w:tcPr>
            <w:tcW w:w="722" w:type="dxa"/>
          </w:tcPr>
          <w:p w:rsidR="005E3221" w:rsidRPr="00D622B2" w:rsidP="00D622B2">
            <w:pPr>
              <w:jc w:val="both"/>
              <w:rPr>
                <w:rFonts w:cstheme="minorHAnsi"/>
                <w:sz w:val="22"/>
                <w:szCs w:val="22"/>
              </w:rPr>
            </w:pPr>
            <w:r w:rsidRPr="00D622B2">
              <w:rPr>
                <w:rFonts w:cstheme="minorHAnsi"/>
                <w:sz w:val="22"/>
                <w:szCs w:val="22"/>
              </w:rPr>
              <w:t>£1.5b</w:t>
            </w:r>
          </w:p>
        </w:tc>
        <w:tc>
          <w:tcPr>
            <w:tcW w:w="988" w:type="dxa"/>
          </w:tcPr>
          <w:p w:rsidR="005E3221" w:rsidRPr="00D622B2" w:rsidP="00D622B2">
            <w:pPr>
              <w:jc w:val="both"/>
              <w:rPr>
                <w:rFonts w:cstheme="minorHAnsi"/>
                <w:sz w:val="22"/>
                <w:szCs w:val="22"/>
              </w:rPr>
            </w:pPr>
            <w:r w:rsidRPr="00D622B2">
              <w:rPr>
                <w:rFonts w:cstheme="minorHAnsi"/>
                <w:sz w:val="22"/>
                <w:szCs w:val="22"/>
              </w:rPr>
              <w:t>-£0.2b</w:t>
            </w:r>
          </w:p>
        </w:tc>
        <w:tc>
          <w:tcPr>
            <w:tcW w:w="1126" w:type="dxa"/>
          </w:tcPr>
          <w:p w:rsidR="005E3221" w:rsidRPr="00D622B2" w:rsidP="00D622B2">
            <w:pPr>
              <w:jc w:val="both"/>
              <w:rPr>
                <w:rFonts w:cstheme="minorHAnsi"/>
                <w:color w:val="EE0000"/>
                <w:sz w:val="22"/>
                <w:szCs w:val="22"/>
              </w:rPr>
            </w:pPr>
            <w:r w:rsidRPr="00D622B2">
              <w:rPr>
                <w:rFonts w:cstheme="minorHAnsi"/>
                <w:color w:val="EE0000"/>
                <w:sz w:val="22"/>
                <w:szCs w:val="22"/>
              </w:rPr>
              <w:t>-12%</w:t>
            </w:r>
          </w:p>
        </w:tc>
        <w:tc>
          <w:tcPr>
            <w:tcW w:w="722" w:type="dxa"/>
          </w:tcPr>
          <w:p w:rsidR="005E3221" w:rsidRPr="00D622B2" w:rsidP="00D622B2">
            <w:pPr>
              <w:jc w:val="both"/>
              <w:rPr>
                <w:rFonts w:cstheme="minorHAnsi"/>
                <w:sz w:val="22"/>
                <w:szCs w:val="22"/>
              </w:rPr>
            </w:pPr>
            <w:r w:rsidRPr="00D622B2">
              <w:rPr>
                <w:rFonts w:cstheme="minorHAnsi"/>
                <w:sz w:val="22"/>
                <w:szCs w:val="22"/>
              </w:rPr>
              <w:t>€8.7b</w:t>
            </w:r>
          </w:p>
        </w:tc>
        <w:tc>
          <w:tcPr>
            <w:tcW w:w="722" w:type="dxa"/>
          </w:tcPr>
          <w:p w:rsidR="005E3221" w:rsidRPr="00D622B2" w:rsidP="00D622B2">
            <w:pPr>
              <w:jc w:val="both"/>
              <w:rPr>
                <w:rFonts w:cstheme="minorHAnsi"/>
                <w:sz w:val="22"/>
                <w:szCs w:val="22"/>
              </w:rPr>
            </w:pPr>
            <w:r w:rsidRPr="00D622B2">
              <w:rPr>
                <w:rFonts w:cstheme="minorHAnsi"/>
                <w:sz w:val="22"/>
                <w:szCs w:val="22"/>
              </w:rPr>
              <w:t>€9.9b</w:t>
            </w:r>
          </w:p>
        </w:tc>
        <w:tc>
          <w:tcPr>
            <w:tcW w:w="851" w:type="dxa"/>
          </w:tcPr>
          <w:p w:rsidR="005E3221" w:rsidRPr="00D622B2" w:rsidP="00D622B2">
            <w:pPr>
              <w:jc w:val="both"/>
              <w:rPr>
                <w:rFonts w:cstheme="minorHAnsi"/>
                <w:sz w:val="22"/>
                <w:szCs w:val="22"/>
              </w:rPr>
            </w:pPr>
            <w:r w:rsidRPr="00D622B2">
              <w:rPr>
                <w:rFonts w:cstheme="minorHAnsi"/>
                <w:sz w:val="22"/>
                <w:szCs w:val="22"/>
              </w:rPr>
              <w:t>+€1.2b</w:t>
            </w:r>
          </w:p>
        </w:tc>
        <w:tc>
          <w:tcPr>
            <w:tcW w:w="1128" w:type="dxa"/>
          </w:tcPr>
          <w:p w:rsidR="005E3221" w:rsidRPr="00D622B2" w:rsidP="00D622B2">
            <w:pPr>
              <w:jc w:val="both"/>
              <w:rPr>
                <w:rFonts w:cstheme="minorHAnsi"/>
                <w:color w:val="EE0000"/>
                <w:sz w:val="22"/>
                <w:szCs w:val="22"/>
              </w:rPr>
            </w:pPr>
            <w:r w:rsidRPr="00D622B2">
              <w:rPr>
                <w:rFonts w:cstheme="minorHAnsi"/>
                <w:color w:val="EE0000"/>
                <w:sz w:val="22"/>
                <w:szCs w:val="22"/>
              </w:rPr>
              <w:t>+13%</w:t>
            </w:r>
          </w:p>
        </w:tc>
      </w:tr>
      <w:tr w:rsidTr="00D622B2">
        <w:tblPrEx>
          <w:tblW w:w="8651" w:type="dxa"/>
          <w:tblLook w:val="04A0"/>
        </w:tblPrEx>
        <w:tc>
          <w:tcPr>
            <w:tcW w:w="1670" w:type="dxa"/>
          </w:tcPr>
          <w:p w:rsidR="005E3221" w:rsidRPr="00D622B2" w:rsidP="00D622B2">
            <w:pPr>
              <w:rPr>
                <w:rFonts w:cstheme="minorHAnsi"/>
                <w:sz w:val="22"/>
                <w:szCs w:val="22"/>
              </w:rPr>
            </w:pPr>
            <w:r w:rsidRPr="00D622B2">
              <w:rPr>
                <w:rFonts w:cstheme="minorHAnsi"/>
                <w:sz w:val="22"/>
                <w:szCs w:val="22"/>
              </w:rPr>
              <w:t>Chinese visitor Spending (real terms)</w:t>
            </w:r>
          </w:p>
        </w:tc>
        <w:tc>
          <w:tcPr>
            <w:tcW w:w="722" w:type="dxa"/>
          </w:tcPr>
          <w:p w:rsidR="005E3221" w:rsidRPr="00D622B2" w:rsidP="00D622B2">
            <w:pPr>
              <w:jc w:val="both"/>
              <w:rPr>
                <w:rFonts w:cstheme="minorHAnsi"/>
                <w:sz w:val="22"/>
                <w:szCs w:val="22"/>
              </w:rPr>
            </w:pPr>
            <w:r w:rsidRPr="00D622B2">
              <w:rPr>
                <w:rFonts w:cstheme="minorHAnsi"/>
                <w:sz w:val="22"/>
                <w:szCs w:val="22"/>
              </w:rPr>
              <w:t>£1.7b</w:t>
            </w:r>
          </w:p>
        </w:tc>
        <w:tc>
          <w:tcPr>
            <w:tcW w:w="722" w:type="dxa"/>
          </w:tcPr>
          <w:p w:rsidR="005E3221" w:rsidRPr="00D622B2" w:rsidP="00D622B2">
            <w:pPr>
              <w:jc w:val="both"/>
              <w:rPr>
                <w:rFonts w:cstheme="minorHAnsi"/>
                <w:sz w:val="22"/>
                <w:szCs w:val="22"/>
              </w:rPr>
            </w:pPr>
            <w:r w:rsidRPr="00D622B2">
              <w:rPr>
                <w:rFonts w:cstheme="minorHAnsi"/>
                <w:sz w:val="22"/>
                <w:szCs w:val="22"/>
              </w:rPr>
              <w:t>£1.2</w:t>
            </w:r>
          </w:p>
        </w:tc>
        <w:tc>
          <w:tcPr>
            <w:tcW w:w="988" w:type="dxa"/>
          </w:tcPr>
          <w:p w:rsidR="005E3221" w:rsidRPr="00D622B2" w:rsidP="00D622B2">
            <w:pPr>
              <w:jc w:val="both"/>
              <w:rPr>
                <w:rFonts w:cstheme="minorHAnsi"/>
                <w:sz w:val="22"/>
                <w:szCs w:val="22"/>
              </w:rPr>
            </w:pPr>
            <w:r w:rsidRPr="00D622B2">
              <w:rPr>
                <w:rFonts w:cstheme="minorHAnsi"/>
                <w:sz w:val="22"/>
                <w:szCs w:val="22"/>
              </w:rPr>
              <w:t>-£0.5b</w:t>
            </w:r>
          </w:p>
        </w:tc>
        <w:tc>
          <w:tcPr>
            <w:tcW w:w="1126" w:type="dxa"/>
          </w:tcPr>
          <w:p w:rsidR="005E3221" w:rsidRPr="00D622B2" w:rsidP="00D622B2">
            <w:pPr>
              <w:jc w:val="both"/>
              <w:rPr>
                <w:rFonts w:cstheme="minorHAnsi"/>
                <w:color w:val="EE0000"/>
                <w:sz w:val="22"/>
                <w:szCs w:val="22"/>
              </w:rPr>
            </w:pPr>
            <w:r w:rsidRPr="00D622B2">
              <w:rPr>
                <w:rFonts w:cstheme="minorHAnsi"/>
                <w:color w:val="EE0000"/>
                <w:sz w:val="22"/>
                <w:szCs w:val="22"/>
              </w:rPr>
              <w:t>-31%</w:t>
            </w:r>
          </w:p>
        </w:tc>
        <w:tc>
          <w:tcPr>
            <w:tcW w:w="722" w:type="dxa"/>
          </w:tcPr>
          <w:p w:rsidR="005E3221" w:rsidRPr="00D622B2" w:rsidP="00D622B2">
            <w:pPr>
              <w:jc w:val="both"/>
              <w:rPr>
                <w:rFonts w:cstheme="minorHAnsi"/>
                <w:sz w:val="22"/>
                <w:szCs w:val="22"/>
              </w:rPr>
            </w:pPr>
            <w:r w:rsidRPr="00D622B2">
              <w:rPr>
                <w:rFonts w:cstheme="minorHAnsi"/>
                <w:sz w:val="22"/>
                <w:szCs w:val="22"/>
              </w:rPr>
              <w:t>€8.7b</w:t>
            </w:r>
          </w:p>
        </w:tc>
        <w:tc>
          <w:tcPr>
            <w:tcW w:w="722" w:type="dxa"/>
          </w:tcPr>
          <w:p w:rsidR="005E3221" w:rsidRPr="00D622B2" w:rsidP="00D622B2">
            <w:pPr>
              <w:jc w:val="both"/>
              <w:rPr>
                <w:rFonts w:cstheme="minorHAnsi"/>
                <w:sz w:val="22"/>
                <w:szCs w:val="22"/>
              </w:rPr>
            </w:pPr>
            <w:r w:rsidRPr="00D622B2">
              <w:rPr>
                <w:rFonts w:cstheme="minorHAnsi"/>
                <w:sz w:val="22"/>
                <w:szCs w:val="22"/>
              </w:rPr>
              <w:t>€8.2b</w:t>
            </w:r>
          </w:p>
        </w:tc>
        <w:tc>
          <w:tcPr>
            <w:tcW w:w="851" w:type="dxa"/>
          </w:tcPr>
          <w:p w:rsidR="005E3221" w:rsidRPr="00D622B2" w:rsidP="00D622B2">
            <w:pPr>
              <w:jc w:val="both"/>
              <w:rPr>
                <w:rFonts w:cstheme="minorHAnsi"/>
                <w:sz w:val="22"/>
                <w:szCs w:val="22"/>
              </w:rPr>
            </w:pPr>
            <w:r w:rsidRPr="00D622B2">
              <w:rPr>
                <w:rFonts w:cstheme="minorHAnsi"/>
                <w:sz w:val="22"/>
                <w:szCs w:val="22"/>
              </w:rPr>
              <w:t>-€0.5b</w:t>
            </w:r>
          </w:p>
        </w:tc>
        <w:tc>
          <w:tcPr>
            <w:tcW w:w="1128" w:type="dxa"/>
          </w:tcPr>
          <w:p w:rsidR="005E3221" w:rsidRPr="00D622B2" w:rsidP="00D622B2">
            <w:pPr>
              <w:jc w:val="both"/>
              <w:rPr>
                <w:rFonts w:cstheme="minorHAnsi"/>
                <w:color w:val="EE0000"/>
                <w:sz w:val="22"/>
                <w:szCs w:val="22"/>
              </w:rPr>
            </w:pPr>
            <w:r w:rsidRPr="00D622B2">
              <w:rPr>
                <w:rFonts w:cstheme="minorHAnsi"/>
                <w:color w:val="EE0000"/>
                <w:sz w:val="22"/>
                <w:szCs w:val="22"/>
              </w:rPr>
              <w:t>-6%</w:t>
            </w:r>
          </w:p>
        </w:tc>
      </w:tr>
    </w:tbl>
    <w:p w:rsidR="005E3221" w:rsidP="00D622B2">
      <w:pPr>
        <w:ind w:left="720" w:hanging="720"/>
        <w:jc w:val="both"/>
        <w:rPr>
          <w:rFonts w:cstheme="minorHAnsi"/>
          <w:sz w:val="22"/>
          <w:szCs w:val="22"/>
        </w:rPr>
      </w:pPr>
      <w:r>
        <w:rPr>
          <w:rFonts w:cstheme="minorHAnsi"/>
          <w:sz w:val="22"/>
          <w:szCs w:val="22"/>
        </w:rPr>
        <w:t>6.6</w:t>
      </w:r>
      <w:r>
        <w:rPr>
          <w:rFonts w:cstheme="minorHAnsi"/>
          <w:sz w:val="22"/>
          <w:szCs w:val="22"/>
        </w:rPr>
        <w:tab/>
      </w:r>
      <w:r w:rsidRPr="00D622B2">
        <w:rPr>
          <w:rFonts w:cstheme="minorHAnsi"/>
          <w:sz w:val="22"/>
          <w:szCs w:val="22"/>
        </w:rPr>
        <w:t>In the last year VAT-free shopping was available, Chinese and GCC visitors made up 8% of all non-EU international visitors but accounted for 58% of VAT-free shopping.</w:t>
      </w:r>
      <w:r>
        <w:rPr>
          <w:rStyle w:val="FootnoteReference"/>
          <w:rFonts w:cstheme="minorHAnsi"/>
          <w:sz w:val="22"/>
          <w:szCs w:val="22"/>
        </w:rPr>
        <w:footnoteReference w:id="16"/>
      </w:r>
      <w:r w:rsidRPr="00D622B2">
        <w:rPr>
          <w:rFonts w:cstheme="minorHAnsi"/>
          <w:sz w:val="22"/>
          <w:szCs w:val="22"/>
        </w:rPr>
        <w:t xml:space="preserve"> But while Chinese visitors are returning, </w:t>
      </w:r>
      <w:r>
        <w:rPr>
          <w:rFonts w:cstheme="minorHAnsi"/>
          <w:sz w:val="22"/>
          <w:szCs w:val="22"/>
        </w:rPr>
        <w:t>o</w:t>
      </w:r>
      <w:r w:rsidRPr="00D622B2">
        <w:rPr>
          <w:rFonts w:cstheme="minorHAnsi"/>
          <w:sz w:val="22"/>
          <w:szCs w:val="22"/>
        </w:rPr>
        <w:t>fficial Chinese visitor number and spending data from VisitBritain and the equivalent government tourist bodies for France, Spain and Italy</w:t>
      </w:r>
      <w:r>
        <w:rPr>
          <w:rStyle w:val="FootnoteReference"/>
          <w:rFonts w:cstheme="minorHAnsi"/>
          <w:sz w:val="22"/>
          <w:szCs w:val="22"/>
        </w:rPr>
        <w:footnoteReference w:id="17"/>
      </w:r>
      <w:r w:rsidRPr="00D622B2">
        <w:rPr>
          <w:rFonts w:cstheme="minorHAnsi"/>
          <w:sz w:val="22"/>
          <w:szCs w:val="22"/>
        </w:rPr>
        <w:t xml:space="preserve"> show that Britain is lagging behind our European competitor destinations.   In terms of Chinese spending recovery to pre-COVID-19 2019 levels, Britain is performing at just 75% of that of our three EU rival destinations. These differences are shown in Table Three.</w:t>
      </w:r>
    </w:p>
    <w:p w:rsidR="005E3221" w:rsidRPr="00D622B2" w:rsidP="00D622B2">
      <w:pPr>
        <w:ind w:left="720" w:hanging="720"/>
        <w:jc w:val="both"/>
        <w:rPr>
          <w:rFonts w:cstheme="minorHAnsi"/>
          <w:sz w:val="22"/>
          <w:szCs w:val="22"/>
        </w:rPr>
      </w:pPr>
      <w:r>
        <w:rPr>
          <w:rFonts w:cstheme="minorHAnsi"/>
          <w:sz w:val="22"/>
          <w:szCs w:val="22"/>
        </w:rPr>
        <w:t xml:space="preserve">             </w:t>
      </w:r>
      <w:r w:rsidRPr="00D622B2">
        <w:rPr>
          <w:rFonts w:cstheme="minorHAnsi"/>
          <w:sz w:val="22"/>
          <w:szCs w:val="22"/>
        </w:rPr>
        <w:t>Table Three</w:t>
      </w:r>
    </w:p>
    <w:p w:rsidR="005E3221" w:rsidRPr="00457109" w:rsidP="00457109">
      <w:pPr>
        <w:ind w:left="720" w:hanging="720"/>
        <w:jc w:val="both"/>
        <w:rPr>
          <w:lang w:eastAsia="en-GB"/>
        </w:rPr>
      </w:pPr>
      <w:r>
        <w:rPr>
          <w:sz w:val="22"/>
          <w:szCs w:val="22"/>
        </w:rPr>
        <w:t>6.7        The evidence shows that introducing a new tax-free shopping scheme for all international visitors would benefit the economy and the Exchequer. It would create a new EU tourism market across the UK and win back spending by non-EU visitors diverted to EU competitor destinations.</w:t>
      </w:r>
      <w:r>
        <w:rPr>
          <w:lang w:eastAsia="en-GB"/>
        </w:rPr>
        <w:t xml:space="preserve"> </w:t>
      </w:r>
      <w:r>
        <w:rPr>
          <w:rFonts w:cstheme="minorHAnsi"/>
          <w:sz w:val="22"/>
          <w:szCs w:val="22"/>
        </w:rPr>
        <w:t>There are several additional beneficiaries from introducing a new tax-free shopping scheme:</w:t>
      </w:r>
    </w:p>
    <w:p w:rsidR="005E3221" w:rsidRPr="00D622B2" w:rsidP="00D622B2">
      <w:pPr>
        <w:pStyle w:val="ListParagraph"/>
        <w:numPr>
          <w:ilvl w:val="0"/>
          <w:numId w:val="6"/>
        </w:numPr>
        <w:jc w:val="both"/>
        <w:rPr>
          <w:rFonts w:cstheme="minorHAnsi"/>
          <w:sz w:val="22"/>
          <w:szCs w:val="22"/>
        </w:rPr>
      </w:pPr>
      <w:r w:rsidRPr="00D622B2">
        <w:rPr>
          <w:rFonts w:cstheme="minorHAnsi"/>
          <w:sz w:val="22"/>
          <w:szCs w:val="22"/>
        </w:rPr>
        <w:t>British brands – by rebuilding lost international visitor sales, and securing manufacturing jobs in their factories throughout the UK</w:t>
      </w:r>
    </w:p>
    <w:p w:rsidR="005E3221" w:rsidRPr="00D622B2" w:rsidP="00D622B2">
      <w:pPr>
        <w:pStyle w:val="ListParagraph"/>
        <w:numPr>
          <w:ilvl w:val="0"/>
          <w:numId w:val="6"/>
        </w:numPr>
        <w:jc w:val="both"/>
        <w:rPr>
          <w:rFonts w:cstheme="minorHAnsi"/>
          <w:sz w:val="22"/>
          <w:szCs w:val="22"/>
        </w:rPr>
      </w:pPr>
      <w:r w:rsidRPr="00D622B2">
        <w:rPr>
          <w:rFonts w:cstheme="minorHAnsi"/>
          <w:sz w:val="22"/>
          <w:szCs w:val="22"/>
        </w:rPr>
        <w:t>High streets across the UK - through increased international visitor spend in shops, hotels, restaurants, and cultural and leisure venues</w:t>
      </w:r>
    </w:p>
    <w:p w:rsidR="005E3221" w:rsidRPr="00D622B2" w:rsidP="00D622B2">
      <w:pPr>
        <w:pStyle w:val="ListParagraph"/>
        <w:numPr>
          <w:ilvl w:val="0"/>
          <w:numId w:val="6"/>
        </w:numPr>
        <w:jc w:val="both"/>
        <w:rPr>
          <w:rFonts w:cstheme="minorHAnsi"/>
          <w:sz w:val="22"/>
          <w:szCs w:val="22"/>
        </w:rPr>
      </w:pPr>
      <w:r w:rsidRPr="00D622B2">
        <w:rPr>
          <w:rFonts w:cstheme="minorHAnsi"/>
          <w:sz w:val="22"/>
          <w:szCs w:val="22"/>
        </w:rPr>
        <w:t>Regional airports and ports - through creating a new EU tourism market with more passengers and more spending</w:t>
      </w:r>
    </w:p>
    <w:p w:rsidR="005E3221" w:rsidRPr="00AA03AF" w:rsidP="00AA03AF">
      <w:pPr>
        <w:pStyle w:val="ListParagraph"/>
        <w:numPr>
          <w:ilvl w:val="0"/>
          <w:numId w:val="6"/>
        </w:numPr>
        <w:jc w:val="both"/>
        <w:rPr>
          <w:rFonts w:cstheme="minorHAnsi"/>
          <w:sz w:val="22"/>
          <w:szCs w:val="22"/>
        </w:rPr>
      </w:pPr>
      <w:r>
        <w:rPr>
          <w:sz w:val="22"/>
          <w:szCs w:val="22"/>
        </w:rPr>
        <w:t>Investment - encouraging international brands and investors in retail and hospitality to choose Britain as their leading European option</w:t>
      </w:r>
    </w:p>
    <w:p w:rsidR="005E3221" w:rsidP="00D622B2">
      <w:pPr>
        <w:pStyle w:val="ListParagraph"/>
        <w:numPr>
          <w:ilvl w:val="0"/>
          <w:numId w:val="6"/>
        </w:numPr>
        <w:jc w:val="both"/>
        <w:rPr>
          <w:rFonts w:cstheme="minorHAnsi"/>
          <w:sz w:val="22"/>
          <w:szCs w:val="22"/>
        </w:rPr>
      </w:pPr>
      <w:r>
        <w:rPr>
          <w:rFonts w:cstheme="minorHAnsi"/>
          <w:sz w:val="22"/>
          <w:szCs w:val="22"/>
        </w:rPr>
        <w:t>Metro Mayors – through additional overnight visitor numbers increasing revenues</w:t>
      </w:r>
    </w:p>
    <w:p w:rsidR="005E3221" w:rsidRPr="00D622B2" w:rsidP="00D622B2">
      <w:pPr>
        <w:pStyle w:val="ListParagraph"/>
        <w:numPr>
          <w:ilvl w:val="0"/>
          <w:numId w:val="6"/>
        </w:numPr>
        <w:jc w:val="both"/>
        <w:rPr>
          <w:rFonts w:cstheme="minorHAnsi"/>
          <w:sz w:val="22"/>
          <w:szCs w:val="22"/>
        </w:rPr>
      </w:pPr>
      <w:r>
        <w:rPr>
          <w:rFonts w:cstheme="minorHAnsi"/>
          <w:sz w:val="22"/>
          <w:szCs w:val="22"/>
        </w:rPr>
        <w:t>Soft Power – winning back relationships with potential investors who have migrated to France, Spain and Italy, especially from the Gulf States</w:t>
      </w:r>
    </w:p>
    <w:p w:rsidR="005E3221" w:rsidP="00D622B2">
      <w:pPr>
        <w:ind w:left="720" w:hanging="720"/>
        <w:jc w:val="both"/>
        <w:rPr>
          <w:rFonts w:cstheme="minorHAnsi"/>
          <w:sz w:val="22"/>
          <w:szCs w:val="22"/>
        </w:rPr>
      </w:pPr>
      <w:r>
        <w:rPr>
          <w:rFonts w:cstheme="minorHAnsi"/>
          <w:sz w:val="22"/>
          <w:szCs w:val="22"/>
        </w:rPr>
        <w:t>7.</w:t>
      </w:r>
      <w:r>
        <w:rPr>
          <w:rFonts w:cstheme="minorHAnsi"/>
          <w:sz w:val="22"/>
          <w:szCs w:val="22"/>
        </w:rPr>
        <w:tab/>
      </w:r>
      <w:r w:rsidRPr="00D622B2">
        <w:rPr>
          <w:rFonts w:cstheme="minorHAnsi"/>
          <w:sz w:val="22"/>
          <w:szCs w:val="22"/>
          <w:u w:val="single"/>
        </w:rPr>
        <w:t>Creating a world leading, fully digitalised tax-free shopping scheme to give results in this Parliament and in time for Euro 2028</w:t>
      </w:r>
    </w:p>
    <w:p w:rsidR="005E3221" w:rsidP="00D622B2">
      <w:pPr>
        <w:ind w:left="720" w:hanging="720"/>
        <w:jc w:val="both"/>
        <w:rPr>
          <w:rFonts w:cstheme="minorHAnsi"/>
          <w:sz w:val="22"/>
          <w:szCs w:val="22"/>
        </w:rPr>
      </w:pPr>
      <w:r>
        <w:rPr>
          <w:rFonts w:cstheme="minorHAnsi"/>
          <w:sz w:val="22"/>
          <w:szCs w:val="22"/>
        </w:rPr>
        <w:t>7.1</w:t>
      </w:r>
      <w:r>
        <w:rPr>
          <w:rFonts w:cstheme="minorHAnsi"/>
          <w:sz w:val="22"/>
          <w:szCs w:val="22"/>
        </w:rPr>
        <w:tab/>
      </w:r>
      <w:r>
        <w:rPr>
          <w:rFonts w:cstheme="minorHAnsi"/>
          <w:sz w:val="22"/>
          <w:szCs w:val="22"/>
        </w:rPr>
        <w:t>The EU evidence shows that tax-free shopping delivers growth immediately from its first year of operation.  With political will, a new, fully digitalised system could be operational before the end of this Parliament and, hopefully, in time to maximise the benefits of hosting Euro 2028.</w:t>
      </w:r>
    </w:p>
    <w:p w:rsidR="005E3221" w:rsidP="00D622B2">
      <w:pPr>
        <w:ind w:left="720" w:hanging="720"/>
        <w:jc w:val="both"/>
        <w:rPr>
          <w:rFonts w:cstheme="minorHAnsi"/>
          <w:sz w:val="22"/>
          <w:szCs w:val="22"/>
        </w:rPr>
      </w:pPr>
      <w:r>
        <w:rPr>
          <w:rFonts w:cstheme="minorHAnsi"/>
          <w:sz w:val="22"/>
          <w:szCs w:val="22"/>
        </w:rPr>
        <w:t>7.2</w:t>
      </w:r>
      <w:r>
        <w:rPr>
          <w:rFonts w:cstheme="minorHAnsi"/>
          <w:sz w:val="22"/>
          <w:szCs w:val="22"/>
        </w:rPr>
        <w:tab/>
        <w:t>Much of the digital infrastructure is already in place, both at point of sales in stores and at re</w:t>
      </w:r>
      <w:r>
        <w:rPr>
          <w:rFonts w:cstheme="minorHAnsi"/>
          <w:sz w:val="22"/>
          <w:szCs w:val="22"/>
        </w:rPr>
        <w:t xml:space="preserve">fund </w:t>
      </w:r>
      <w:r>
        <w:rPr>
          <w:rFonts w:cstheme="minorHAnsi"/>
          <w:sz w:val="22"/>
          <w:szCs w:val="22"/>
        </w:rPr>
        <w:t>airside but</w:t>
      </w:r>
      <w:r>
        <w:rPr>
          <w:rFonts w:cstheme="minorHAnsi"/>
          <w:sz w:val="22"/>
          <w:szCs w:val="22"/>
        </w:rPr>
        <w:t xml:space="preserve"> mothballed since 2021.  The missing digital element is the bridge to HMRC for authorisation.  In the nine years before the decision to end tax-free shopping in 2020, HMRC had made many unsuccessful attempts to design a bespoke UK system, rather than adopt systems already designed, tested and operational successfully around the world.</w:t>
      </w:r>
    </w:p>
    <w:p w:rsidR="005E3221" w:rsidP="00D622B2">
      <w:pPr>
        <w:ind w:left="720" w:hanging="720"/>
        <w:jc w:val="both"/>
        <w:rPr>
          <w:lang w:eastAsia="en-GB"/>
        </w:rPr>
      </w:pPr>
      <w:r>
        <w:rPr>
          <w:sz w:val="22"/>
          <w:szCs w:val="22"/>
        </w:rPr>
        <w:t>7.3         Industry has submitted a model to DCMS showing how a fully digitalised, world-class system meeting the Government’s requirements could be operational within nine to eighteen months at no cost to the Exchequer. To encourage growth quickly and with minimal risk, the Government should work with industry to create a national scheme, with metro mayors encouraged to build bespoke regional offers on top of it.</w:t>
      </w:r>
    </w:p>
    <w:p w:rsidR="005E3221" w:rsidP="00D622B2">
      <w:pPr>
        <w:ind w:left="720" w:hanging="720"/>
        <w:jc w:val="both"/>
        <w:rPr>
          <w:rFonts w:cstheme="minorHAnsi"/>
          <w:sz w:val="22"/>
          <w:szCs w:val="22"/>
          <w:u w:val="single"/>
        </w:rPr>
      </w:pPr>
      <w:r>
        <w:rPr>
          <w:rFonts w:cstheme="minorHAnsi"/>
          <w:sz w:val="22"/>
          <w:szCs w:val="22"/>
        </w:rPr>
        <w:t>8.</w:t>
      </w:r>
      <w:r>
        <w:rPr>
          <w:rFonts w:cstheme="minorHAnsi"/>
          <w:sz w:val="22"/>
          <w:szCs w:val="22"/>
        </w:rPr>
        <w:tab/>
      </w:r>
      <w:r>
        <w:rPr>
          <w:rFonts w:cstheme="minorHAnsi"/>
          <w:sz w:val="22"/>
          <w:szCs w:val="22"/>
          <w:u w:val="single"/>
        </w:rPr>
        <w:t>Creating a simple and internationally competitive airside scheme</w:t>
      </w:r>
    </w:p>
    <w:p w:rsidR="005E3221" w:rsidP="00D622B2">
      <w:pPr>
        <w:ind w:left="720" w:hanging="720"/>
        <w:jc w:val="both"/>
        <w:rPr>
          <w:rFonts w:cstheme="minorHAnsi"/>
          <w:sz w:val="22"/>
          <w:szCs w:val="22"/>
        </w:rPr>
      </w:pPr>
      <w:r>
        <w:rPr>
          <w:rFonts w:cstheme="minorHAnsi"/>
          <w:sz w:val="22"/>
          <w:szCs w:val="22"/>
        </w:rPr>
        <w:t>8.1</w:t>
      </w:r>
      <w:r>
        <w:rPr>
          <w:rFonts w:cstheme="minorHAnsi"/>
          <w:sz w:val="22"/>
          <w:szCs w:val="22"/>
        </w:rPr>
        <w:tab/>
        <w:t>Under the previous scheme, non-EU travellers flying home from UK airports could buy goods airside with VAT already deducted. This is an additional opportunity for the U</w:t>
      </w:r>
      <w:r>
        <w:rPr>
          <w:rFonts w:cstheme="minorHAnsi"/>
          <w:sz w:val="22"/>
          <w:szCs w:val="22"/>
        </w:rPr>
        <w:t>K</w:t>
      </w:r>
      <w:r>
        <w:rPr>
          <w:rFonts w:cstheme="minorHAnsi"/>
          <w:sz w:val="22"/>
          <w:szCs w:val="22"/>
        </w:rPr>
        <w:t>’s regional airports and ports providing additional revenue on top of increased passenger numbers.</w:t>
      </w:r>
    </w:p>
    <w:p w:rsidR="005E3221" w:rsidRPr="00D622B2" w:rsidP="000D1AEC">
      <w:pPr>
        <w:ind w:left="720" w:hanging="720"/>
        <w:jc w:val="both"/>
        <w:rPr>
          <w:rFonts w:cstheme="minorHAnsi"/>
          <w:sz w:val="22"/>
          <w:szCs w:val="22"/>
        </w:rPr>
      </w:pPr>
      <w:r>
        <w:rPr>
          <w:rFonts w:cstheme="minorHAnsi"/>
          <w:sz w:val="22"/>
          <w:szCs w:val="22"/>
        </w:rPr>
        <w:t>8.2</w:t>
      </w:r>
      <w:r>
        <w:rPr>
          <w:rFonts w:cstheme="minorHAnsi"/>
          <w:sz w:val="22"/>
          <w:szCs w:val="22"/>
        </w:rPr>
        <w:tab/>
        <w:t xml:space="preserve">But to remain competitive, any new scheme should retain this simple method used worldwide. </w:t>
      </w:r>
      <w:r w:rsidRPr="00AB584A">
        <w:rPr>
          <w:rFonts w:cstheme="minorHAnsi"/>
          <w:sz w:val="22"/>
          <w:szCs w:val="22"/>
        </w:rPr>
        <w:t>Any alternative would be cumbersome and reduce time for passengers to spend in the airport.</w:t>
      </w:r>
    </w:p>
    <w:p w:rsidR="005E3221" w:rsidRPr="00D622B2" w:rsidP="00D622B2">
      <w:pPr>
        <w:ind w:left="720" w:hanging="720"/>
        <w:jc w:val="both"/>
        <w:rPr>
          <w:rFonts w:cstheme="minorHAnsi"/>
          <w:sz w:val="22"/>
          <w:szCs w:val="22"/>
          <w:u w:val="single"/>
        </w:rPr>
      </w:pPr>
      <w:r>
        <w:rPr>
          <w:rFonts w:cstheme="minorHAnsi"/>
          <w:sz w:val="22"/>
          <w:szCs w:val="22"/>
        </w:rPr>
        <w:t>9.</w:t>
      </w:r>
      <w:r>
        <w:rPr>
          <w:rFonts w:cstheme="minorHAnsi"/>
          <w:sz w:val="22"/>
          <w:szCs w:val="22"/>
        </w:rPr>
        <w:tab/>
      </w:r>
      <w:r w:rsidRPr="00D622B2">
        <w:rPr>
          <w:rFonts w:cstheme="minorHAnsi"/>
          <w:sz w:val="22"/>
          <w:szCs w:val="22"/>
          <w:u w:val="single"/>
        </w:rPr>
        <w:t>Case Study - How Italy used tax-free shopping to boost Chinese spending in its regions</w:t>
      </w:r>
    </w:p>
    <w:p w:rsidR="005E3221" w:rsidRPr="00D622B2" w:rsidP="00D622B2">
      <w:pPr>
        <w:ind w:left="720" w:hanging="720"/>
        <w:jc w:val="both"/>
        <w:rPr>
          <w:rFonts w:cstheme="minorHAnsi"/>
          <w:sz w:val="22"/>
          <w:szCs w:val="22"/>
        </w:rPr>
      </w:pPr>
      <w:r>
        <w:rPr>
          <w:rFonts w:cstheme="minorHAnsi"/>
          <w:sz w:val="22"/>
          <w:szCs w:val="22"/>
        </w:rPr>
        <w:t>9.1</w:t>
      </w:r>
      <w:r>
        <w:rPr>
          <w:rFonts w:cstheme="minorHAnsi"/>
          <w:sz w:val="22"/>
          <w:szCs w:val="22"/>
        </w:rPr>
        <w:tab/>
      </w:r>
      <w:r w:rsidRPr="00D622B2">
        <w:rPr>
          <w:rFonts w:cstheme="minorHAnsi"/>
          <w:sz w:val="22"/>
          <w:szCs w:val="22"/>
        </w:rPr>
        <w:t xml:space="preserve">Italy has recently </w:t>
      </w:r>
      <w:r>
        <w:rPr>
          <w:rFonts w:cstheme="minorHAnsi"/>
          <w:sz w:val="22"/>
          <w:szCs w:val="22"/>
        </w:rPr>
        <w:t xml:space="preserve">used </w:t>
      </w:r>
      <w:r w:rsidRPr="00D622B2">
        <w:rPr>
          <w:rFonts w:cstheme="minorHAnsi"/>
          <w:sz w:val="22"/>
          <w:szCs w:val="22"/>
        </w:rPr>
        <w:t xml:space="preserve">tax-free shopping </w:t>
      </w:r>
      <w:r>
        <w:rPr>
          <w:rFonts w:cstheme="minorHAnsi"/>
          <w:sz w:val="22"/>
          <w:szCs w:val="22"/>
        </w:rPr>
        <w:t>policy</w:t>
      </w:r>
      <w:r w:rsidRPr="00D622B2">
        <w:rPr>
          <w:rFonts w:cstheme="minorHAnsi"/>
          <w:sz w:val="22"/>
          <w:szCs w:val="22"/>
        </w:rPr>
        <w:t xml:space="preserve"> to increase </w:t>
      </w:r>
      <w:r>
        <w:rPr>
          <w:rFonts w:cstheme="minorHAnsi"/>
          <w:sz w:val="22"/>
          <w:szCs w:val="22"/>
        </w:rPr>
        <w:t xml:space="preserve">Chinese </w:t>
      </w:r>
      <w:r>
        <w:rPr>
          <w:rFonts w:cstheme="minorHAnsi"/>
          <w:sz w:val="22"/>
          <w:szCs w:val="22"/>
        </w:rPr>
        <w:t>visitor</w:t>
      </w:r>
      <w:r w:rsidRPr="00D622B2">
        <w:rPr>
          <w:rFonts w:cstheme="minorHAnsi"/>
          <w:sz w:val="22"/>
          <w:szCs w:val="22"/>
        </w:rPr>
        <w:t xml:space="preserve"> spend and spread that spending into the regions.  </w:t>
      </w:r>
    </w:p>
    <w:p w:rsidR="005E3221" w:rsidRPr="00D622B2" w:rsidP="00D622B2">
      <w:pPr>
        <w:ind w:left="720" w:hanging="720"/>
        <w:jc w:val="both"/>
        <w:rPr>
          <w:rFonts w:cstheme="minorHAnsi"/>
          <w:sz w:val="22"/>
          <w:szCs w:val="22"/>
        </w:rPr>
      </w:pPr>
      <w:r>
        <w:rPr>
          <w:rFonts w:cstheme="minorHAnsi"/>
          <w:sz w:val="22"/>
          <w:szCs w:val="22"/>
        </w:rPr>
        <w:t>9.2</w:t>
      </w:r>
      <w:r>
        <w:rPr>
          <w:rFonts w:cstheme="minorHAnsi"/>
          <w:sz w:val="22"/>
          <w:szCs w:val="22"/>
        </w:rPr>
        <w:tab/>
      </w:r>
      <w:r w:rsidRPr="00D622B2">
        <w:rPr>
          <w:rFonts w:cstheme="minorHAnsi"/>
          <w:sz w:val="22"/>
          <w:szCs w:val="22"/>
        </w:rPr>
        <w:t>In 2023 Italy move</w:t>
      </w:r>
      <w:r>
        <w:rPr>
          <w:rFonts w:cstheme="minorHAnsi"/>
          <w:sz w:val="22"/>
          <w:szCs w:val="22"/>
        </w:rPr>
        <w:t>d</w:t>
      </w:r>
      <w:r w:rsidRPr="00D622B2">
        <w:rPr>
          <w:rFonts w:cstheme="minorHAnsi"/>
          <w:sz w:val="22"/>
          <w:szCs w:val="22"/>
        </w:rPr>
        <w:t xml:space="preserve"> away from the large tour market and focus</w:t>
      </w:r>
      <w:r>
        <w:rPr>
          <w:rFonts w:cstheme="minorHAnsi"/>
          <w:sz w:val="22"/>
          <w:szCs w:val="22"/>
        </w:rPr>
        <w:t>ed</w:t>
      </w:r>
      <w:r w:rsidRPr="00D622B2">
        <w:rPr>
          <w:rFonts w:cstheme="minorHAnsi"/>
          <w:sz w:val="22"/>
          <w:szCs w:val="22"/>
        </w:rPr>
        <w:t xml:space="preserve"> on the newer, more independent, higher spending groups of Chinese travellers. It led this move by changing its tax-free shopping scheme to attract this market, supported by the latest electronic payment and shopping assistance.  </w:t>
      </w:r>
    </w:p>
    <w:p w:rsidR="005E3221" w:rsidRPr="00D622B2" w:rsidP="00D622B2">
      <w:pPr>
        <w:ind w:left="720" w:hanging="720"/>
        <w:jc w:val="both"/>
        <w:rPr>
          <w:rFonts w:cstheme="minorHAnsi"/>
          <w:sz w:val="22"/>
          <w:szCs w:val="22"/>
        </w:rPr>
      </w:pPr>
      <w:r>
        <w:rPr>
          <w:rFonts w:cstheme="minorHAnsi"/>
          <w:sz w:val="22"/>
          <w:szCs w:val="22"/>
        </w:rPr>
        <w:t>9.3</w:t>
      </w:r>
      <w:r>
        <w:rPr>
          <w:rFonts w:cstheme="minorHAnsi"/>
          <w:sz w:val="22"/>
          <w:szCs w:val="22"/>
        </w:rPr>
        <w:tab/>
      </w:r>
      <w:r w:rsidRPr="00D622B2">
        <w:rPr>
          <w:rFonts w:cstheme="minorHAnsi"/>
          <w:sz w:val="22"/>
          <w:szCs w:val="22"/>
        </w:rPr>
        <w:t>It used Italy's authentic appeal to encourage exploration of its regions beyond the usual crowded tourist hotspots and established itself as Europe’s number one destination for the Chinese elite independent traveller.</w:t>
      </w:r>
    </w:p>
    <w:p w:rsidR="005E3221" w:rsidP="00D622B2">
      <w:pPr>
        <w:ind w:left="720" w:hanging="720"/>
        <w:jc w:val="both"/>
        <w:rPr>
          <w:lang w:eastAsia="en-GB"/>
        </w:rPr>
      </w:pPr>
      <w:r>
        <w:rPr>
          <w:sz w:val="22"/>
          <w:szCs w:val="22"/>
        </w:rPr>
        <w:t>9.4         While Chinese visitor numbers in Italy fell from around 6 million in 2019 to 5.5 million in 2025, spending per head rose from €1,200 to €2,100. Total spending by Chinese visitors increased from €4.4bn to €11.7bn, a 166% rise,</w:t>
      </w:r>
      <w:r>
        <w:rPr>
          <w:sz w:val="22"/>
          <w:szCs w:val="22"/>
        </w:rPr>
        <w:t xml:space="preserve"> compared to a 12% fall in Britain.</w:t>
      </w:r>
      <w:r>
        <w:rPr>
          <w:sz w:val="22"/>
          <w:szCs w:val="22"/>
        </w:rPr>
        <w:t xml:space="preserve"> Importantly, Italy spread this spending beyond Rome and Milan into regional centres across the country.</w:t>
      </w:r>
      <w:r>
        <w:rPr>
          <w:rStyle w:val="FootnoteReference"/>
          <w:sz w:val="22"/>
          <w:szCs w:val="22"/>
        </w:rPr>
        <w:footnoteReference w:id="18"/>
      </w:r>
      <w:r>
        <w:rPr>
          <w:lang w:eastAsia="en-GB"/>
        </w:rPr>
        <w:t xml:space="preserve"> </w:t>
      </w:r>
    </w:p>
    <w:p w:rsidR="005E3221" w:rsidRPr="00D622B2" w:rsidP="00D622B2">
      <w:pPr>
        <w:ind w:left="720" w:hanging="720"/>
        <w:jc w:val="both"/>
        <w:rPr>
          <w:rFonts w:cstheme="minorHAnsi"/>
          <w:sz w:val="22"/>
          <w:szCs w:val="22"/>
          <w:u w:val="single"/>
        </w:rPr>
      </w:pPr>
      <w:r>
        <w:rPr>
          <w:rFonts w:cstheme="minorHAnsi"/>
          <w:sz w:val="22"/>
          <w:szCs w:val="22"/>
        </w:rPr>
        <w:t>10.</w:t>
      </w:r>
      <w:r>
        <w:rPr>
          <w:rFonts w:cstheme="minorHAnsi"/>
          <w:sz w:val="22"/>
          <w:szCs w:val="22"/>
        </w:rPr>
        <w:tab/>
      </w:r>
      <w:r w:rsidRPr="00D622B2">
        <w:rPr>
          <w:rFonts w:cstheme="minorHAnsi"/>
          <w:sz w:val="22"/>
          <w:szCs w:val="22"/>
          <w:u w:val="single"/>
        </w:rPr>
        <w:t>Recommendations</w:t>
      </w:r>
    </w:p>
    <w:p w:rsidR="005E3221" w:rsidRPr="00D622B2" w:rsidP="00D622B2">
      <w:pPr>
        <w:ind w:left="720" w:hanging="720"/>
        <w:jc w:val="both"/>
        <w:rPr>
          <w:rFonts w:cstheme="minorHAnsi"/>
          <w:sz w:val="22"/>
          <w:szCs w:val="22"/>
        </w:rPr>
      </w:pPr>
      <w:r>
        <w:rPr>
          <w:rFonts w:cstheme="minorHAnsi"/>
          <w:sz w:val="22"/>
          <w:szCs w:val="22"/>
        </w:rPr>
        <w:t>10.1</w:t>
      </w:r>
      <w:r>
        <w:rPr>
          <w:rFonts w:cstheme="minorHAnsi"/>
          <w:sz w:val="22"/>
          <w:szCs w:val="22"/>
        </w:rPr>
        <w:tab/>
      </w:r>
      <w:r w:rsidRPr="00D622B2">
        <w:rPr>
          <w:rFonts w:cstheme="minorHAnsi"/>
          <w:sz w:val="22"/>
          <w:szCs w:val="22"/>
        </w:rPr>
        <w:t xml:space="preserve">Policy making should be based on the most up to date and accurate evidence.  </w:t>
      </w:r>
      <w:r w:rsidRPr="00D622B2">
        <w:rPr>
          <w:rFonts w:cstheme="minorHAnsi"/>
          <w:sz w:val="22"/>
          <w:szCs w:val="22"/>
        </w:rPr>
        <w:t xml:space="preserve">There is now five years of data on how tax-free shopping influences the behaviour of international visitors, both in choosing to visit a destination and on spending levels.   </w:t>
      </w:r>
      <w:r w:rsidRPr="00D622B2">
        <w:rPr>
          <w:rFonts w:cstheme="minorHAnsi"/>
          <w:sz w:val="22"/>
          <w:szCs w:val="22"/>
        </w:rPr>
        <w:t xml:space="preserve">We are confident </w:t>
      </w:r>
      <w:r>
        <w:rPr>
          <w:rFonts w:cstheme="minorHAnsi"/>
          <w:sz w:val="22"/>
          <w:szCs w:val="22"/>
        </w:rPr>
        <w:t xml:space="preserve">that a review </w:t>
      </w:r>
      <w:r w:rsidRPr="00D622B2">
        <w:rPr>
          <w:rFonts w:cstheme="minorHAnsi"/>
          <w:sz w:val="22"/>
          <w:szCs w:val="22"/>
        </w:rPr>
        <w:t>will</w:t>
      </w:r>
      <w:r w:rsidRPr="00D622B2">
        <w:rPr>
          <w:rFonts w:cstheme="minorHAnsi"/>
          <w:sz w:val="22"/>
          <w:szCs w:val="22"/>
        </w:rPr>
        <w:t xml:space="preserve"> show a positive benefit to the economy and the Exchequer</w:t>
      </w:r>
      <w:r>
        <w:rPr>
          <w:rFonts w:cstheme="minorHAnsi"/>
          <w:sz w:val="22"/>
          <w:szCs w:val="22"/>
        </w:rPr>
        <w:t xml:space="preserve"> as well as reveal the scale of the regional impact.</w:t>
      </w:r>
    </w:p>
    <w:p w:rsidR="005E3221" w:rsidRPr="00D622B2" w:rsidP="00D622B2">
      <w:pPr>
        <w:ind w:left="720" w:hanging="720"/>
        <w:jc w:val="both"/>
        <w:rPr>
          <w:rFonts w:cstheme="minorHAnsi"/>
          <w:b/>
          <w:bCs/>
          <w:sz w:val="22"/>
          <w:szCs w:val="22"/>
        </w:rPr>
      </w:pPr>
      <w:r>
        <w:rPr>
          <w:rFonts w:cstheme="minorHAnsi"/>
          <w:sz w:val="22"/>
          <w:szCs w:val="22"/>
        </w:rPr>
        <w:t>10.2</w:t>
      </w:r>
      <w:r>
        <w:rPr>
          <w:rFonts w:cstheme="minorHAnsi"/>
          <w:sz w:val="22"/>
          <w:szCs w:val="22"/>
        </w:rPr>
        <w:tab/>
      </w:r>
      <w:r w:rsidRPr="00D622B2">
        <w:rPr>
          <w:rFonts w:cstheme="minorHAnsi"/>
          <w:b/>
          <w:bCs/>
          <w:sz w:val="22"/>
          <w:szCs w:val="22"/>
        </w:rPr>
        <w:t xml:space="preserve">Recommendation One: The Government should commit to a review of the evidence now available on the impact to tax-free shopping on the national and regional economies </w:t>
      </w:r>
      <w:r>
        <w:rPr>
          <w:rFonts w:cstheme="minorHAnsi"/>
          <w:b/>
          <w:bCs/>
          <w:sz w:val="22"/>
          <w:szCs w:val="22"/>
        </w:rPr>
        <w:t xml:space="preserve">and jobs </w:t>
      </w:r>
      <w:r w:rsidRPr="00D622B2">
        <w:rPr>
          <w:rFonts w:cstheme="minorHAnsi"/>
          <w:b/>
          <w:bCs/>
          <w:sz w:val="22"/>
          <w:szCs w:val="22"/>
        </w:rPr>
        <w:t>and on the Exchequer</w:t>
      </w:r>
      <w:r>
        <w:rPr>
          <w:rFonts w:cstheme="minorHAnsi"/>
          <w:b/>
          <w:bCs/>
          <w:sz w:val="22"/>
          <w:szCs w:val="22"/>
        </w:rPr>
        <w:t>,</w:t>
      </w:r>
      <w:r w:rsidRPr="00D622B2">
        <w:rPr>
          <w:rFonts w:cstheme="minorHAnsi"/>
          <w:b/>
          <w:bCs/>
          <w:sz w:val="22"/>
          <w:szCs w:val="22"/>
        </w:rPr>
        <w:t xml:space="preserve"> to inform future policy making.</w:t>
      </w:r>
    </w:p>
    <w:p w:rsidR="005E3221" w:rsidRPr="00D622B2" w:rsidP="00D622B2">
      <w:pPr>
        <w:ind w:left="720" w:hanging="720"/>
        <w:jc w:val="both"/>
        <w:rPr>
          <w:rFonts w:cstheme="minorHAnsi"/>
          <w:b/>
          <w:bCs/>
          <w:sz w:val="22"/>
          <w:szCs w:val="22"/>
        </w:rPr>
      </w:pPr>
      <w:r>
        <w:rPr>
          <w:rFonts w:cstheme="minorHAnsi"/>
          <w:sz w:val="22"/>
          <w:szCs w:val="22"/>
        </w:rPr>
        <w:t>10.3</w:t>
      </w:r>
      <w:r>
        <w:rPr>
          <w:rFonts w:cstheme="minorHAnsi"/>
          <w:sz w:val="22"/>
          <w:szCs w:val="22"/>
        </w:rPr>
        <w:tab/>
      </w:r>
      <w:r w:rsidRPr="00D622B2">
        <w:rPr>
          <w:rFonts w:cstheme="minorHAnsi"/>
          <w:b/>
          <w:bCs/>
          <w:sz w:val="22"/>
          <w:szCs w:val="22"/>
        </w:rPr>
        <w:t>Recommendation Two: b</w:t>
      </w:r>
      <w:r w:rsidRPr="00D622B2">
        <w:rPr>
          <w:rFonts w:cstheme="minorHAnsi"/>
          <w:b/>
          <w:bCs/>
          <w:sz w:val="22"/>
          <w:szCs w:val="22"/>
        </w:rPr>
        <w:t xml:space="preserve">ased on the evidence, </w:t>
      </w:r>
      <w:r w:rsidRPr="00D622B2">
        <w:rPr>
          <w:rFonts w:cstheme="minorHAnsi"/>
          <w:b/>
          <w:bCs/>
          <w:sz w:val="22"/>
          <w:szCs w:val="22"/>
        </w:rPr>
        <w:t xml:space="preserve">the </w:t>
      </w:r>
      <w:r>
        <w:rPr>
          <w:rFonts w:cstheme="minorHAnsi"/>
          <w:b/>
          <w:bCs/>
          <w:sz w:val="22"/>
          <w:szCs w:val="22"/>
        </w:rPr>
        <w:t>G</w:t>
      </w:r>
      <w:r w:rsidRPr="00D622B2">
        <w:rPr>
          <w:rFonts w:cstheme="minorHAnsi"/>
          <w:b/>
          <w:bCs/>
          <w:sz w:val="22"/>
          <w:szCs w:val="22"/>
        </w:rPr>
        <w:t>overnment should work with industry to introduce a fully digitalised</w:t>
      </w:r>
      <w:r>
        <w:rPr>
          <w:rFonts w:cstheme="minorHAnsi"/>
          <w:b/>
          <w:bCs/>
          <w:sz w:val="22"/>
          <w:szCs w:val="22"/>
        </w:rPr>
        <w:t>,</w:t>
      </w:r>
      <w:r w:rsidRPr="00D622B2">
        <w:rPr>
          <w:rFonts w:cstheme="minorHAnsi"/>
          <w:b/>
          <w:bCs/>
          <w:sz w:val="22"/>
          <w:szCs w:val="22"/>
        </w:rPr>
        <w:t xml:space="preserve"> national tax-free shopping scheme for all international visitors to the UK and encourage </w:t>
      </w:r>
      <w:r>
        <w:rPr>
          <w:rFonts w:cstheme="minorHAnsi"/>
          <w:b/>
          <w:bCs/>
          <w:sz w:val="22"/>
          <w:szCs w:val="22"/>
        </w:rPr>
        <w:t>metro mayors</w:t>
      </w:r>
      <w:r w:rsidRPr="00D622B2">
        <w:rPr>
          <w:rFonts w:cstheme="minorHAnsi"/>
          <w:b/>
          <w:bCs/>
          <w:sz w:val="22"/>
          <w:szCs w:val="22"/>
        </w:rPr>
        <w:t xml:space="preserve"> to add to the national scheme to attract more international visitors</w:t>
      </w:r>
      <w:r>
        <w:rPr>
          <w:rFonts w:cstheme="minorHAnsi"/>
          <w:b/>
          <w:bCs/>
          <w:sz w:val="22"/>
          <w:szCs w:val="22"/>
        </w:rPr>
        <w:t xml:space="preserve"> to their regions</w:t>
      </w:r>
      <w:r w:rsidRPr="00D622B2">
        <w:rPr>
          <w:rFonts w:cstheme="minorHAnsi"/>
          <w:b/>
          <w:bCs/>
          <w:sz w:val="22"/>
          <w:szCs w:val="22"/>
        </w:rPr>
        <w:t>, and ensure this is in place in time for Euro 2028</w:t>
      </w:r>
    </w:p>
    <w:p w:rsidR="005E3221" w:rsidRPr="00D622B2" w:rsidP="00D622B2">
      <w:pPr>
        <w:ind w:left="720" w:hanging="720"/>
        <w:jc w:val="both"/>
        <w:rPr>
          <w:rFonts w:cstheme="minorHAnsi"/>
          <w:sz w:val="22"/>
          <w:szCs w:val="22"/>
        </w:rPr>
      </w:pPr>
      <w:r>
        <w:rPr>
          <w:rFonts w:cstheme="minorHAnsi"/>
          <w:sz w:val="22"/>
          <w:szCs w:val="22"/>
        </w:rPr>
        <w:t>10.4</w:t>
      </w:r>
      <w:r>
        <w:rPr>
          <w:rFonts w:cstheme="minorHAnsi"/>
          <w:sz w:val="22"/>
          <w:szCs w:val="22"/>
        </w:rPr>
        <w:tab/>
      </w:r>
      <w:r w:rsidRPr="00D622B2">
        <w:rPr>
          <w:rFonts w:cstheme="minorHAnsi"/>
          <w:b/>
          <w:bCs/>
          <w:sz w:val="22"/>
          <w:szCs w:val="22"/>
        </w:rPr>
        <w:t>Recommendation Three: The Government should introduce airside tax-free shopping to support national and regional airports</w:t>
      </w:r>
      <w:r w:rsidRPr="00D622B2">
        <w:rPr>
          <w:rFonts w:cstheme="minorHAnsi"/>
          <w:b/>
          <w:bCs/>
          <w:sz w:val="22"/>
          <w:szCs w:val="22"/>
        </w:rPr>
        <w:t xml:space="preserve"> with the minimum of bureaucracy involved.</w:t>
      </w:r>
    </w:p>
    <w:p w:rsidR="005E3221" w:rsidRPr="00D622B2" w:rsidP="00D622B2">
      <w:pPr>
        <w:ind w:left="720" w:hanging="720"/>
        <w:jc w:val="both"/>
        <w:rPr>
          <w:rFonts w:cstheme="minorHAnsi"/>
          <w:sz w:val="22"/>
          <w:szCs w:val="22"/>
        </w:rPr>
      </w:pPr>
    </w:p>
    <w:p w:rsidR="005E3221" w:rsidRPr="00D622B2" w:rsidP="00D622B2">
      <w:pPr>
        <w:ind w:left="720" w:hanging="720"/>
        <w:jc w:val="both"/>
        <w:rPr>
          <w:rFonts w:cstheme="minorHAnsi"/>
          <w:sz w:val="22"/>
          <w:szCs w:val="22"/>
        </w:rPr>
      </w:pPr>
    </w:p>
    <w:p w:rsidR="005E3221" w:rsidRPr="00D622B2" w:rsidP="00D622B2">
      <w:pPr>
        <w:ind w:left="720" w:hanging="720"/>
        <w:jc w:val="both"/>
        <w:rPr>
          <w:rFonts w:cstheme="minorHAnsi"/>
          <w:sz w:val="22"/>
          <w:szCs w:val="22"/>
        </w:rPr>
      </w:pPr>
    </w:p>
    <w:p w:rsidR="005E3221" w:rsidRPr="00D622B2" w:rsidP="00D622B2">
      <w:pPr>
        <w:ind w:left="720" w:hanging="720"/>
        <w:jc w:val="both"/>
        <w:rPr>
          <w:rFonts w:cstheme="minorHAnsi"/>
          <w:sz w:val="22"/>
          <w:szCs w:val="22"/>
        </w:rPr>
      </w:pPr>
    </w:p>
    <w:p w:rsidR="005E3221" w:rsidRPr="00D622B2" w:rsidP="00622F1A">
      <w:pPr>
        <w:jc w:val="both"/>
        <w:rPr>
          <w:rFonts w:cstheme="minorHAnsi"/>
          <w:sz w:val="22"/>
          <w:szCs w:val="22"/>
        </w:rPr>
      </w:pPr>
    </w:p>
    <w:p w:rsidR="005E3221" w:rsidRPr="00D622B2" w:rsidP="00622F1A">
      <w:pPr>
        <w:jc w:val="both"/>
        <w:rPr>
          <w:rFonts w:cstheme="minorHAnsi"/>
          <w:sz w:val="22"/>
          <w:szCs w:val="22"/>
        </w:rPr>
      </w:pPr>
    </w:p>
    <w:p w:rsidR="005E3221" w:rsidRPr="00D622B2">
      <w:pPr>
        <w:rPr>
          <w:rFonts w:cstheme="minorHAnsi"/>
          <w:sz w:val="22"/>
          <w:szCs w:val="22"/>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E3221" w:rsidP="008C1D89">
      <w:pPr>
        <w:spacing w:after="0" w:line="240" w:lineRule="auto"/>
      </w:pPr>
      <w:r>
        <w:separator/>
      </w:r>
    </w:p>
  </w:footnote>
  <w:footnote w:type="continuationSeparator" w:id="1">
    <w:p w:rsidR="005E3221" w:rsidP="008C1D89">
      <w:pPr>
        <w:spacing w:after="0" w:line="240" w:lineRule="auto"/>
      </w:pPr>
      <w:r>
        <w:continuationSeparator/>
      </w:r>
    </w:p>
  </w:footnote>
  <w:footnote w:id="2">
    <w:p w:rsidR="005E3221">
      <w:pPr>
        <w:pStyle w:val="FootnoteText"/>
      </w:pPr>
      <w:r>
        <w:rPr>
          <w:rStyle w:val="FootnoteReference"/>
        </w:rPr>
        <w:footnoteRef/>
      </w:r>
      <w:r>
        <w:t xml:space="preserve"> See </w:t>
      </w:r>
      <w:r>
        <w:fldChar w:fldCharType="begin"/>
      </w:r>
      <w:r>
        <w:instrText xml:space="preserve"> HYPERLINK "http://www.internationalretail.co.uk" </w:instrText>
      </w:r>
      <w:r>
        <w:fldChar w:fldCharType="separate"/>
      </w:r>
      <w:r w:rsidRPr="00A348D4">
        <w:rPr>
          <w:rStyle w:val="Hyperlink"/>
        </w:rPr>
        <w:t>www.internationalretail.co.uk</w:t>
      </w:r>
      <w:r>
        <w:fldChar w:fldCharType="end"/>
      </w:r>
      <w:r>
        <w:t xml:space="preserve"> for more details</w:t>
      </w:r>
    </w:p>
  </w:footnote>
  <w:footnote w:id="3">
    <w:p w:rsidR="005E3221">
      <w:pPr>
        <w:pStyle w:val="FootnoteText"/>
      </w:pPr>
      <w:r>
        <w:rPr>
          <w:rStyle w:val="FootnoteReference"/>
        </w:rPr>
        <w:footnoteRef/>
      </w:r>
      <w:r>
        <w:t xml:space="preserve"> UN Tourism “Tourism towards 2030”</w:t>
      </w:r>
    </w:p>
  </w:footnote>
  <w:footnote w:id="4">
    <w:p w:rsidR="005E3221">
      <w:pPr>
        <w:pStyle w:val="FootnoteText"/>
      </w:pPr>
      <w:r>
        <w:rPr>
          <w:rStyle w:val="FootnoteReference"/>
        </w:rPr>
        <w:footnoteRef/>
      </w:r>
      <w:r>
        <w:t xml:space="preserve"> WTTC ”Global travel and tourism is strong despite economic headwinds”, April 2025</w:t>
      </w:r>
    </w:p>
  </w:footnote>
  <w:footnote w:id="5">
    <w:p w:rsidR="005E3221">
      <w:pPr>
        <w:pStyle w:val="FootnoteText"/>
      </w:pPr>
      <w:r>
        <w:rPr>
          <w:rStyle w:val="FootnoteReference"/>
        </w:rPr>
        <w:footnoteRef/>
      </w:r>
      <w:r>
        <w:t xml:space="preserve"> VisitBritain “Britain’s visitor economy facts” and “2019 snapshot”</w:t>
      </w:r>
    </w:p>
  </w:footnote>
  <w:footnote w:id="6">
    <w:p w:rsidR="005E3221" w:rsidP="00D622B2">
      <w:pPr>
        <w:pStyle w:val="FootnoteText"/>
      </w:pPr>
      <w:r>
        <w:rPr>
          <w:rStyle w:val="FootnoteReference"/>
        </w:rPr>
        <w:footnoteRef/>
      </w:r>
      <w:r>
        <w:t xml:space="preserve"> Data on visitor numbers and overall spending is from VisitBritain and equivalent government agencies in France, Spain and Italy. Data on visitors spending on shopping </w:t>
      </w:r>
      <w:r>
        <w:t xml:space="preserve">is </w:t>
      </w:r>
      <w:r>
        <w:t>from Global Blue</w:t>
      </w:r>
    </w:p>
  </w:footnote>
  <w:footnote w:id="7">
    <w:p w:rsidR="005E3221">
      <w:pPr>
        <w:pStyle w:val="FootnoteText"/>
      </w:pPr>
      <w:r>
        <w:rPr>
          <w:rStyle w:val="FootnoteReference"/>
        </w:rPr>
        <w:footnoteRef/>
      </w:r>
      <w:r>
        <w:t xml:space="preserve"> </w:t>
      </w:r>
      <w:r>
        <w:t xml:space="preserve">Data provided by retailers accounting for around 80% of all </w:t>
      </w:r>
      <w:r>
        <w:t xml:space="preserve">UK </w:t>
      </w:r>
      <w:r>
        <w:t>tax-free shopping in 2019</w:t>
      </w:r>
    </w:p>
  </w:footnote>
  <w:footnote w:id="8">
    <w:p w:rsidR="005E3221" w:rsidRPr="00D622B2" w:rsidP="00D622B2">
      <w:pPr>
        <w:spacing w:line="259" w:lineRule="auto"/>
        <w:rPr>
          <w:rFonts w:ascii="Calibri" w:hAnsi="Calibri" w:cs="Calibri"/>
          <w:sz w:val="20"/>
          <w:szCs w:val="20"/>
        </w:rPr>
      </w:pPr>
      <w:r>
        <w:rPr>
          <w:rStyle w:val="FootnoteReference"/>
        </w:rPr>
        <w:footnoteRef/>
      </w:r>
      <w:r>
        <w:t xml:space="preserve"> </w:t>
      </w:r>
      <w:r w:rsidRPr="00D622B2">
        <w:rPr>
          <w:rFonts w:ascii="Calibri" w:hAnsi="Calibri" w:cs="Calibri"/>
          <w:sz w:val="20"/>
          <w:szCs w:val="20"/>
        </w:rPr>
        <w:t>Combined additional jobs created per region, based on 1 job per £50,000 spen</w:t>
      </w:r>
      <w:r>
        <w:rPr>
          <w:rFonts w:ascii="Calibri" w:hAnsi="Calibri" w:cs="Calibri"/>
          <w:sz w:val="20"/>
          <w:szCs w:val="20"/>
        </w:rPr>
        <w:t>d</w:t>
      </w:r>
    </w:p>
  </w:footnote>
  <w:footnote w:id="9">
    <w:p w:rsidR="005E3221" w:rsidP="00D622B2">
      <w:pPr>
        <w:pStyle w:val="FootnoteText"/>
      </w:pPr>
      <w:r>
        <w:rPr>
          <w:rStyle w:val="FootnoteReference"/>
        </w:rPr>
        <w:footnoteRef/>
      </w:r>
      <w:r>
        <w:t xml:space="preserve"> For example, in the Treasury Minister’s answer to Written Question by Dr Kieron Mullan MP, February 21</w:t>
      </w:r>
      <w:r w:rsidRPr="007232E1">
        <w:rPr>
          <w:vertAlign w:val="superscript"/>
        </w:rPr>
        <w:t>st</w:t>
      </w:r>
      <w:r>
        <w:t>, 2023</w:t>
      </w:r>
    </w:p>
  </w:footnote>
  <w:footnote w:id="10">
    <w:p w:rsidR="005E3221">
      <w:pPr>
        <w:pStyle w:val="FootnoteText"/>
      </w:pPr>
      <w:r>
        <w:rPr>
          <w:rStyle w:val="FootnoteReference"/>
        </w:rPr>
        <w:footnoteRef/>
      </w:r>
      <w:r>
        <w:t xml:space="preserve"> VisitBritain “Inbound Shopping Research” 2016</w:t>
      </w:r>
    </w:p>
  </w:footnote>
  <w:footnote w:id="11">
    <w:p w:rsidR="005E3221">
      <w:pPr>
        <w:pStyle w:val="FootnoteText"/>
      </w:pPr>
      <w:r>
        <w:rPr>
          <w:rStyle w:val="FootnoteReference"/>
        </w:rPr>
        <w:footnoteRef/>
      </w:r>
      <w:r>
        <w:t xml:space="preserve"> VisitBritain “2019 snapshot”</w:t>
      </w:r>
    </w:p>
  </w:footnote>
  <w:footnote w:id="12">
    <w:p w:rsidR="005E3221">
      <w:pPr>
        <w:pStyle w:val="FootnoteText"/>
      </w:pPr>
      <w:r>
        <w:rPr>
          <w:rStyle w:val="FootnoteReference"/>
        </w:rPr>
        <w:footnoteRef/>
      </w:r>
      <w:r>
        <w:t xml:space="preserve"> HMT “Technical Note on the VAT RES” November 2020</w:t>
      </w:r>
    </w:p>
  </w:footnote>
  <w:footnote w:id="13">
    <w:p w:rsidR="005E3221">
      <w:pPr>
        <w:pStyle w:val="FootnoteText"/>
      </w:pPr>
      <w:r>
        <w:rPr>
          <w:rStyle w:val="FootnoteReference"/>
        </w:rPr>
        <w:footnoteRef/>
      </w:r>
      <w:r>
        <w:t xml:space="preserve"> London&amp; Partners “Visitors spend more on shopping while in London” September 2017</w:t>
      </w:r>
    </w:p>
  </w:footnote>
  <w:footnote w:id="14">
    <w:p w:rsidR="005E3221">
      <w:pPr>
        <w:pStyle w:val="FootnoteText"/>
      </w:pPr>
      <w:r>
        <w:rPr>
          <w:rStyle w:val="FootnoteReference"/>
        </w:rPr>
        <w:footnoteRef/>
      </w:r>
      <w:r>
        <w:t xml:space="preserve"> UN World Tourism Organisation “China recovers its position as top spender in 2023 as Asia and the Pacific re-opens tourism”, June 2024</w:t>
      </w:r>
    </w:p>
  </w:footnote>
  <w:footnote w:id="15">
    <w:p w:rsidR="005E3221">
      <w:pPr>
        <w:pStyle w:val="FootnoteText"/>
      </w:pPr>
      <w:r>
        <w:rPr>
          <w:rStyle w:val="FootnoteReference"/>
        </w:rPr>
        <w:footnoteRef/>
      </w:r>
      <w:r>
        <w:t xml:space="preserve"> VisitBritain “Foresight Report 150”</w:t>
      </w:r>
    </w:p>
  </w:footnote>
  <w:footnote w:id="16">
    <w:p w:rsidR="005E3221">
      <w:pPr>
        <w:pStyle w:val="FootnoteText"/>
      </w:pPr>
      <w:r>
        <w:rPr>
          <w:rStyle w:val="FootnoteReference"/>
        </w:rPr>
        <w:footnoteRef/>
      </w:r>
      <w:r>
        <w:t xml:space="preserve"> Global Blue and Planet data on actual spending levels by visitors based on region of origin.</w:t>
      </w:r>
    </w:p>
  </w:footnote>
  <w:footnote w:id="17">
    <w:p w:rsidR="005E3221" w:rsidP="00D622B2">
      <w:pPr>
        <w:pStyle w:val="FootnoteText"/>
      </w:pPr>
      <w:r>
        <w:rPr>
          <w:rStyle w:val="FootnoteReference"/>
        </w:rPr>
        <w:footnoteRef/>
      </w:r>
      <w:r>
        <w:t xml:space="preserve"> </w:t>
      </w:r>
      <w:r w:rsidRPr="000C7467">
        <w:rPr>
          <w:rFonts w:ascii="Calibri" w:hAnsi="Calibri" w:cs="Calibri"/>
        </w:rPr>
        <w:t>Data from VisitBritain and Tourism Ministries of France, Italy and Spain</w:t>
      </w:r>
    </w:p>
  </w:footnote>
  <w:footnote w:id="18">
    <w:p w:rsidR="005E3221">
      <w:pPr>
        <w:pStyle w:val="FootnoteText"/>
      </w:pPr>
      <w:r>
        <w:rPr>
          <w:rStyle w:val="FootnoteReference"/>
        </w:rPr>
        <w:footnoteRef/>
      </w:r>
      <w:r>
        <w:t xml:space="preserve"> Details of this strategy and its success can be found in various publications by the Italian National Tourist Board (ENIT)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9AA48E8"/>
    <w:multiLevelType w:val="multilevel"/>
    <w:tmpl w:val="6CAC5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195B71"/>
    <w:multiLevelType w:val="hybridMultilevel"/>
    <w:tmpl w:val="DEE456B4"/>
    <w:lvl w:ilvl="0">
      <w:start w:val="1"/>
      <w:numFmt w:val="lowerRoman"/>
      <w:lvlText w:val="%1)"/>
      <w:lvlJc w:val="left"/>
      <w:pPr>
        <w:ind w:left="1440" w:hanging="720"/>
      </w:pPr>
      <w:rPr>
        <w:rFonts w:ascii="Calibri" w:hAnsi="Calibri" w:eastAsiaTheme="minorHAnsi" w:cs="Calibri"/>
        <w:color w:val="000000" w:themeColor="text1"/>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398B3C9B"/>
    <w:multiLevelType w:val="hybridMultilevel"/>
    <w:tmpl w:val="AFDADD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C513282"/>
    <w:multiLevelType w:val="multilevel"/>
    <w:tmpl w:val="AFDE7AF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42C54E19"/>
    <w:multiLevelType w:val="hybridMultilevel"/>
    <w:tmpl w:val="A030C39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4BA65F00"/>
    <w:multiLevelType w:val="hybridMultilevel"/>
    <w:tmpl w:val="912E0BD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5FE80E0E"/>
    <w:multiLevelType w:val="multilevel"/>
    <w:tmpl w:val="FFFFFFFF"/>
    <w:lvl w:ilvl="0">
      <w:start w:val="1"/>
      <w:numFmt w:val="decimal"/>
      <w:lvlText w:val="%1"/>
      <w:lvlJc w:val="left"/>
      <w:pPr>
        <w:ind w:left="768" w:hanging="768"/>
      </w:pPr>
      <w:rPr>
        <w:rFonts w:hint="default"/>
      </w:rPr>
    </w:lvl>
    <w:lvl w:ilvl="1">
      <w:start w:val="1"/>
      <w:numFmt w:val="decimal"/>
      <w:lvlText w:val="%1.%2"/>
      <w:lvlJc w:val="left"/>
      <w:pPr>
        <w:ind w:left="768" w:hanging="768"/>
      </w:pPr>
      <w:rPr>
        <w:rFonts w:hint="default"/>
      </w:rPr>
    </w:lvl>
    <w:lvl w:ilvl="2">
      <w:start w:val="1"/>
      <w:numFmt w:val="decimal"/>
      <w:lvlText w:val="%1.%2.%3"/>
      <w:lvlJc w:val="left"/>
      <w:pPr>
        <w:ind w:left="768" w:hanging="768"/>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705D685B"/>
    <w:multiLevelType w:val="hybridMultilevel"/>
    <w:tmpl w:val="ACA4AE5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6"/>
  </w:num>
  <w:num w:numId="2">
    <w:abstractNumId w:val="2"/>
  </w:num>
  <w:num w:numId="3">
    <w:abstractNumId w:val="3"/>
  </w:num>
  <w:num w:numId="4">
    <w:abstractNumId w:val="1"/>
  </w:num>
  <w:num w:numId="5">
    <w:abstractNumId w:val="7"/>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A46F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6F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6F2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6F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6F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6F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6F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6F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6F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F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6F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6F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6F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6F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6F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6F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6F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6F24"/>
    <w:rPr>
      <w:rFonts w:eastAsiaTheme="majorEastAsia" w:cstheme="majorBidi"/>
      <w:color w:val="272727" w:themeColor="text1" w:themeTint="D8"/>
    </w:rPr>
  </w:style>
  <w:style w:type="paragraph" w:styleId="Title">
    <w:name w:val="Title"/>
    <w:basedOn w:val="Normal"/>
    <w:next w:val="Normal"/>
    <w:link w:val="TitleChar"/>
    <w:uiPriority w:val="10"/>
    <w:qFormat/>
    <w:rsid w:val="00A46F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6F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6F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6F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6F24"/>
    <w:pPr>
      <w:spacing w:before="160"/>
      <w:jc w:val="center"/>
    </w:pPr>
    <w:rPr>
      <w:i/>
      <w:iCs/>
      <w:color w:val="404040" w:themeColor="text1" w:themeTint="BF"/>
    </w:rPr>
  </w:style>
  <w:style w:type="character" w:customStyle="1" w:styleId="QuoteChar">
    <w:name w:val="Quote Char"/>
    <w:basedOn w:val="DefaultParagraphFont"/>
    <w:link w:val="Quote"/>
    <w:uiPriority w:val="29"/>
    <w:rsid w:val="00A46F24"/>
    <w:rPr>
      <w:i/>
      <w:iCs/>
      <w:color w:val="404040" w:themeColor="text1" w:themeTint="BF"/>
    </w:rPr>
  </w:style>
  <w:style w:type="paragraph" w:styleId="ListParagraph">
    <w:name w:val="List Paragraph"/>
    <w:basedOn w:val="Normal"/>
    <w:uiPriority w:val="34"/>
    <w:qFormat/>
    <w:rsid w:val="00A46F24"/>
    <w:pPr>
      <w:ind w:left="720"/>
      <w:contextualSpacing/>
    </w:pPr>
  </w:style>
  <w:style w:type="character" w:styleId="IntenseEmphasis">
    <w:name w:val="Intense Emphasis"/>
    <w:basedOn w:val="DefaultParagraphFont"/>
    <w:uiPriority w:val="21"/>
    <w:qFormat/>
    <w:rsid w:val="00A46F24"/>
    <w:rPr>
      <w:i/>
      <w:iCs/>
      <w:color w:val="2F5496" w:themeColor="accent1" w:themeShade="BF"/>
    </w:rPr>
  </w:style>
  <w:style w:type="paragraph" w:styleId="IntenseQuote">
    <w:name w:val="Intense Quote"/>
    <w:basedOn w:val="Normal"/>
    <w:next w:val="Normal"/>
    <w:link w:val="IntenseQuoteChar"/>
    <w:uiPriority w:val="30"/>
    <w:qFormat/>
    <w:rsid w:val="00A46F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6F24"/>
    <w:rPr>
      <w:i/>
      <w:iCs/>
      <w:color w:val="2F5496" w:themeColor="accent1" w:themeShade="BF"/>
    </w:rPr>
  </w:style>
  <w:style w:type="character" w:styleId="IntenseReference">
    <w:name w:val="Intense Reference"/>
    <w:basedOn w:val="DefaultParagraphFont"/>
    <w:uiPriority w:val="32"/>
    <w:qFormat/>
    <w:rsid w:val="00A46F24"/>
    <w:rPr>
      <w:b/>
      <w:bCs/>
      <w:smallCaps/>
      <w:color w:val="2F5496" w:themeColor="accent1" w:themeShade="BF"/>
      <w:spacing w:val="5"/>
    </w:rPr>
  </w:style>
  <w:style w:type="paragraph" w:styleId="FootnoteText">
    <w:name w:val="footnote text"/>
    <w:basedOn w:val="Normal"/>
    <w:link w:val="FootnoteTextChar"/>
    <w:uiPriority w:val="99"/>
    <w:unhideWhenUsed/>
    <w:rsid w:val="008C1D89"/>
    <w:pPr>
      <w:spacing w:after="0" w:line="240" w:lineRule="auto"/>
    </w:pPr>
    <w:rPr>
      <w:rFonts w:eastAsiaTheme="minorEastAsia"/>
      <w:sz w:val="20"/>
      <w:szCs w:val="20"/>
      <w:lang w:eastAsia="en-GB"/>
    </w:rPr>
  </w:style>
  <w:style w:type="character" w:customStyle="1" w:styleId="FootnoteTextChar">
    <w:name w:val="Footnote Text Char"/>
    <w:basedOn w:val="DefaultParagraphFont"/>
    <w:link w:val="FootnoteText"/>
    <w:uiPriority w:val="99"/>
    <w:rsid w:val="008C1D89"/>
    <w:rPr>
      <w:rFonts w:eastAsiaTheme="minorEastAsia"/>
      <w:sz w:val="20"/>
      <w:szCs w:val="20"/>
      <w:lang w:eastAsia="en-GB"/>
    </w:rPr>
  </w:style>
  <w:style w:type="character" w:styleId="FootnoteReference">
    <w:name w:val="footnote reference"/>
    <w:aliases w:val="IER footnote"/>
    <w:basedOn w:val="DefaultParagraphFont"/>
    <w:uiPriority w:val="99"/>
    <w:unhideWhenUsed/>
    <w:rsid w:val="008C1D89"/>
    <w:rPr>
      <w:vertAlign w:val="superscript"/>
    </w:rPr>
  </w:style>
  <w:style w:type="character" w:styleId="Hyperlink">
    <w:name w:val="Hyperlink"/>
    <w:basedOn w:val="DefaultParagraphFont"/>
    <w:uiPriority w:val="99"/>
    <w:unhideWhenUsed/>
    <w:rsid w:val="008C1D89"/>
    <w:rPr>
      <w:color w:val="0563C1" w:themeColor="hyperlink"/>
      <w:u w:val="single"/>
    </w:rPr>
  </w:style>
  <w:style w:type="paragraph" w:styleId="Header">
    <w:name w:val="header"/>
    <w:basedOn w:val="Normal"/>
    <w:link w:val="HeaderChar"/>
    <w:uiPriority w:val="99"/>
    <w:unhideWhenUsed/>
    <w:rsid w:val="00E45C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5C9D"/>
  </w:style>
  <w:style w:type="paragraph" w:styleId="Footer">
    <w:name w:val="footer"/>
    <w:basedOn w:val="Normal"/>
    <w:link w:val="FooterChar"/>
    <w:uiPriority w:val="99"/>
    <w:unhideWhenUsed/>
    <w:rsid w:val="00E45C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5C9D"/>
  </w:style>
  <w:style w:type="table" w:styleId="TableGrid">
    <w:name w:val="Table Grid"/>
    <w:basedOn w:val="TableNormal"/>
    <w:uiPriority w:val="39"/>
    <w:rsid w:val="00CB0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622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F43A1-7794-4693-8397-69F72B4EB9F3}">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TOU0055</dc:title>
  <cp:revision>0</cp:revision>
</cp:coreProperties>
</file>