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E7A79" w:rsidRPr="00560C4C" w:rsidP="006E7A79">
      <w:pPr>
        <w:spacing w:line="360" w:lineRule="auto"/>
        <w:jc w:val="center"/>
        <w:rPr>
          <w:rFonts w:ascii="Calibri" w:hAnsi="Calibri" w:cs="Calibri"/>
          <w:sz w:val="28"/>
          <w:szCs w:val="28"/>
        </w:rPr>
      </w:pPr>
      <w:r w:rsidRPr="00560C4C">
        <w:rPr>
          <w:rFonts w:ascii="Calibri" w:hAnsi="Calibri" w:cs="Calibri"/>
          <w:sz w:val="28"/>
          <w:szCs w:val="28"/>
        </w:rPr>
        <w:t>Written evidence submitted by</w:t>
      </w:r>
      <w:r w:rsidRPr="00922D69">
        <w:rPr>
          <w:rFonts w:ascii="Calibri" w:hAnsi="Calibri" w:cs="Calibri"/>
          <w:sz w:val="28"/>
          <w:szCs w:val="28"/>
        </w:rPr>
        <w:t xml:space="preserve"> </w:t>
      </w:r>
      <w:r w:rsidRPr="006E7A79">
        <w:rPr>
          <w:rFonts w:ascii="Calibri" w:hAnsi="Calibri" w:cs="Calibri"/>
          <w:sz w:val="28"/>
          <w:szCs w:val="28"/>
        </w:rPr>
        <w:t>National Galleries of Scotland</w:t>
      </w:r>
    </w:p>
    <w:p w:rsidR="00A942C9" w:rsidRPr="001B44F4" w:rsidP="001B44F4">
      <w:pPr>
        <w:spacing w:before="100" w:beforeAutospacing="1" w:after="100" w:afterAutospacing="1" w:line="240" w:lineRule="auto"/>
        <w:rPr>
          <w:rFonts w:ascii="Arial" w:eastAsia="Times New Roman" w:hAnsi="Arial" w:cs="Arial"/>
          <w:b/>
          <w:bCs/>
          <w:kern w:val="0"/>
          <w:lang w:eastAsia="en-GB"/>
        </w:rPr>
      </w:pPr>
      <w:r>
        <w:rPr>
          <w:rFonts w:ascii="Arial" w:eastAsia="Times New Roman" w:hAnsi="Arial" w:cs="Arial"/>
          <w:b/>
          <w:bCs/>
          <w:kern w:val="0"/>
          <w:lang w:eastAsia="en-GB"/>
        </w:rPr>
        <w:t>Section</w:t>
      </w:r>
      <w:r w:rsidRPr="004C549E">
        <w:rPr>
          <w:rFonts w:ascii="Arial" w:eastAsia="Times New Roman" w:hAnsi="Arial" w:cs="Arial"/>
          <w:b/>
          <w:bCs/>
          <w:kern w:val="0"/>
          <w:lang w:eastAsia="en-GB"/>
        </w:rPr>
        <w:t xml:space="preserve"> 1: Government policies and sector resilience</w:t>
      </w:r>
    </w:p>
    <w:p w:rsidR="00A942C9" w:rsidRPr="004C549E" w:rsidP="1E751CD2">
      <w:pPr>
        <w:spacing w:after="0" w:line="240" w:lineRule="auto"/>
        <w:jc w:val="both"/>
        <w:rPr>
          <w:rFonts w:ascii="Arial" w:eastAsia="Arial" w:hAnsi="Arial" w:cs="Arial"/>
        </w:rPr>
      </w:pPr>
    </w:p>
    <w:p w:rsidR="00A942C9" w:rsidRPr="004C549E" w:rsidP="1E751CD2">
      <w:pPr>
        <w:spacing w:after="0" w:line="240" w:lineRule="auto"/>
        <w:jc w:val="both"/>
        <w:rPr>
          <w:rFonts w:ascii="Arial" w:eastAsia="Arial" w:hAnsi="Arial" w:cs="Arial"/>
        </w:rPr>
      </w:pPr>
      <w:r w:rsidRPr="004C549E">
        <w:rPr>
          <w:rFonts w:ascii="Arial" w:eastAsia="Arial" w:hAnsi="Arial" w:cs="Arial"/>
        </w:rPr>
        <w:t>Cultural institutions should be recognised as core economic infrastructure rather than solely discretionary cultural spending. Scotland’s national cultural institutions contribute significantly to the UK’s international soft power, global reputation and attractiveness as a destination. Investment in culture should therefore be viewed not simply as public subsidy, but as long-term economic investment which supports tourism growth, inward investment, skills development and international profile. National cult</w:t>
      </w:r>
      <w:r w:rsidRPr="004C549E">
        <w:rPr>
          <w:rFonts w:ascii="Arial" w:eastAsia="Arial" w:hAnsi="Arial" w:cs="Arial"/>
        </w:rPr>
        <w:t>ural institutions also play an important role in international relationship</w:t>
      </w:r>
      <w:r>
        <w:rPr>
          <w:rFonts w:ascii="Arial" w:eastAsia="Arial" w:hAnsi="Arial" w:cs="Arial"/>
        </w:rPr>
        <w:t xml:space="preserve"> </w:t>
      </w:r>
      <w:r w:rsidRPr="004C549E">
        <w:rPr>
          <w:rFonts w:ascii="Arial" w:eastAsia="Arial" w:hAnsi="Arial" w:cs="Arial"/>
        </w:rPr>
        <w:t>building and cultural diplomacy. Recent engagement activity and trade missions in Asia have demonstrated how cultural partnerships can strengthen Scotland and the UK’s international profile, encourage future tourism and support wider economic and diplomatic objectives. The continued provision of free access to national collections represents one of the UK’s strongest international tourism assets and supports accessibility, inclusion</w:t>
      </w:r>
      <w:r w:rsidRPr="004C549E">
        <w:rPr>
          <w:rFonts w:ascii="Arial" w:eastAsia="Arial" w:hAnsi="Arial" w:cs="Arial"/>
        </w:rPr>
        <w:t>, repeat visitation and broader public participation.</w:t>
      </w:r>
    </w:p>
    <w:p w:rsidR="00A942C9" w:rsidRPr="004C549E" w:rsidP="1E751CD2">
      <w:pPr>
        <w:spacing w:before="240" w:after="240"/>
        <w:jc w:val="both"/>
        <w:rPr>
          <w:rFonts w:ascii="Arial" w:eastAsia="Arial" w:hAnsi="Arial" w:cs="Arial"/>
        </w:rPr>
      </w:pPr>
      <w:r w:rsidRPr="004C549E">
        <w:rPr>
          <w:rFonts w:ascii="Arial" w:eastAsia="Arial" w:hAnsi="Arial" w:cs="Arial"/>
        </w:rPr>
        <w:t xml:space="preserve">International visitors are increasingly seeking authentic, place-based experiences which combine heritage, culture, food, events and landscape. Scotland and the wider UK are well positioned to benefit from this trend due to the strength of their cultural and creative assets. However, international competitiveness continues to be affected by factors including visa complexity, aviation costs, transport connectivity and the increased administrative and financial barriers associated with international cultural </w:t>
      </w:r>
      <w:r w:rsidRPr="004C549E">
        <w:rPr>
          <w:rFonts w:ascii="Arial" w:eastAsia="Arial" w:hAnsi="Arial" w:cs="Arial"/>
        </w:rPr>
        <w:t>touring and exchange. The UK’s global reputation continues to benefit significantly from its cultural exports, collections and creative industries, and greater support for international partnerships, touring activity and cultural promotion would strengthen the UK’s international visibility and competitiveness. National Galleries Scotland’s Art Works project will also act as a strategic enabler by creating significantly greater capacity for the storage, conservation and international movement of artworks, su</w:t>
      </w:r>
      <w:r w:rsidRPr="004C549E">
        <w:rPr>
          <w:rFonts w:ascii="Arial" w:eastAsia="Arial" w:hAnsi="Arial" w:cs="Arial"/>
        </w:rPr>
        <w:t>pporting increased opportunities for global cultural exchange, touring exhibitions and international partnership activity. If visitor levies are introduced, there should be clear transparency and accountability regarding how funds are reinvested into the visitor economy, including cultural infrastructure, public realm improvements, transport connectivity and destination management.</w:t>
      </w:r>
    </w:p>
    <w:p w:rsidR="00A942C9" w:rsidRPr="001B44F4" w:rsidP="001B44F4">
      <w:pPr>
        <w:spacing w:before="100" w:beforeAutospacing="1" w:after="100" w:afterAutospacing="1" w:line="240" w:lineRule="auto"/>
        <w:rPr>
          <w:rFonts w:ascii="Arial" w:eastAsia="Times New Roman" w:hAnsi="Arial" w:cs="Arial"/>
          <w:b/>
          <w:bCs/>
          <w:kern w:val="0"/>
          <w:lang w:eastAsia="en-GB"/>
        </w:rPr>
      </w:pPr>
      <w:r>
        <w:rPr>
          <w:rFonts w:ascii="Arial" w:eastAsia="Times New Roman" w:hAnsi="Arial" w:cs="Arial"/>
          <w:b/>
          <w:bCs/>
          <w:kern w:val="0"/>
          <w:lang w:eastAsia="en-GB"/>
        </w:rPr>
        <w:t>Section</w:t>
      </w:r>
      <w:r w:rsidRPr="004C549E">
        <w:rPr>
          <w:rFonts w:ascii="Arial" w:eastAsia="Times New Roman" w:hAnsi="Arial" w:cs="Arial"/>
          <w:b/>
          <w:bCs/>
          <w:kern w:val="0"/>
          <w:lang w:eastAsia="en-GB"/>
        </w:rPr>
        <w:t xml:space="preserve"> 2: Government structures and sector support</w:t>
      </w:r>
    </w:p>
    <w:p w:rsidR="00A942C9" w:rsidRPr="004C549E" w:rsidP="004C549E">
      <w:pPr>
        <w:spacing w:beforeAutospacing="1" w:afterAutospacing="1" w:line="240" w:lineRule="auto"/>
        <w:jc w:val="both"/>
        <w:rPr>
          <w:rFonts w:ascii="Arial" w:eastAsia="Arial" w:hAnsi="Arial" w:cs="Arial"/>
        </w:rPr>
      </w:pPr>
      <w:r w:rsidRPr="004C549E">
        <w:rPr>
          <w:rFonts w:ascii="Arial" w:hAnsi="Arial" w:eastAsiaTheme="minorEastAsia" w:cs="Arial"/>
        </w:rPr>
        <w:t>Culture and tourism should also be recognised as interconnected ecosystems rather than isolated sectors or institutions. Visitors engaging with one cultural attraction are highly likely to engage with wider elements of the visitor economy, including museums, galleries, heritage sites, festivals, hospitality, retail and transport networks. The success of the sector therefore relies on strong collaboration and connectivity across organisations, regions and nations. Supporting cultural ecosystems through coord</w:t>
      </w:r>
      <w:r w:rsidRPr="004C549E">
        <w:rPr>
          <w:rFonts w:ascii="Arial" w:hAnsi="Arial" w:eastAsiaTheme="minorEastAsia" w:cs="Arial"/>
        </w:rPr>
        <w:t>inated policy, investment and promotion can generate significantly greater collective economic and tourism impact than isolated interventions.</w:t>
      </w:r>
    </w:p>
    <w:p w:rsidR="00A942C9" w:rsidRPr="001B44F4" w:rsidP="1E751CD2">
      <w:pPr>
        <w:spacing w:before="100" w:beforeAutospacing="1" w:after="100" w:afterAutospacing="1" w:line="240" w:lineRule="auto"/>
        <w:rPr>
          <w:rFonts w:ascii="Arial" w:hAnsi="Arial" w:cs="Arial"/>
          <w:b/>
          <w:bCs/>
        </w:rPr>
      </w:pPr>
      <w:r>
        <w:rPr>
          <w:rFonts w:ascii="Arial" w:eastAsia="Times New Roman" w:hAnsi="Arial" w:cs="Arial"/>
          <w:b/>
          <w:bCs/>
          <w:kern w:val="0"/>
          <w:lang w:eastAsia="en-GB"/>
        </w:rPr>
        <w:t>Section</w:t>
      </w:r>
      <w:r w:rsidRPr="004C549E">
        <w:rPr>
          <w:rFonts w:ascii="Arial" w:eastAsia="Times New Roman" w:hAnsi="Arial" w:cs="Arial"/>
          <w:b/>
          <w:bCs/>
          <w:kern w:val="0"/>
          <w:lang w:eastAsia="en-GB"/>
        </w:rPr>
        <w:t xml:space="preserve"> 3: Inward investment and tourism infrastructure</w:t>
      </w:r>
    </w:p>
    <w:p w:rsidR="00A942C9" w:rsidRPr="004C549E" w:rsidP="1E751CD2">
      <w:pPr>
        <w:spacing w:before="240" w:after="240" w:line="240" w:lineRule="auto"/>
        <w:jc w:val="both"/>
        <w:rPr>
          <w:rFonts w:ascii="Arial" w:eastAsia="Arial" w:hAnsi="Arial" w:cs="Arial"/>
        </w:rPr>
      </w:pPr>
      <w:r w:rsidRPr="004C549E">
        <w:rPr>
          <w:rFonts w:ascii="Arial" w:eastAsia="Arial" w:hAnsi="Arial" w:cs="Arial"/>
        </w:rPr>
        <w:t>Investment in cultural infrastructure can generate significant long</w:t>
      </w:r>
      <w:r>
        <w:rPr>
          <w:rFonts w:ascii="Arial" w:eastAsia="Arial" w:hAnsi="Arial" w:cs="Arial"/>
        </w:rPr>
        <w:t xml:space="preserve"> </w:t>
      </w:r>
      <w:r w:rsidRPr="004C549E">
        <w:rPr>
          <w:rFonts w:ascii="Arial" w:eastAsia="Arial" w:hAnsi="Arial" w:cs="Arial"/>
        </w:rPr>
        <w:t xml:space="preserve">term economic, tourism and community benefit. Recent independent economic analysis found that National Galleries Scotland generated £253.3 million GVA for the Scottish economy in 2024/25 and supported approximately 6,750 jobs across Scotland. The analysis also found that every £1 invested by the Scottish Government generated £11 in economic value for the Scottish economy. </w:t>
      </w:r>
    </w:p>
    <w:p w:rsidR="00A942C9" w:rsidRPr="004C549E" w:rsidP="1E751CD2">
      <w:pPr>
        <w:spacing w:before="240" w:after="240" w:line="240" w:lineRule="auto"/>
        <w:jc w:val="both"/>
        <w:rPr>
          <w:rFonts w:ascii="Arial" w:eastAsia="Arial" w:hAnsi="Arial" w:cs="Arial"/>
        </w:rPr>
      </w:pPr>
      <w:r w:rsidRPr="004C549E">
        <w:rPr>
          <w:rFonts w:ascii="Arial" w:eastAsia="Arial" w:hAnsi="Arial" w:cs="Arial"/>
        </w:rPr>
        <w:t>Museums, galleries and heritage organisations should therefore be recognised as strategic economic infrastructure as well as cultural assets. As one of Scotland’s most visited attractions, National Galleries Scotland attracted approximately 2.6 million visitors in 2024, with visitor spending attributable to the organisation generating an estimated £210.3 million GVA and supporting over 6,000 jobs. International visitor figures suggest that almost half of all international tourists visiting Edinburgh visited</w:t>
      </w:r>
      <w:r w:rsidRPr="004C549E">
        <w:rPr>
          <w:rFonts w:ascii="Arial" w:eastAsia="Arial" w:hAnsi="Arial" w:cs="Arial"/>
        </w:rPr>
        <w:t xml:space="preserve"> a National Galleries Scotland site during their trip. </w:t>
      </w:r>
    </w:p>
    <w:p w:rsidR="00A942C9" w:rsidRPr="004C549E" w:rsidP="1E751CD2">
      <w:pPr>
        <w:spacing w:before="240" w:after="240" w:line="240" w:lineRule="auto"/>
        <w:jc w:val="both"/>
        <w:rPr>
          <w:rFonts w:ascii="Arial" w:eastAsia="Arial" w:hAnsi="Arial" w:cs="Arial"/>
        </w:rPr>
      </w:pPr>
      <w:r w:rsidRPr="004C549E">
        <w:rPr>
          <w:rFonts w:ascii="Arial" w:eastAsia="Arial" w:hAnsi="Arial" w:cs="Arial"/>
        </w:rPr>
        <w:t>There is significant opportunity to increase inward investment through long-term capital programmes which improve sustainability, collections care, accessibility, digital capability and visitor experience. National Galleries Scotland’s Art Works project represents an example of strategic cultural infrastructure investment that will improve collections storage, conservation capability, environmental sustainability and international lending capacity, while enabling more people to engage with Scotland’s nation</w:t>
      </w:r>
      <w:r w:rsidRPr="004C549E">
        <w:rPr>
          <w:rFonts w:ascii="Arial" w:eastAsia="Arial" w:hAnsi="Arial" w:cs="Arial"/>
        </w:rPr>
        <w:t xml:space="preserve">al collection. The project will act as a strategic enabler for increased global cultural exchange, touring exhibitions and international partnership activity, strengthening Scotland and the UK’s international cultural profile. </w:t>
      </w:r>
    </w:p>
    <w:p w:rsidR="00A942C9" w:rsidRPr="004C549E" w:rsidP="1E751CD2">
      <w:pPr>
        <w:spacing w:before="240" w:after="240" w:line="240" w:lineRule="auto"/>
        <w:jc w:val="both"/>
        <w:rPr>
          <w:rFonts w:ascii="Arial" w:hAnsi="Arial" w:cs="Arial"/>
        </w:rPr>
      </w:pPr>
      <w:r w:rsidRPr="004C549E">
        <w:rPr>
          <w:rFonts w:ascii="Arial" w:eastAsia="Arial" w:hAnsi="Arial" w:cs="Arial"/>
        </w:rPr>
        <w:t>Investment should not be concentrated solely within major city centres or established visitor hotspots. Regional cultural infrastructure can support regeneration, local tourism economies, skills development, education and community identity across all parts of the UK. Unlocking future investment will require long-term funding certainty, stronger public and private sector collaboration, and better alignment between cultural, tourism, transport and economic development policy.</w:t>
      </w:r>
    </w:p>
    <w:p w:rsidR="00A942C9" w:rsidRPr="001B44F4" w:rsidP="1E751CD2">
      <w:pPr>
        <w:spacing w:before="100" w:beforeAutospacing="1" w:after="100" w:afterAutospacing="1" w:line="240" w:lineRule="auto"/>
        <w:rPr>
          <w:rFonts w:ascii="Arial" w:eastAsia="Times New Roman" w:hAnsi="Arial" w:cs="Arial"/>
          <w:b/>
          <w:bCs/>
          <w:kern w:val="0"/>
          <w:lang w:eastAsia="en-GB"/>
        </w:rPr>
      </w:pPr>
      <w:r>
        <w:rPr>
          <w:rFonts w:ascii="Arial" w:eastAsia="Times New Roman" w:hAnsi="Arial" w:cs="Arial"/>
          <w:b/>
          <w:bCs/>
          <w:kern w:val="0"/>
          <w:lang w:eastAsia="en-GB"/>
        </w:rPr>
        <w:t>Section</w:t>
      </w:r>
      <w:r w:rsidRPr="004C549E">
        <w:rPr>
          <w:rFonts w:ascii="Arial" w:eastAsia="Times New Roman" w:hAnsi="Arial" w:cs="Arial"/>
          <w:b/>
          <w:bCs/>
          <w:kern w:val="0"/>
          <w:lang w:eastAsia="en-GB"/>
        </w:rPr>
        <w:t xml:space="preserve"> 4: Recovery from COVID-19</w:t>
      </w:r>
    </w:p>
    <w:p w:rsidR="00A942C9" w:rsidRPr="004C549E" w:rsidP="1E751CD2">
      <w:pPr>
        <w:spacing w:before="240" w:after="240" w:line="240" w:lineRule="auto"/>
        <w:jc w:val="both"/>
        <w:rPr>
          <w:rFonts w:ascii="Arial" w:eastAsia="Arial" w:hAnsi="Arial" w:cs="Arial"/>
        </w:rPr>
      </w:pPr>
      <w:r w:rsidRPr="004C549E">
        <w:rPr>
          <w:rFonts w:ascii="Arial" w:eastAsia="Arial" w:hAnsi="Arial" w:cs="Arial"/>
        </w:rPr>
        <w:t>While the visitor economy has recovered significantly since the COVID-19 pandemic, recovery across the cultural and tourism sectors remains uneven and organisations continue to face substantial operational and financial pressures. National Galleries Scotland welcomed a record 2.7 million visitors in 2018</w:t>
      </w:r>
      <w:r>
        <w:rPr>
          <w:rFonts w:ascii="Arial" w:eastAsia="Arial" w:hAnsi="Arial" w:cs="Arial"/>
        </w:rPr>
        <w:t>-</w:t>
      </w:r>
      <w:r w:rsidRPr="004C549E">
        <w:rPr>
          <w:rFonts w:ascii="Arial" w:eastAsia="Arial" w:hAnsi="Arial" w:cs="Arial"/>
        </w:rPr>
        <w:t>19 prior to the pandemic. During the height of COVID</w:t>
      </w:r>
      <w:r>
        <w:rPr>
          <w:rFonts w:ascii="Arial" w:eastAsia="Arial" w:hAnsi="Arial" w:cs="Arial"/>
        </w:rPr>
        <w:t>-</w:t>
      </w:r>
      <w:r w:rsidRPr="004C549E">
        <w:rPr>
          <w:rFonts w:ascii="Arial" w:eastAsia="Arial" w:hAnsi="Arial" w:cs="Arial"/>
        </w:rPr>
        <w:t>19 disruption, visitor numbers fell dramatically from 2.36 million visitors in 2019 to 116,765 visitors in 2020</w:t>
      </w:r>
      <w:r>
        <w:rPr>
          <w:rFonts w:ascii="Arial" w:eastAsia="Arial" w:hAnsi="Arial" w:cs="Arial"/>
        </w:rPr>
        <w:t>-</w:t>
      </w:r>
      <w:r w:rsidRPr="004C549E">
        <w:rPr>
          <w:rFonts w:ascii="Arial" w:eastAsia="Arial" w:hAnsi="Arial" w:cs="Arial"/>
        </w:rPr>
        <w:t>21 due to prolonged closures and restrictions. Recovery has since been gradual, with visitor numbers increasing to 780,275 in 2021</w:t>
      </w:r>
      <w:r>
        <w:rPr>
          <w:rFonts w:ascii="Arial" w:eastAsia="Arial" w:hAnsi="Arial" w:cs="Arial"/>
        </w:rPr>
        <w:t>-</w:t>
      </w:r>
      <w:r w:rsidRPr="004C549E">
        <w:rPr>
          <w:rFonts w:ascii="Arial" w:eastAsia="Arial" w:hAnsi="Arial" w:cs="Arial"/>
        </w:rPr>
        <w:t>22, 1.96 million in 2022</w:t>
      </w:r>
      <w:r>
        <w:rPr>
          <w:rFonts w:ascii="Arial" w:eastAsia="Arial" w:hAnsi="Arial" w:cs="Arial"/>
        </w:rPr>
        <w:t>-</w:t>
      </w:r>
      <w:r w:rsidRPr="004C549E">
        <w:rPr>
          <w:rFonts w:ascii="Arial" w:eastAsia="Arial" w:hAnsi="Arial" w:cs="Arial"/>
        </w:rPr>
        <w:t>23 and 2.55 million in 2023</w:t>
      </w:r>
      <w:r>
        <w:rPr>
          <w:rFonts w:ascii="Arial" w:eastAsia="Arial" w:hAnsi="Arial" w:cs="Arial"/>
        </w:rPr>
        <w:t>-</w:t>
      </w:r>
      <w:r w:rsidRPr="004C549E">
        <w:rPr>
          <w:rFonts w:ascii="Arial" w:eastAsia="Arial" w:hAnsi="Arial" w:cs="Arial"/>
        </w:rPr>
        <w:t xml:space="preserve">24. </w:t>
      </w:r>
    </w:p>
    <w:p w:rsidR="00A942C9" w:rsidRPr="004C549E" w:rsidP="1E751CD2">
      <w:pPr>
        <w:spacing w:before="240" w:after="240" w:line="240" w:lineRule="auto"/>
        <w:jc w:val="both"/>
        <w:rPr>
          <w:rFonts w:ascii="Arial" w:eastAsia="Arial" w:hAnsi="Arial" w:cs="Arial"/>
        </w:rPr>
      </w:pPr>
      <w:r w:rsidRPr="004C549E">
        <w:rPr>
          <w:rFonts w:ascii="Arial" w:eastAsia="Arial" w:hAnsi="Arial" w:cs="Arial"/>
        </w:rPr>
        <w:t xml:space="preserve">The pandemic also fundamentally changed visitor behaviour and audience expectations. Cultural organisations have had to diversify their offer through enhanced digital engagement, wider learning and community programmes, more flexible visitor experiences and stronger commercial activity in order to remain resilient and maintain audience engagement. During periods of closure, digital engagement became increasingly important in maintaining public access to collections and cultural activity. </w:t>
      </w:r>
      <w:r w:rsidRPr="004C549E">
        <w:rPr>
          <w:rFonts w:ascii="Arial" w:eastAsia="Arial" w:hAnsi="Arial" w:cs="Arial"/>
        </w:rPr>
        <w:t>However, this diversification requires continued investment and long-term funding certainty at a time when organisations continue to face inflationary pressures, increased operating costs and constrained public funding.</w:t>
      </w:r>
    </w:p>
    <w:p w:rsidR="00A942C9" w:rsidRPr="004C549E" w:rsidP="1E751CD2">
      <w:pPr>
        <w:spacing w:before="240" w:after="240" w:line="240" w:lineRule="auto"/>
        <w:jc w:val="both"/>
        <w:rPr>
          <w:rFonts w:ascii="Arial" w:eastAsia="Arial" w:hAnsi="Arial" w:cs="Arial"/>
          <w:kern w:val="0"/>
        </w:rPr>
      </w:pPr>
      <w:r w:rsidRPr="004C549E">
        <w:rPr>
          <w:rFonts w:ascii="Arial" w:eastAsia="Arial" w:hAnsi="Arial" w:cs="Arial"/>
        </w:rPr>
        <w:t>Recent independent analysis found that National Galleries Scotland generated £253.3 million GVA for the Scottish economy in 2024/25 and supported approximately 6,750 jobs, demonstrating the continuing economic importance of cultural institutions within the wider visitor economy. The research also highlighted the growing importance of wellbeing, accessibility and community engagement within the post</w:t>
      </w:r>
      <w:r>
        <w:rPr>
          <w:rFonts w:ascii="Arial" w:eastAsia="Arial" w:hAnsi="Arial" w:cs="Arial"/>
        </w:rPr>
        <w:t>-</w:t>
      </w:r>
      <w:r w:rsidRPr="004C549E">
        <w:rPr>
          <w:rFonts w:ascii="Arial" w:eastAsia="Arial" w:hAnsi="Arial" w:cs="Arial"/>
        </w:rPr>
        <w:t>pandemic environment, reflecting the increasingly important role cultural institutions play not only in tourism and economic growth, but also in supporting health, wellbeing, education and social cohesion.</w:t>
      </w:r>
    </w:p>
    <w:p w:rsidR="00A942C9" w:rsidRPr="001B44F4" w:rsidP="001B44F4">
      <w:pPr>
        <w:spacing w:before="100" w:beforeAutospacing="1" w:after="100" w:afterAutospacing="1" w:line="240" w:lineRule="auto"/>
        <w:rPr>
          <w:rFonts w:ascii="Arial" w:eastAsia="Times New Roman" w:hAnsi="Arial" w:cs="Arial"/>
          <w:b/>
          <w:bCs/>
          <w:kern w:val="0"/>
          <w:lang w:eastAsia="en-GB"/>
        </w:rPr>
      </w:pPr>
      <w:r>
        <w:rPr>
          <w:rFonts w:ascii="Arial" w:eastAsia="Times New Roman" w:hAnsi="Arial" w:cs="Arial"/>
          <w:b/>
          <w:bCs/>
          <w:kern w:val="0"/>
          <w:lang w:eastAsia="en-GB"/>
        </w:rPr>
        <w:t>Section</w:t>
      </w:r>
      <w:r w:rsidRPr="004C549E">
        <w:rPr>
          <w:rFonts w:ascii="Arial" w:eastAsia="Times New Roman" w:hAnsi="Arial" w:cs="Arial"/>
          <w:b/>
          <w:bCs/>
          <w:kern w:val="0"/>
          <w:lang w:eastAsia="en-GB"/>
        </w:rPr>
        <w:t xml:space="preserve"> 5: Domestic tourism</w:t>
      </w:r>
    </w:p>
    <w:p w:rsidR="00A942C9" w:rsidRPr="004C549E" w:rsidP="1E751CD2">
      <w:pPr>
        <w:spacing w:before="240" w:after="240" w:line="240" w:lineRule="auto"/>
        <w:jc w:val="both"/>
        <w:rPr>
          <w:rFonts w:ascii="Arial" w:eastAsia="Arial" w:hAnsi="Arial" w:cs="Arial"/>
        </w:rPr>
      </w:pPr>
      <w:r w:rsidRPr="004C549E">
        <w:rPr>
          <w:rFonts w:ascii="Arial" w:eastAsia="Arial" w:hAnsi="Arial" w:cs="Arial"/>
        </w:rPr>
        <w:t>Domestic tourism continues to play a vital role within the wider UK visitor economy, particularly during periods when international tourism recovery remains uneven. Cultural institutions, museums, galleries and heritage attractions are important drivers of domestic visits and repeat visitation, supporting local economies, hospitality, retail and transport networks across the UK. Free access to national collections remains a significant strength in supporting affordable and accessible domestic tourism, parti</w:t>
      </w:r>
      <w:r w:rsidRPr="004C549E">
        <w:rPr>
          <w:rFonts w:ascii="Arial" w:eastAsia="Arial" w:hAnsi="Arial" w:cs="Arial"/>
        </w:rPr>
        <w:t>cularly during periods of wider economic pressure and cost</w:t>
      </w:r>
      <w:r>
        <w:rPr>
          <w:rFonts w:ascii="Arial" w:eastAsia="Arial" w:hAnsi="Arial" w:cs="Arial"/>
        </w:rPr>
        <w:t xml:space="preserve"> </w:t>
      </w:r>
      <w:r w:rsidRPr="004C549E">
        <w:rPr>
          <w:rFonts w:ascii="Arial" w:eastAsia="Arial" w:hAnsi="Arial" w:cs="Arial"/>
        </w:rPr>
        <w:t>of</w:t>
      </w:r>
      <w:r>
        <w:rPr>
          <w:rFonts w:ascii="Arial" w:eastAsia="Arial" w:hAnsi="Arial" w:cs="Arial"/>
        </w:rPr>
        <w:t xml:space="preserve"> </w:t>
      </w:r>
      <w:r w:rsidRPr="004C549E">
        <w:rPr>
          <w:rFonts w:ascii="Arial" w:eastAsia="Arial" w:hAnsi="Arial" w:cs="Arial"/>
        </w:rPr>
        <w:t>living challenges.</w:t>
      </w:r>
    </w:p>
    <w:p w:rsidR="00A942C9" w:rsidRPr="004C549E" w:rsidP="1E751CD2">
      <w:pPr>
        <w:spacing w:before="240" w:after="240" w:line="240" w:lineRule="auto"/>
        <w:jc w:val="both"/>
        <w:rPr>
          <w:rFonts w:ascii="Arial" w:eastAsia="Arial" w:hAnsi="Arial" w:cs="Arial"/>
        </w:rPr>
      </w:pPr>
      <w:r w:rsidRPr="004C549E">
        <w:rPr>
          <w:rFonts w:ascii="Arial" w:eastAsia="Arial" w:hAnsi="Arial" w:cs="Arial"/>
        </w:rPr>
        <w:t>The pandemic altered domestic visitor behaviour, with audiences increasingly seeking flexible, experience</w:t>
      </w:r>
      <w:r>
        <w:rPr>
          <w:rFonts w:ascii="Arial" w:eastAsia="Arial" w:hAnsi="Arial" w:cs="Arial"/>
        </w:rPr>
        <w:t xml:space="preserve"> </w:t>
      </w:r>
      <w:r w:rsidRPr="004C549E">
        <w:rPr>
          <w:rFonts w:ascii="Arial" w:eastAsia="Arial" w:hAnsi="Arial" w:cs="Arial"/>
        </w:rPr>
        <w:t>led and place</w:t>
      </w:r>
      <w:r>
        <w:rPr>
          <w:rFonts w:ascii="Arial" w:eastAsia="Arial" w:hAnsi="Arial" w:cs="Arial"/>
        </w:rPr>
        <w:t xml:space="preserve"> </w:t>
      </w:r>
      <w:r w:rsidRPr="004C549E">
        <w:rPr>
          <w:rFonts w:ascii="Arial" w:eastAsia="Arial" w:hAnsi="Arial" w:cs="Arial"/>
        </w:rPr>
        <w:t>based visits that combine culture, heritage, food, landscape and events. There is also growing demand for year</w:t>
      </w:r>
      <w:r>
        <w:rPr>
          <w:rFonts w:ascii="Arial" w:eastAsia="Arial" w:hAnsi="Arial" w:cs="Arial"/>
        </w:rPr>
        <w:t xml:space="preserve"> </w:t>
      </w:r>
      <w:r w:rsidRPr="004C549E">
        <w:rPr>
          <w:rFonts w:ascii="Arial" w:eastAsia="Arial" w:hAnsi="Arial" w:cs="Arial"/>
        </w:rPr>
        <w:t>round activity rather than purely seasonal tourism. Cultural programming, major exhibitions, festivals, learning activity and community engagement can all play an important role in supporting regional visitation throughout the year and encouraging visitors to explore destinations beyond traditional tourism hotspots.</w:t>
      </w:r>
    </w:p>
    <w:p w:rsidR="00A942C9" w:rsidRPr="004C549E" w:rsidP="1E751CD2">
      <w:pPr>
        <w:spacing w:before="240" w:after="240" w:line="240" w:lineRule="auto"/>
        <w:jc w:val="both"/>
        <w:rPr>
          <w:rFonts w:ascii="Arial" w:eastAsia="Arial" w:hAnsi="Arial" w:cs="Arial"/>
          <w:kern w:val="0"/>
        </w:rPr>
      </w:pPr>
      <w:r w:rsidRPr="004C549E">
        <w:rPr>
          <w:rFonts w:ascii="Arial" w:eastAsia="Arial" w:hAnsi="Arial" w:cs="Arial"/>
        </w:rPr>
        <w:t>However, domestic tourism businesses and cultural organisations continue to face significant challenges arising from inflation, rising energy and workforce costs, transport affordability and constrained public funding. Continued investment in cultural infrastructure, transport connectivity, accessibility and regional destination promotion will be essential to maintaining competitiveness and supporting sustainable growth across the domestic tourism sector. Stronger collaboration between cultural organisation</w:t>
      </w:r>
      <w:r w:rsidRPr="004C549E">
        <w:rPr>
          <w:rFonts w:ascii="Arial" w:eastAsia="Arial" w:hAnsi="Arial" w:cs="Arial"/>
        </w:rPr>
        <w:t>s, tourism bodies and local authorities could also help maximise the economic and social benefits of domestic tourism while encouraging wider participation and repeat visitation.</w:t>
      </w:r>
    </w:p>
    <w:p w:rsidR="00A942C9" w:rsidRPr="001B44F4" w:rsidP="001B44F4">
      <w:pPr>
        <w:spacing w:before="100" w:beforeAutospacing="1" w:after="100" w:afterAutospacing="1" w:line="240" w:lineRule="auto"/>
        <w:rPr>
          <w:rFonts w:ascii="Arial" w:hAnsi="Arial" w:cs="Arial"/>
          <w:b/>
          <w:bCs/>
        </w:rPr>
      </w:pPr>
      <w:r>
        <w:rPr>
          <w:rFonts w:ascii="Arial" w:eastAsia="Times New Roman" w:hAnsi="Arial" w:cs="Arial"/>
          <w:b/>
          <w:bCs/>
          <w:kern w:val="0"/>
          <w:lang w:eastAsia="en-GB"/>
        </w:rPr>
        <w:t>Section</w:t>
      </w:r>
      <w:r w:rsidRPr="004C549E">
        <w:rPr>
          <w:rFonts w:ascii="Arial" w:eastAsia="Times New Roman" w:hAnsi="Arial" w:cs="Arial"/>
          <w:b/>
          <w:bCs/>
          <w:kern w:val="0"/>
          <w:lang w:eastAsia="en-GB"/>
        </w:rPr>
        <w:t xml:space="preserve"> 6: Regional growth and community impact</w:t>
      </w:r>
    </w:p>
    <w:p w:rsidR="00A942C9" w:rsidRPr="004C549E" w:rsidP="1E751CD2">
      <w:pPr>
        <w:spacing w:before="240" w:after="240"/>
        <w:jc w:val="both"/>
        <w:rPr>
          <w:rFonts w:ascii="Arial" w:eastAsia="Arial" w:hAnsi="Arial" w:cs="Arial"/>
        </w:rPr>
      </w:pPr>
      <w:r w:rsidRPr="004C549E">
        <w:rPr>
          <w:rFonts w:ascii="Arial" w:eastAsia="Arial" w:hAnsi="Arial" w:cs="Arial"/>
        </w:rPr>
        <w:t xml:space="preserve">Tourism can play a significant role in supporting regional growth, community prosperity and wider Government objectives when cultural institutions are recognised as long-term civic and economic assets. Museums, galleries and heritage organisations act as anchor institutions within communities, supporting employment, skills development, education, wellbeing, local supply chains and place-making. Investment in culture can </w:t>
      </w:r>
      <w:r w:rsidRPr="004C549E">
        <w:rPr>
          <w:rFonts w:ascii="Arial" w:eastAsia="Arial" w:hAnsi="Arial" w:cs="Arial"/>
        </w:rPr>
        <w:t>also help strengthen civic identity and increase the attractiveness of regions as places to live, work, study and visit.</w:t>
      </w:r>
    </w:p>
    <w:p w:rsidR="00A942C9" w:rsidRPr="004C549E" w:rsidP="1E751CD2">
      <w:pPr>
        <w:spacing w:before="240" w:after="240"/>
        <w:jc w:val="both"/>
        <w:rPr>
          <w:rFonts w:ascii="Arial" w:eastAsia="Arial" w:hAnsi="Arial" w:cs="Arial"/>
        </w:rPr>
      </w:pPr>
      <w:r w:rsidRPr="004C549E">
        <w:rPr>
          <w:rFonts w:ascii="Arial" w:eastAsia="Arial" w:hAnsi="Arial" w:cs="Arial"/>
        </w:rPr>
        <w:t>There remains significant opportunity to better connect tourism growth with community benefit through sustained investment in cultural infrastructure, transport connectivity, digital access and local partnership working. National Galleries Scotland’s Art Works project in North Edinburgh is an example of how major cultural investment can deliver wider social and economic value beyond tourism alone. Alongside improving collections care, sustainability and international lending capability, the project is inten</w:t>
      </w:r>
      <w:r w:rsidRPr="004C549E">
        <w:rPr>
          <w:rFonts w:ascii="Arial" w:eastAsia="Arial" w:hAnsi="Arial" w:cs="Arial"/>
        </w:rPr>
        <w:t>ded to support regeneration within the Granton Waterfront area, create opportunities for learning, skills development and community engagement, and improve public access to Scotland’s national collection. Projects of this nature demonstrate how cultural infrastructure can contribute to wider Government priorities including economic regeneration, environmental sustainability, education, inclusion and community wellbeing.</w:t>
      </w:r>
    </w:p>
    <w:p w:rsidR="00A942C9" w:rsidRPr="004C549E" w:rsidP="004C549E">
      <w:pPr>
        <w:spacing w:before="240" w:after="240"/>
        <w:jc w:val="both"/>
        <w:rPr>
          <w:rFonts w:ascii="Arial" w:eastAsia="Arial" w:hAnsi="Arial" w:cs="Arial"/>
        </w:rPr>
      </w:pPr>
      <w:r w:rsidRPr="004C549E">
        <w:rPr>
          <w:rFonts w:ascii="Arial" w:eastAsia="Arial" w:hAnsi="Arial" w:cs="Arial"/>
        </w:rPr>
        <w:t xml:space="preserve">Regional and rural areas across the UK also possess significant untapped cultural and heritage potential. However, barriers including transport connectivity, uneven infrastructure investment, limited digital access and funding pressures can restrict their ability to fully capitalise on tourism demand. Greater collaboration between cultural institutions, local authorities, tourism bodies and communities could help develop more sustainable regional visitor economies while ensuring the benefits of tourism are </w:t>
      </w:r>
      <w:r w:rsidRPr="004C549E">
        <w:rPr>
          <w:rFonts w:ascii="Arial" w:eastAsia="Arial" w:hAnsi="Arial" w:cs="Arial"/>
        </w:rPr>
        <w:t>more widely shared.</w:t>
      </w:r>
    </w:p>
    <w:p w:rsidR="00A942C9" w:rsidRPr="001B44F4" w:rsidP="001B44F4">
      <w:pPr>
        <w:spacing w:before="100" w:beforeAutospacing="1" w:after="100" w:afterAutospacing="1" w:line="240" w:lineRule="auto"/>
        <w:rPr>
          <w:rFonts w:ascii="Arial" w:eastAsia="Times New Roman" w:hAnsi="Arial" w:cs="Arial"/>
          <w:b/>
          <w:bCs/>
          <w:kern w:val="0"/>
          <w:lang w:eastAsia="en-GB"/>
        </w:rPr>
      </w:pPr>
      <w:r>
        <w:rPr>
          <w:rFonts w:ascii="Arial" w:eastAsia="Times New Roman" w:hAnsi="Arial" w:cs="Arial"/>
          <w:b/>
          <w:bCs/>
          <w:kern w:val="0"/>
          <w:lang w:eastAsia="en-GB"/>
        </w:rPr>
        <w:t>Section</w:t>
      </w:r>
      <w:r w:rsidRPr="004C549E">
        <w:rPr>
          <w:rFonts w:ascii="Arial" w:eastAsia="Times New Roman" w:hAnsi="Arial" w:cs="Arial"/>
          <w:b/>
          <w:bCs/>
          <w:kern w:val="0"/>
          <w:lang w:eastAsia="en-GB"/>
        </w:rPr>
        <w:t xml:space="preserve"> 7: Cultural heritage and creative assets</w:t>
      </w:r>
    </w:p>
    <w:p w:rsidR="00A942C9" w:rsidRPr="004C549E" w:rsidP="1E751CD2">
      <w:pPr>
        <w:spacing w:before="240" w:after="240" w:line="240" w:lineRule="auto"/>
        <w:jc w:val="both"/>
        <w:rPr>
          <w:rFonts w:ascii="Arial" w:eastAsia="Arial" w:hAnsi="Arial" w:cs="Arial"/>
        </w:rPr>
      </w:pPr>
      <w:r w:rsidRPr="004C549E">
        <w:rPr>
          <w:rFonts w:ascii="Arial" w:eastAsia="Arial" w:hAnsi="Arial" w:cs="Arial"/>
        </w:rPr>
        <w:t>The UK’s cultural heritage and creative assets are among its strongest international tourism drivers and represent a significant competitive advantage within the global visitor economy. National collections, museums, galleries, heritage sites, festivals and creative industries provide authentic experiences that attract domestic and international visitors while also contributing to the UK’s international reputation, soft power and economic growth. Cultural tourism should therefore be recognised as a strategi</w:t>
      </w:r>
      <w:r w:rsidRPr="004C549E">
        <w:rPr>
          <w:rFonts w:ascii="Arial" w:eastAsia="Arial" w:hAnsi="Arial" w:cs="Arial"/>
        </w:rPr>
        <w:t>c national asset rather than solely a leisure or hospitality activity.</w:t>
      </w:r>
    </w:p>
    <w:p w:rsidR="00A942C9" w:rsidRPr="004C549E" w:rsidP="1E751CD2">
      <w:pPr>
        <w:spacing w:before="240" w:after="240" w:line="240" w:lineRule="auto"/>
        <w:jc w:val="both"/>
        <w:rPr>
          <w:rFonts w:ascii="Arial" w:eastAsia="Arial" w:hAnsi="Arial" w:cs="Arial"/>
        </w:rPr>
      </w:pPr>
      <w:r w:rsidRPr="004C549E">
        <w:rPr>
          <w:rFonts w:ascii="Arial" w:eastAsia="Arial" w:hAnsi="Arial" w:cs="Arial"/>
        </w:rPr>
        <w:t>National cultural institutions also operate as part of a wider interconnected cultural ecosystem. Visitors engaging with one cultural attraction are highly likely to engage with other parts of the visitor economy, including hospitality, retail, transport, events and regional attractions. Investment in culture therefore creates wider economic and social benefits beyond individual organisations. Stronger collaboration between cultural institutions, tourism agencies, local authorities and Governments across th</w:t>
      </w:r>
      <w:r w:rsidRPr="004C549E">
        <w:rPr>
          <w:rFonts w:ascii="Arial" w:eastAsia="Arial" w:hAnsi="Arial" w:cs="Arial"/>
        </w:rPr>
        <w:t>e UK could help maximise the impact of cultural tourism through coordinated promotion, touring activity and destination development.</w:t>
      </w:r>
    </w:p>
    <w:p w:rsidR="00A942C9" w:rsidRPr="004C549E" w:rsidP="1E751CD2">
      <w:pPr>
        <w:spacing w:before="240" w:after="240" w:line="240" w:lineRule="auto"/>
        <w:jc w:val="both"/>
        <w:rPr>
          <w:rFonts w:ascii="Arial" w:eastAsia="Arial" w:hAnsi="Arial" w:cs="Arial"/>
        </w:rPr>
      </w:pPr>
      <w:r w:rsidRPr="004C549E">
        <w:rPr>
          <w:rFonts w:ascii="Arial" w:eastAsia="Arial" w:hAnsi="Arial" w:cs="Arial"/>
        </w:rPr>
        <w:t xml:space="preserve">There is significant opportunity to further maximise the value of cultural heritage and creative assets through continued investment in collections care, conservation, accessibility, digital innovation and touring capability. National Galleries Scotland’s Art Works project will act as a strategic enabler for increased global cultural exchange by </w:t>
      </w:r>
      <w:r w:rsidRPr="004C549E">
        <w:rPr>
          <w:rFonts w:ascii="Arial" w:eastAsia="Arial" w:hAnsi="Arial" w:cs="Arial"/>
        </w:rPr>
        <w:t>improving conservation capability, collections access and international lending capacity. This will support greater opportunities for touring exhibitions, international partnerships and audience engagement while strengthening Scotland and the UK’s global cultural profile.</w:t>
      </w:r>
    </w:p>
    <w:p w:rsidR="00A942C9" w:rsidRPr="004C549E" w:rsidP="004C549E">
      <w:pPr>
        <w:spacing w:before="240" w:after="240" w:line="240" w:lineRule="auto"/>
        <w:jc w:val="both"/>
        <w:rPr>
          <w:rFonts w:ascii="Arial" w:eastAsia="Arial" w:hAnsi="Arial" w:cs="Arial"/>
        </w:rPr>
      </w:pPr>
      <w:r w:rsidRPr="004C549E">
        <w:rPr>
          <w:rFonts w:ascii="Arial" w:eastAsia="Arial" w:hAnsi="Arial" w:cs="Arial"/>
        </w:rPr>
        <w:t>The continued provision of free access to national collections also remains one of the UK’s greatest cultural tourism strengths, widening participation and supporting accessibility for domestic and international audiences alike. Long-term investment in cultural infrastructure, workforce skills and international partnerships will be essential to ensuring that the UK’s heritage and creative sectors continue to thrive and contribute to tourism growth, regional prosperity and international reputation in the fut</w:t>
      </w:r>
      <w:r w:rsidRPr="004C549E">
        <w:rPr>
          <w:rFonts w:ascii="Arial" w:eastAsia="Arial" w:hAnsi="Arial" w:cs="Arial"/>
        </w:rPr>
        <w:t>ure.</w:t>
      </w:r>
    </w:p>
    <w:p w:rsidR="00A942C9" w:rsidRPr="001B44F4" w:rsidP="1E751CD2">
      <w:pPr>
        <w:spacing w:before="100" w:beforeAutospacing="1" w:after="100" w:afterAutospacing="1" w:line="240" w:lineRule="auto"/>
        <w:rPr>
          <w:rFonts w:ascii="Arial" w:hAnsi="Arial" w:cs="Arial"/>
          <w:b/>
          <w:bCs/>
        </w:rPr>
      </w:pPr>
      <w:r>
        <w:rPr>
          <w:rFonts w:ascii="Arial" w:eastAsia="Times New Roman" w:hAnsi="Arial" w:cs="Arial"/>
          <w:b/>
          <w:bCs/>
          <w:kern w:val="0"/>
          <w:lang w:eastAsia="en-GB"/>
        </w:rPr>
        <w:t>Section</w:t>
      </w:r>
      <w:r w:rsidRPr="004C549E">
        <w:rPr>
          <w:rFonts w:ascii="Arial" w:eastAsia="Times New Roman" w:hAnsi="Arial" w:cs="Arial"/>
          <w:b/>
          <w:bCs/>
          <w:kern w:val="0"/>
          <w:lang w:eastAsia="en-GB"/>
        </w:rPr>
        <w:t xml:space="preserve"> 8: Tourism workforce</w:t>
      </w:r>
    </w:p>
    <w:p w:rsidR="00A942C9" w:rsidRPr="004C549E" w:rsidP="1E751CD2">
      <w:pPr>
        <w:spacing w:before="240" w:after="240" w:line="240" w:lineRule="auto"/>
        <w:jc w:val="both"/>
        <w:rPr>
          <w:rFonts w:ascii="Arial" w:eastAsia="Arial" w:hAnsi="Arial" w:cs="Arial"/>
        </w:rPr>
      </w:pPr>
      <w:r w:rsidRPr="004C549E">
        <w:rPr>
          <w:rFonts w:ascii="Arial" w:eastAsia="Arial" w:hAnsi="Arial" w:cs="Arial"/>
        </w:rPr>
        <w:t>The tourism and cultural sectors continue to face significant workforce challenges which impact long-term resilience, visitor experience and sector growth. These challenges include recruitment and retention difficulties, rising employment costs, specialist skills shortages and increasing pressure on organisations operating within constrained financial environments. Cultural institutions in particular rely on a wide range of specialist skills, including conservation, collections management, curatorial expert</w:t>
      </w:r>
      <w:r w:rsidRPr="004C549E">
        <w:rPr>
          <w:rFonts w:ascii="Arial" w:eastAsia="Arial" w:hAnsi="Arial" w:cs="Arial"/>
        </w:rPr>
        <w:t>ise, visitor experience, digital engagement, security, estates management and learning and outreach. Maintaining these skills is essential to protecting the quality, accessibility and international reputation of the UK’s cultural offer.</w:t>
      </w:r>
    </w:p>
    <w:p w:rsidR="00A942C9" w:rsidRPr="004C549E" w:rsidP="1E751CD2">
      <w:pPr>
        <w:spacing w:before="240" w:after="240" w:line="240" w:lineRule="auto"/>
        <w:jc w:val="both"/>
        <w:rPr>
          <w:rFonts w:ascii="Arial" w:eastAsia="Arial" w:hAnsi="Arial" w:cs="Arial"/>
        </w:rPr>
      </w:pPr>
      <w:r w:rsidRPr="004C549E">
        <w:rPr>
          <w:rFonts w:ascii="Arial" w:eastAsia="Arial" w:hAnsi="Arial" w:cs="Arial"/>
        </w:rPr>
        <w:t>The COVID</w:t>
      </w:r>
      <w:r>
        <w:rPr>
          <w:rFonts w:ascii="Arial" w:eastAsia="Arial" w:hAnsi="Arial" w:cs="Arial"/>
        </w:rPr>
        <w:t>-</w:t>
      </w:r>
      <w:r w:rsidRPr="004C549E">
        <w:rPr>
          <w:rFonts w:ascii="Arial" w:eastAsia="Arial" w:hAnsi="Arial" w:cs="Arial"/>
        </w:rPr>
        <w:t>19 pandemic placed significant operational pressure on cultural organisations, with staff adapting rapidly to new ways of working, digital delivery models, operational restrictions and changing visitor expectations. As recovery has progressed, many organisations have continued to face workforce pressures linked to increased workloads, recruitment challenges and wider financial constraints. During the pandemic period, National Galleries Scotland staff supported the continuation of essential operations, digi</w:t>
      </w:r>
      <w:r w:rsidRPr="004C549E">
        <w:rPr>
          <w:rFonts w:ascii="Arial" w:eastAsia="Arial" w:hAnsi="Arial" w:cs="Arial"/>
        </w:rPr>
        <w:t xml:space="preserve">tal engagement activity and public access initiatives despite prolonged closures and major disruption to normal operating models. </w:t>
      </w:r>
    </w:p>
    <w:p w:rsidR="00A942C9" w:rsidRPr="00500C72" w:rsidP="00500C72">
      <w:pPr>
        <w:spacing w:before="240" w:after="240" w:line="240" w:lineRule="auto"/>
        <w:jc w:val="both"/>
        <w:rPr>
          <w:rFonts w:ascii="Arial" w:eastAsia="Arial" w:hAnsi="Arial" w:cs="Arial"/>
        </w:rPr>
      </w:pPr>
      <w:r w:rsidRPr="004C549E">
        <w:rPr>
          <w:rFonts w:ascii="Arial" w:eastAsia="Arial" w:hAnsi="Arial" w:cs="Arial"/>
        </w:rPr>
        <w:t>Independent economic analysis commissioned by National Galleries Scotland highlighted the critical importance of workforce investment to sustaining high</w:t>
      </w:r>
      <w:r>
        <w:rPr>
          <w:rFonts w:ascii="Arial" w:eastAsia="Arial" w:hAnsi="Arial" w:cs="Arial"/>
        </w:rPr>
        <w:t>-</w:t>
      </w:r>
      <w:r w:rsidRPr="004C549E">
        <w:rPr>
          <w:rFonts w:ascii="Arial" w:eastAsia="Arial" w:hAnsi="Arial" w:cs="Arial"/>
        </w:rPr>
        <w:t>quality visitor experiences, learning programmes, international partnerships and collections care. The research identified that people provide the expertise, operational delivery and specialist knowledge that underpin the wider tourism, economic and wellbeing impact of cultural institutions. Workforce resilience will therefore require sustained investment in skills development, apprenticeships, leadership pathways and professional development opportunities across the tourism and cultural sectors.</w:t>
      </w:r>
    </w:p>
    <w:p w:rsidR="00A942C9" w:rsidRPr="004C549E" w:rsidP="1E751CD2">
      <w:pPr>
        <w:spacing w:before="100" w:beforeAutospacing="1" w:after="100" w:afterAutospacing="1" w:line="240" w:lineRule="auto"/>
        <w:jc w:val="both"/>
        <w:rPr>
          <w:rFonts w:ascii="Arial" w:eastAsia="Times New Roman" w:hAnsi="Arial" w:cs="Arial"/>
          <w:b/>
          <w:bCs/>
          <w:kern w:val="0"/>
          <w:lang w:eastAsia="en-GB"/>
        </w:rPr>
      </w:pPr>
      <w:r w:rsidRPr="004C549E">
        <w:rPr>
          <w:rFonts w:ascii="Arial" w:eastAsia="Times New Roman" w:hAnsi="Arial" w:cs="Arial"/>
          <w:b/>
          <w:bCs/>
          <w:lang w:eastAsia="en-GB"/>
        </w:rPr>
        <w:t xml:space="preserve">Emerging Key Messages </w:t>
      </w:r>
    </w:p>
    <w:p w:rsidR="00A942C9" w:rsidRPr="004C549E" w:rsidP="1E751CD2">
      <w:pPr>
        <w:pStyle w:val="ListParagraph"/>
        <w:numPr>
          <w:ilvl w:val="0"/>
          <w:numId w:val="1"/>
        </w:numPr>
        <w:spacing w:before="100" w:beforeAutospacing="1" w:after="100" w:afterAutospacing="1" w:line="240" w:lineRule="auto"/>
        <w:jc w:val="both"/>
        <w:rPr>
          <w:rFonts w:ascii="Arial" w:eastAsia="Times New Roman" w:hAnsi="Arial" w:cs="Arial"/>
          <w:lang w:eastAsia="en-GB"/>
        </w:rPr>
      </w:pPr>
      <w:r w:rsidRPr="004C549E">
        <w:rPr>
          <w:rFonts w:ascii="Arial" w:eastAsia="Times New Roman" w:hAnsi="Arial" w:cs="Arial"/>
          <w:lang w:eastAsia="en-GB"/>
        </w:rPr>
        <w:t xml:space="preserve">Culture and heritage should be recognised as core economic and tourism infrastructure, rather than solely discretionary cultural spending.  </w:t>
      </w:r>
    </w:p>
    <w:p w:rsidR="00A942C9" w:rsidRPr="004C549E" w:rsidP="1E751CD2">
      <w:pPr>
        <w:pStyle w:val="ListParagraph"/>
        <w:numPr>
          <w:ilvl w:val="0"/>
          <w:numId w:val="1"/>
        </w:numPr>
        <w:spacing w:before="100" w:beforeAutospacing="1" w:after="100" w:afterAutospacing="1" w:line="240" w:lineRule="auto"/>
        <w:jc w:val="both"/>
        <w:rPr>
          <w:rFonts w:ascii="Arial" w:eastAsia="Times New Roman" w:hAnsi="Arial" w:cs="Arial"/>
          <w:lang w:eastAsia="en-GB"/>
        </w:rPr>
      </w:pPr>
      <w:r w:rsidRPr="004C549E">
        <w:rPr>
          <w:rFonts w:ascii="Arial" w:eastAsia="Times New Roman" w:hAnsi="Arial" w:cs="Arial"/>
          <w:lang w:eastAsia="en-GB"/>
        </w:rPr>
        <w:t xml:space="preserve">National cultural institutions make a significant contribution to the UK’s international soft power, global reputation and attractiveness as a visitor destination.  </w:t>
      </w:r>
    </w:p>
    <w:p w:rsidR="00A942C9" w:rsidRPr="004C549E" w:rsidP="1E751CD2">
      <w:pPr>
        <w:pStyle w:val="ListParagraph"/>
        <w:numPr>
          <w:ilvl w:val="0"/>
          <w:numId w:val="1"/>
        </w:numPr>
        <w:spacing w:before="100" w:beforeAutospacing="1" w:after="100" w:afterAutospacing="1" w:line="240" w:lineRule="auto"/>
        <w:jc w:val="both"/>
        <w:rPr>
          <w:rFonts w:ascii="Arial" w:eastAsia="Times New Roman" w:hAnsi="Arial" w:cs="Arial"/>
          <w:lang w:eastAsia="en-GB"/>
        </w:rPr>
      </w:pPr>
      <w:r w:rsidRPr="004C549E">
        <w:rPr>
          <w:rFonts w:ascii="Arial" w:eastAsia="Times New Roman" w:hAnsi="Arial" w:cs="Arial"/>
          <w:lang w:eastAsia="en-GB"/>
        </w:rPr>
        <w:t xml:space="preserve">Free access to national collections remains one of the UK’s strongest cultural tourism assets and supports accessibility, inclusion and repeat visitation.  </w:t>
      </w:r>
    </w:p>
    <w:p w:rsidR="00A942C9" w:rsidRPr="004C549E" w:rsidP="1E751CD2">
      <w:pPr>
        <w:pStyle w:val="ListParagraph"/>
        <w:numPr>
          <w:ilvl w:val="0"/>
          <w:numId w:val="1"/>
        </w:numPr>
        <w:spacing w:before="100" w:beforeAutospacing="1" w:after="100" w:afterAutospacing="1" w:line="240" w:lineRule="auto"/>
        <w:jc w:val="both"/>
        <w:rPr>
          <w:rFonts w:ascii="Arial" w:eastAsia="Times New Roman" w:hAnsi="Arial" w:cs="Arial"/>
          <w:lang w:eastAsia="en-GB"/>
        </w:rPr>
      </w:pPr>
      <w:r w:rsidRPr="004C549E">
        <w:rPr>
          <w:rFonts w:ascii="Arial" w:eastAsia="Times New Roman" w:hAnsi="Arial" w:cs="Arial"/>
          <w:lang w:eastAsia="en-GB"/>
        </w:rPr>
        <w:t xml:space="preserve">Cultural tourism operates as an interconnected ecosystem, with museums, galleries, heritage sites, festivals, hospitality, retail and transport networks collectively contributing to economic growth and visitor experience.  </w:t>
      </w:r>
    </w:p>
    <w:p w:rsidR="00A942C9" w:rsidRPr="004C549E" w:rsidP="1E751CD2">
      <w:pPr>
        <w:pStyle w:val="ListParagraph"/>
        <w:numPr>
          <w:ilvl w:val="0"/>
          <w:numId w:val="1"/>
        </w:numPr>
        <w:spacing w:before="100" w:beforeAutospacing="1" w:after="100" w:afterAutospacing="1" w:line="240" w:lineRule="auto"/>
        <w:jc w:val="both"/>
        <w:rPr>
          <w:rFonts w:ascii="Arial" w:eastAsia="Times New Roman" w:hAnsi="Arial" w:cs="Arial"/>
          <w:lang w:eastAsia="en-GB"/>
        </w:rPr>
      </w:pPr>
      <w:r w:rsidRPr="004C549E">
        <w:rPr>
          <w:rFonts w:ascii="Arial" w:eastAsia="Times New Roman" w:hAnsi="Arial" w:cs="Arial"/>
          <w:lang w:eastAsia="en-GB"/>
        </w:rPr>
        <w:t xml:space="preserve">International visitors are increasingly seeking authentic, place-based experiences which combine culture, heritage, food, events and landscape.  </w:t>
      </w:r>
    </w:p>
    <w:p w:rsidR="00A942C9" w:rsidRPr="004C549E" w:rsidP="1E751CD2">
      <w:pPr>
        <w:pStyle w:val="ListParagraph"/>
        <w:numPr>
          <w:ilvl w:val="0"/>
          <w:numId w:val="1"/>
        </w:numPr>
        <w:spacing w:before="100" w:beforeAutospacing="1" w:after="100" w:afterAutospacing="1" w:line="240" w:lineRule="auto"/>
        <w:jc w:val="both"/>
        <w:rPr>
          <w:rFonts w:ascii="Arial" w:eastAsia="Times New Roman" w:hAnsi="Arial" w:cs="Arial"/>
          <w:lang w:eastAsia="en-GB"/>
        </w:rPr>
      </w:pPr>
      <w:r w:rsidRPr="004C549E">
        <w:rPr>
          <w:rFonts w:ascii="Arial" w:eastAsia="Times New Roman" w:hAnsi="Arial" w:cs="Arial"/>
          <w:lang w:eastAsia="en-GB"/>
        </w:rPr>
        <w:t xml:space="preserve">Long-term investment in cultural infrastructure, workforce skills, digital capability and sustainability is essential to maintaining the UK’s international competitiveness.  </w:t>
      </w:r>
    </w:p>
    <w:p w:rsidR="00A942C9" w:rsidRPr="004C549E" w:rsidP="1E751CD2">
      <w:pPr>
        <w:pStyle w:val="ListParagraph"/>
        <w:numPr>
          <w:ilvl w:val="0"/>
          <w:numId w:val="1"/>
        </w:numPr>
        <w:spacing w:before="100" w:beforeAutospacing="1" w:after="100" w:afterAutospacing="1" w:line="240" w:lineRule="auto"/>
        <w:jc w:val="both"/>
        <w:rPr>
          <w:rFonts w:ascii="Arial" w:eastAsia="Times New Roman" w:hAnsi="Arial" w:cs="Arial"/>
          <w:lang w:eastAsia="en-GB"/>
        </w:rPr>
      </w:pPr>
      <w:r w:rsidRPr="004C549E">
        <w:rPr>
          <w:rFonts w:ascii="Arial" w:eastAsia="Times New Roman" w:hAnsi="Arial" w:cs="Arial"/>
          <w:lang w:eastAsia="en-GB"/>
        </w:rPr>
        <w:t xml:space="preserve">National Galleries Scotland’s Art Works project demonstrates how strategic cultural investment can support regeneration, improve public access, strengthen sustainability and increase opportunities for international cultural exchange and touring.  </w:t>
      </w:r>
    </w:p>
    <w:p w:rsidR="00A942C9" w:rsidRPr="004C549E" w:rsidP="1E751CD2">
      <w:pPr>
        <w:pStyle w:val="ListParagraph"/>
        <w:numPr>
          <w:ilvl w:val="0"/>
          <w:numId w:val="1"/>
        </w:numPr>
        <w:spacing w:before="100" w:beforeAutospacing="1" w:after="100" w:afterAutospacing="1" w:line="240" w:lineRule="auto"/>
        <w:jc w:val="both"/>
        <w:rPr>
          <w:rFonts w:ascii="Arial" w:eastAsia="Times New Roman" w:hAnsi="Arial" w:cs="Arial"/>
          <w:lang w:eastAsia="en-GB"/>
        </w:rPr>
      </w:pPr>
      <w:r w:rsidRPr="004C549E">
        <w:rPr>
          <w:rFonts w:ascii="Arial" w:eastAsia="Times New Roman" w:hAnsi="Arial" w:cs="Arial"/>
          <w:lang w:eastAsia="en-GB"/>
        </w:rPr>
        <w:t xml:space="preserve">Recovery from COVID-19 has been significant but remains uneven, with many organisations continuing to face financial, operational and workforce pressures.  </w:t>
      </w:r>
    </w:p>
    <w:p w:rsidR="00A942C9" w:rsidRPr="004C549E" w:rsidP="1E751CD2">
      <w:pPr>
        <w:pStyle w:val="ListParagraph"/>
        <w:numPr>
          <w:ilvl w:val="0"/>
          <w:numId w:val="1"/>
        </w:numPr>
        <w:spacing w:before="100" w:beforeAutospacing="1" w:after="100" w:afterAutospacing="1" w:line="240" w:lineRule="auto"/>
        <w:jc w:val="both"/>
        <w:rPr>
          <w:rFonts w:ascii="Arial" w:eastAsia="Times New Roman" w:hAnsi="Arial" w:cs="Arial"/>
          <w:lang w:eastAsia="en-GB"/>
        </w:rPr>
      </w:pPr>
      <w:r w:rsidRPr="004C549E">
        <w:rPr>
          <w:rFonts w:ascii="Arial" w:eastAsia="Times New Roman" w:hAnsi="Arial" w:cs="Arial"/>
          <w:lang w:eastAsia="en-GB"/>
        </w:rPr>
        <w:t xml:space="preserve">Regional cultural investment can support community prosperity, education, wellbeing, local identity and wider Government priorities including economic growth and net zero ambitions.  </w:t>
      </w:r>
    </w:p>
    <w:p w:rsidR="00A942C9" w:rsidRPr="004C549E" w:rsidP="1E751CD2">
      <w:pPr>
        <w:pStyle w:val="ListParagraph"/>
        <w:numPr>
          <w:ilvl w:val="0"/>
          <w:numId w:val="1"/>
        </w:numPr>
        <w:spacing w:before="100" w:beforeAutospacing="1" w:after="100" w:afterAutospacing="1" w:line="240" w:lineRule="auto"/>
        <w:jc w:val="both"/>
        <w:rPr>
          <w:rFonts w:ascii="Arial" w:eastAsia="Times New Roman" w:hAnsi="Arial" w:cs="Arial"/>
          <w:lang w:eastAsia="en-GB"/>
        </w:rPr>
      </w:pPr>
      <w:r w:rsidRPr="004C549E">
        <w:rPr>
          <w:rFonts w:ascii="Arial" w:eastAsia="Times New Roman" w:hAnsi="Arial" w:cs="Arial"/>
          <w:lang w:eastAsia="en-GB"/>
        </w:rPr>
        <w:t xml:space="preserve">Stronger collaboration between UK Government, devolved governments, cultural institutions and tourism agencies could strengthen international promotion and improve visitor dispersal across the UK.  </w:t>
      </w:r>
    </w:p>
    <w:p w:rsidR="00A942C9" w:rsidRPr="004C549E" w:rsidP="1E751CD2">
      <w:pPr>
        <w:pStyle w:val="ListParagraph"/>
        <w:numPr>
          <w:ilvl w:val="0"/>
          <w:numId w:val="1"/>
        </w:numPr>
        <w:spacing w:before="100" w:beforeAutospacing="1" w:after="100" w:afterAutospacing="1" w:line="240" w:lineRule="auto"/>
        <w:jc w:val="both"/>
        <w:rPr>
          <w:rFonts w:ascii="Arial" w:eastAsia="Times New Roman" w:hAnsi="Arial" w:cs="Arial"/>
          <w:lang w:eastAsia="en-GB"/>
        </w:rPr>
      </w:pPr>
      <w:r w:rsidRPr="004C549E">
        <w:rPr>
          <w:rFonts w:ascii="Arial" w:eastAsia="Times New Roman" w:hAnsi="Arial" w:cs="Arial"/>
          <w:lang w:eastAsia="en-GB"/>
        </w:rPr>
        <w:t xml:space="preserve">If visitor levies are introduced, there should be clear transparency and accountability regarding how revenues are reinvested into the visitor economy, including cultural infrastructure, accessibility, transport connectivity and destination management.  </w:t>
      </w:r>
    </w:p>
    <w:p w:rsidR="00A942C9" w:rsidRPr="004C549E" w:rsidP="1E751CD2">
      <w:pPr>
        <w:pStyle w:val="ListParagraph"/>
        <w:numPr>
          <w:ilvl w:val="0"/>
          <w:numId w:val="1"/>
        </w:numPr>
        <w:spacing w:before="100" w:beforeAutospacing="1" w:after="100" w:afterAutospacing="1" w:line="240" w:lineRule="auto"/>
        <w:jc w:val="both"/>
        <w:rPr>
          <w:rFonts w:ascii="Arial" w:eastAsia="Times New Roman" w:hAnsi="Arial" w:cs="Arial"/>
          <w:lang w:eastAsia="en-GB"/>
        </w:rPr>
      </w:pPr>
      <w:r w:rsidRPr="004C549E">
        <w:rPr>
          <w:rFonts w:ascii="Arial" w:eastAsia="Times New Roman" w:hAnsi="Arial" w:cs="Arial"/>
          <w:lang w:eastAsia="en-GB"/>
        </w:rPr>
        <w:t xml:space="preserve">Workforce resilience remains a key challenge across the tourism and cultural sectors, requiring continued investment in specialist skills, leadership development, apprenticeships and international collaboration. </w:t>
      </w:r>
    </w:p>
    <w:p w:rsidR="00A942C9" w:rsidRPr="004C549E" w:rsidP="1E751CD2">
      <w:pPr>
        <w:spacing w:before="100" w:beforeAutospacing="1" w:after="100" w:afterAutospacing="1" w:line="240" w:lineRule="auto"/>
        <w:jc w:val="both"/>
        <w:rPr>
          <w:rFonts w:ascii="Arial" w:eastAsia="Times New Roman" w:hAnsi="Arial" w:cs="Arial"/>
          <w:kern w:val="0"/>
          <w:lang w:eastAsia="en-GB"/>
        </w:rPr>
      </w:pPr>
    </w:p>
    <w:p w:rsidR="00A942C9" w:rsidRPr="004C549E" w:rsidP="1E751CD2">
      <w:pPr>
        <w:jc w:val="both"/>
        <w:rPr>
          <w:rFonts w:ascii="Arial" w:hAnsi="Arial" w:cs="Arial"/>
        </w:rPr>
      </w:pPr>
    </w:p>
    <w:sectPr>
      <w:footerReference w:type="even" r:id="rId7"/>
      <w:footerReference w:type="default" r:id="rId8"/>
      <w:footerReference w:type="first" r:id="rI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42C9">
    <w:pPr>
      <w:pStyle w:val="Footer"/>
    </w:pPr>
    <w:r>
      <w:rPr>
        <w:noProof/>
      </w:rPr>
      <w:pict>
        <v:shapetype id="_x0000_t202" coordsize="21600,21600" o:spt="202" path="m,l,21600r21600,l21600,xe">
          <v:stroke joinstyle="miter"/>
          <v:path gradientshapeok="t" o:connecttype="rect"/>
        </v:shapetype>
        <v:shape id="Text Box 1" o:spid="_x0000_s2049" type="#_x0000_t202" alt="This content has been marked as Restricted – Compliance by National Galleries of Scotland. It contains special categories of personal data or is considered highly confidential." style="height:43.3pt;margin-left:0;margin-top:0;mso-height-percent:0;mso-height-relative:page;mso-position-horizontal:center;mso-position-horizontal-relative:page;mso-position-vertical:bottom;mso-position-vertical-relative:page;mso-width-percent:0;mso-width-relative:page;mso-wrap-distance-bottom:0;mso-wrap-distance-left:0;mso-wrap-distance-right:0;mso-wrap-distance-top:0;mso-wrap-style:none;position:absolute;v-text-anchor:bottom;visibility:visible;width:451.3pt;z-index:251659264" filled="f" stroked="f">
          <v:textbox style="mso-fit-shape-to-text:t" inset="0,0,0,15pt">
            <w:txbxContent>
              <w:p w:rsidR="00A942C9" w:rsidRPr="00192E3F" w:rsidP="00192E3F">
                <w:pPr>
                  <w:spacing w:after="0"/>
                  <w:rPr>
                    <w:rFonts w:ascii="Aptos" w:eastAsia="Aptos" w:hAnsi="Aptos" w:cs="Aptos"/>
                    <w:noProof/>
                    <w:color w:val="000000"/>
                    <w:sz w:val="20"/>
                    <w:szCs w:val="20"/>
                  </w:rPr>
                </w:pPr>
                <w:r w:rsidRPr="00192E3F">
                  <w:rPr>
                    <w:rFonts w:ascii="Aptos" w:eastAsia="Aptos" w:hAnsi="Aptos" w:cs="Aptos"/>
                    <w:noProof/>
                    <w:color w:val="000000"/>
                    <w:sz w:val="20"/>
                    <w:szCs w:val="20"/>
                  </w:rPr>
                  <w:t>This content has been marked as Restricted – Compliance by National Galleries of Scotland. It contains special categories of personal data or is considered highly confidential.</w:t>
                </w:r>
              </w:p>
            </w:txbxContent>
          </v:textbox>
          <w10:wrap anchorx="page" anchory="pag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42C9">
    <w:pPr>
      <w:pStyle w:val="Footer"/>
    </w:pPr>
    <w:r>
      <w:rPr>
        <w:noProof/>
      </w:rPr>
      <w:pict>
        <v:shapetype id="_x0000_t202" coordsize="21600,21600" o:spt="202" path="m,l,21600r21600,l21600,xe">
          <v:stroke joinstyle="miter"/>
          <v:path gradientshapeok="t" o:connecttype="rect"/>
        </v:shapetype>
        <v:shape id="Text Box 2" o:spid="_x0000_s2050" type="#_x0000_t202" alt="This content has been marked as Restricted – Compliance by National Galleries of Scotland. It contains special categories of personal data or is considered highly confidential." style="height:43.3pt;margin-left:0;margin-top:0;mso-height-percent:0;mso-height-relative:page;mso-position-horizontal:center;mso-position-horizontal-relative:page;mso-position-vertical:bottom;mso-position-vertical-relative:page;mso-width-percent:0;mso-width-relative:page;mso-wrap-distance-bottom:0;mso-wrap-distance-left:0;mso-wrap-distance-right:0;mso-wrap-distance-top:0;mso-wrap-style:none;position:absolute;v-text-anchor:bottom;visibility:visible;width:451.3pt;z-index:251660288" filled="f" stroked="f">
          <v:textbox style="mso-fit-shape-to-text:t" inset="0,0,0,15pt">
            <w:txbxContent>
              <w:p w:rsidR="00A942C9" w:rsidRPr="00192E3F" w:rsidP="00B05AB2">
                <w:pPr>
                  <w:spacing w:after="0"/>
                  <w:jc w:val="center"/>
                  <w:rPr>
                    <w:rFonts w:ascii="Aptos" w:eastAsia="Aptos" w:hAnsi="Aptos" w:cs="Aptos"/>
                    <w:noProof/>
                    <w:color w:val="000000"/>
                    <w:sz w:val="20"/>
                    <w:szCs w:val="20"/>
                  </w:rPr>
                </w:pPr>
              </w:p>
            </w:txbxContent>
          </v:textbox>
          <w10:wrap anchorx="page" anchory="page"/>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42C9">
    <w:pPr>
      <w:pStyle w:val="Footer"/>
    </w:pPr>
    <w:r>
      <w:rPr>
        <w:noProof/>
      </w:rPr>
      <w:pict>
        <v:shapetype id="_x0000_t202" coordsize="21600,21600" o:spt="202" path="m,l,21600r21600,l21600,xe">
          <v:stroke joinstyle="miter"/>
          <v:path gradientshapeok="t" o:connecttype="rect"/>
        </v:shapetype>
        <v:shape id="Text Box 3" o:spid="_x0000_s2051" type="#_x0000_t202" alt="This content has been marked as Restricted – Compliance by National Galleries of Scotland. It contains special categories of personal data or is considered highly confidential." style="height:43.3pt;margin-left:0;margin-top:0;mso-height-percent:0;mso-height-relative:page;mso-position-horizontal:center;mso-position-horizontal-relative:page;mso-position-vertical:bottom;mso-position-vertical-relative:page;mso-width-percent:0;mso-width-relative:page;mso-wrap-distance-bottom:0;mso-wrap-distance-left:0;mso-wrap-distance-right:0;mso-wrap-distance-top:0;mso-wrap-style:none;position:absolute;v-text-anchor:bottom;visibility:visible;width:451.3pt;z-index:251658240" filled="f" stroked="f">
          <v:textbox style="mso-fit-shape-to-text:t" inset="0,0,0,15pt">
            <w:txbxContent>
              <w:p w:rsidR="00A942C9" w:rsidRPr="00192E3F" w:rsidP="00192E3F">
                <w:pPr>
                  <w:spacing w:after="0"/>
                  <w:rPr>
                    <w:rFonts w:ascii="Aptos" w:eastAsia="Aptos" w:hAnsi="Aptos" w:cs="Aptos"/>
                    <w:noProof/>
                    <w:color w:val="000000"/>
                    <w:sz w:val="20"/>
                    <w:szCs w:val="20"/>
                  </w:rPr>
                </w:pPr>
                <w:r w:rsidRPr="00192E3F">
                  <w:rPr>
                    <w:rFonts w:ascii="Aptos" w:eastAsia="Aptos" w:hAnsi="Aptos" w:cs="Aptos"/>
                    <w:noProof/>
                    <w:color w:val="000000"/>
                    <w:sz w:val="20"/>
                    <w:szCs w:val="20"/>
                  </w:rPr>
                  <w:t>This content has been marked as Restricted – Compliance by National Galleries of Scotland. It contains special categories of personal data or is considered highly confidential.</w:t>
                </w:r>
              </w:p>
            </w:txbxContent>
          </v:textbox>
          <w10:wrap anchorx="page" anchory="page"/>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B57465"/>
    <w:multiLevelType w:val="hybridMultilevel"/>
    <w:tmpl w:val="8AD47F8E"/>
    <w:lvl w:ilvl="0">
      <w:start w:val="1"/>
      <w:numFmt w:val="bullet"/>
      <w:lvlText w:val="-"/>
      <w:lvlJc w:val="left"/>
      <w:pPr>
        <w:ind w:left="720" w:hanging="360"/>
      </w:pPr>
      <w:rPr>
        <w:rFonts w:ascii="Aptos" w:hAnsi="Apto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nsid w:val="05B307F9"/>
    <w:multiLevelType w:val="hybridMultilevel"/>
    <w:tmpl w:val="6E24C4C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nsid w:val="081B185B"/>
    <w:multiLevelType w:val="multilevel"/>
    <w:tmpl w:val="03A41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243084"/>
    <w:multiLevelType w:val="multilevel"/>
    <w:tmpl w:val="C66EE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77764A2"/>
    <w:multiLevelType w:val="multilevel"/>
    <w:tmpl w:val="23B09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5802B78"/>
    <w:multiLevelType w:val="multilevel"/>
    <w:tmpl w:val="CED2E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6072B11"/>
    <w:multiLevelType w:val="multilevel"/>
    <w:tmpl w:val="B8D07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E056376"/>
    <w:multiLevelType w:val="multilevel"/>
    <w:tmpl w:val="FDB24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E0E3DE8"/>
    <w:multiLevelType w:val="multilevel"/>
    <w:tmpl w:val="70388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4"/>
  </w:num>
  <w:num w:numId="4">
    <w:abstractNumId w:val="2"/>
  </w:num>
  <w:num w:numId="5">
    <w:abstractNumId w:val="5"/>
  </w:num>
  <w:num w:numId="6">
    <w:abstractNumId w:val="3"/>
  </w:num>
  <w:num w:numId="7">
    <w:abstractNumId w:val="6"/>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192E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2E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2E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2E3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2E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2E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2E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2E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2E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2E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2E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2E3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2E3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2E3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2E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2E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2E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2E3F"/>
    <w:rPr>
      <w:rFonts w:eastAsiaTheme="majorEastAsia" w:cstheme="majorBidi"/>
      <w:color w:val="272727" w:themeColor="text1" w:themeTint="D8"/>
    </w:rPr>
  </w:style>
  <w:style w:type="paragraph" w:styleId="Title">
    <w:name w:val="Title"/>
    <w:basedOn w:val="Normal"/>
    <w:next w:val="Normal"/>
    <w:link w:val="TitleChar"/>
    <w:uiPriority w:val="10"/>
    <w:qFormat/>
    <w:rsid w:val="00192E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2E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2E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2E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2E3F"/>
    <w:pPr>
      <w:spacing w:before="160"/>
      <w:jc w:val="center"/>
    </w:pPr>
    <w:rPr>
      <w:i/>
      <w:iCs/>
      <w:color w:val="404040" w:themeColor="text1" w:themeTint="BF"/>
    </w:rPr>
  </w:style>
  <w:style w:type="character" w:customStyle="1" w:styleId="QuoteChar">
    <w:name w:val="Quote Char"/>
    <w:basedOn w:val="DefaultParagraphFont"/>
    <w:link w:val="Quote"/>
    <w:uiPriority w:val="29"/>
    <w:rsid w:val="00192E3F"/>
    <w:rPr>
      <w:i/>
      <w:iCs/>
      <w:color w:val="404040" w:themeColor="text1" w:themeTint="BF"/>
    </w:rPr>
  </w:style>
  <w:style w:type="paragraph" w:styleId="ListParagraph">
    <w:name w:val="List Paragraph"/>
    <w:basedOn w:val="Normal"/>
    <w:uiPriority w:val="34"/>
    <w:qFormat/>
    <w:rsid w:val="00192E3F"/>
    <w:pPr>
      <w:ind w:left="720"/>
      <w:contextualSpacing/>
    </w:pPr>
  </w:style>
  <w:style w:type="character" w:styleId="IntenseEmphasis">
    <w:name w:val="Intense Emphasis"/>
    <w:basedOn w:val="DefaultParagraphFont"/>
    <w:uiPriority w:val="21"/>
    <w:qFormat/>
    <w:rsid w:val="00192E3F"/>
    <w:rPr>
      <w:i/>
      <w:iCs/>
      <w:color w:val="0F4761" w:themeColor="accent1" w:themeShade="BF"/>
    </w:rPr>
  </w:style>
  <w:style w:type="paragraph" w:styleId="IntenseQuote">
    <w:name w:val="Intense Quote"/>
    <w:basedOn w:val="Normal"/>
    <w:next w:val="Normal"/>
    <w:link w:val="IntenseQuoteChar"/>
    <w:uiPriority w:val="30"/>
    <w:qFormat/>
    <w:rsid w:val="00192E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2E3F"/>
    <w:rPr>
      <w:i/>
      <w:iCs/>
      <w:color w:val="0F4761" w:themeColor="accent1" w:themeShade="BF"/>
    </w:rPr>
  </w:style>
  <w:style w:type="character" w:styleId="IntenseReference">
    <w:name w:val="Intense Reference"/>
    <w:basedOn w:val="DefaultParagraphFont"/>
    <w:uiPriority w:val="32"/>
    <w:qFormat/>
    <w:rsid w:val="00192E3F"/>
    <w:rPr>
      <w:b/>
      <w:bCs/>
      <w:smallCaps/>
      <w:color w:val="0F4761" w:themeColor="accent1" w:themeShade="BF"/>
      <w:spacing w:val="5"/>
    </w:rPr>
  </w:style>
  <w:style w:type="paragraph" w:styleId="Header">
    <w:name w:val="header"/>
    <w:basedOn w:val="Normal"/>
    <w:link w:val="HeaderChar"/>
    <w:uiPriority w:val="99"/>
    <w:unhideWhenUsed/>
    <w:rsid w:val="00192E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2E3F"/>
  </w:style>
  <w:style w:type="paragraph" w:styleId="Footer">
    <w:name w:val="footer"/>
    <w:basedOn w:val="Normal"/>
    <w:link w:val="FooterChar"/>
    <w:uiPriority w:val="99"/>
    <w:unhideWhenUsed/>
    <w:rsid w:val="00192E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2E3F"/>
  </w:style>
  <w:style w:type="paragraph" w:styleId="NormalWeb">
    <w:name w:val="Normal (Web)"/>
    <w:basedOn w:val="Normal"/>
    <w:uiPriority w:val="99"/>
    <w:semiHidden/>
    <w:unhideWhenUsed/>
    <w:rsid w:val="00D67621"/>
    <w:pPr>
      <w:spacing w:after="0" w:line="240" w:lineRule="auto"/>
    </w:pPr>
    <w:rPr>
      <w:rFonts w:ascii="Aptos" w:hAnsi="Aptos" w:cs="Aptos"/>
      <w:kern w:val="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D3BC5C9C7F3DD4A99D1A992795CEB71" ma:contentTypeVersion="27" ma:contentTypeDescription="Create a new document." ma:contentTypeScope="" ma:versionID="08a673120a617b5eb5b6aaf06103abaf">
  <xsd:schema xmlns:xsd="http://www.w3.org/2001/XMLSchema" xmlns:xs="http://www.w3.org/2001/XMLSchema" xmlns:p="http://schemas.microsoft.com/office/2006/metadata/properties" xmlns:ns1="http://schemas.microsoft.com/sharepoint/v3" xmlns:ns2="cecadd58-02c8-4654-8954-3fac3164560f" xmlns:ns3="e195acdd-7d0a-4fb4-a4c2-522d02c18298" xmlns:ns4="99bec7e7-7668-40da-a19e-a1d9b017562d" targetNamespace="http://schemas.microsoft.com/office/2006/metadata/properties" ma:root="true" ma:fieldsID="904f7e907ce8ecb758a65405661fc4dc" ns1:_="" ns2:_="" ns3:_="" ns4:_="">
    <xsd:import namespace="http://schemas.microsoft.com/sharepoint/v3"/>
    <xsd:import namespace="cecadd58-02c8-4654-8954-3fac3164560f"/>
    <xsd:import namespace="e195acdd-7d0a-4fb4-a4c2-522d02c18298"/>
    <xsd:import namespace="99bec7e7-7668-40da-a19e-a1d9b017562d"/>
    <xsd:element name="properties">
      <xsd:complexType>
        <xsd:sequence>
          <xsd:element name="documentManagement">
            <xsd:complexType>
              <xsd:all>
                <xsd:element ref="ns2:Meeting_x0020_Date" minOccurs="0"/>
                <xsd:element ref="ns2:h065345d7a6c44c48a026e29d9fcd25b" minOccurs="0"/>
                <xsd:element ref="ns3:TaxCatchAll" minOccurs="0"/>
                <xsd:element ref="ns2:ob67e8be95004d68ac71f1293ededc5f" minOccurs="0"/>
                <xsd:element ref="ns2:MediaServiceMetadata" minOccurs="0"/>
                <xsd:element ref="ns2:MediaServiceFastMetadata" minOccurs="0"/>
                <xsd:element ref="ns2:MediaServiceAutoKeyPoints" minOccurs="0"/>
                <xsd:element ref="ns2:MediaServiceKeyPoints" minOccurs="0"/>
                <xsd:element ref="ns4:SharedWithUsers" minOccurs="0"/>
                <xsd:element ref="ns4:SharedWithDetails" minOccurs="0"/>
                <xsd:element ref="ns2:DocumentDate" minOccurs="0"/>
                <xsd:element ref="ns2:SharedMinute"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ecadd58-02c8-4654-8954-3fac3164560f" elementFormDefault="qualified">
    <xsd:import namespace="http://schemas.microsoft.com/office/2006/documentManagement/types"/>
    <xsd:import namespace="http://schemas.microsoft.com/office/infopath/2007/PartnerControls"/>
    <xsd:element name="Meeting_x0020_Date" ma:index="8" nillable="true" ma:displayName="Meeting Date" ma:default="[today]" ma:format="DateOnly" ma:internalName="Meeting_x0020_Date">
      <xsd:simpleType>
        <xsd:restriction base="dms:DateTime"/>
      </xsd:simpleType>
    </xsd:element>
    <xsd:element name="h065345d7a6c44c48a026e29d9fcd25b" ma:index="10" nillable="true" ma:taxonomy="true" ma:internalName="h065345d7a6c44c48a026e29d9fcd25b" ma:taxonomyFieldName="Document_x0020_Type" ma:displayName="Document Type" ma:default="" ma:fieldId="{1065345d-7a6c-44c4-8a02-6e29d9fcd25b}" ma:sspId="f65218ac-fcb2-43c4-ade4-58ff26f2aa26" ma:termSetId="4d2cc385-19f8-4513-808d-b5816ba1b349" ma:anchorId="00000000-0000-0000-0000-000000000000" ma:open="false" ma:isKeyword="false">
      <xsd:complexType>
        <xsd:sequence>
          <xsd:element ref="pc:Terms" minOccurs="0" maxOccurs="1"/>
        </xsd:sequence>
      </xsd:complexType>
    </xsd:element>
    <xsd:element name="ob67e8be95004d68ac71f1293ededc5f" ma:index="13" nillable="true" ma:taxonomy="true" ma:internalName="ob67e8be95004d68ac71f1293ededc5f" ma:taxonomyFieldName="Document_x0020_Owner" ma:displayName="Document Owner" ma:default="" ma:fieldId="{8b67e8be-9500-4d68-ac71-f1293ededc5f}" ma:taxonomyMulti="true" ma:sspId="f65218ac-fcb2-43c4-ade4-58ff26f2aa26" ma:termSetId="5f6e9201-437a-4232-ad86-f5d944478dc6" ma:anchorId="00000000-0000-0000-0000-000000000000" ma:open="fals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DocumentDate" ma:index="20" nillable="true" ma:displayName="Document Date" ma:default="[today]" ma:format="DateOnly" ma:internalName="DocumentDate">
      <xsd:simpleType>
        <xsd:restriction base="dms:DateTime"/>
      </xsd:simpleType>
    </xsd:element>
    <xsd:element name="SharedMinute" ma:index="21" nillable="true" ma:displayName="Shared Minute" ma:default="0" ma:description="Minutes for sharing on the Intranet" ma:format="Dropdown" ma:internalName="SharedMinute">
      <xsd:simpleType>
        <xsd:restriction base="dms:Boolea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DateTaken" ma:index="27" nillable="true" ma:displayName="MediaServiceDateTaken" ma:hidden="true" ma:indexed="true" ma:internalName="MediaServiceDateTake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f65218ac-fcb2-43c4-ade4-58ff26f2aa26" ma:termSetId="09814cd3-568e-fe90-9814-8d621ff8fb84" ma:anchorId="fba54fb3-c3e1-fe81-a776-ca4b69148c4d" ma:open="true" ma:isKeyword="false">
      <xsd:complexType>
        <xsd:sequence>
          <xsd:element ref="pc:Terms" minOccurs="0" maxOccurs="1"/>
        </xsd:sequence>
      </xsd:complexType>
    </xsd:element>
    <xsd:element name="MediaServiceGenerationTime" ma:index="30" nillable="true" ma:displayName="MediaServiceGenerationTime" ma:hidden="true" ma:internalName="MediaServiceGenerationTime" ma:readOnly="true">
      <xsd:simpleType>
        <xsd:restriction base="dms:Text"/>
      </xsd:simpleType>
    </xsd:element>
    <xsd:element name="MediaServiceEventHashCode" ma:index="3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95acdd-7d0a-4fb4-a4c2-522d02c18298"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663148a7-8dfa-4349-a568-ec0e20b41282}" ma:internalName="TaxCatchAll" ma:showField="CatchAllData" ma:web="99bec7e7-7668-40da-a19e-a1d9b017562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9bec7e7-7668-40da-a19e-a1d9b017562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Minute xmlns="cecadd58-02c8-4654-8954-3fac3164560f">false</SharedMinute>
    <_ip_UnifiedCompliancePolicyUIAction xmlns="http://schemas.microsoft.com/sharepoint/v3" xsi:nil="true"/>
    <lcf76f155ced4ddcb4097134ff3c332f xmlns="cecadd58-02c8-4654-8954-3fac3164560f">
      <Terms xmlns="http://schemas.microsoft.com/office/infopath/2007/PartnerControls"/>
    </lcf76f155ced4ddcb4097134ff3c332f>
    <h065345d7a6c44c48a026e29d9fcd25b xmlns="cecadd58-02c8-4654-8954-3fac3164560f">
      <Terms xmlns="http://schemas.microsoft.com/office/infopath/2007/PartnerControls"/>
    </h065345d7a6c44c48a026e29d9fcd25b>
    <ob67e8be95004d68ac71f1293ededc5f xmlns="cecadd58-02c8-4654-8954-3fac3164560f">
      <Terms xmlns="http://schemas.microsoft.com/office/infopath/2007/PartnerControls"/>
    </ob67e8be95004d68ac71f1293ededc5f>
    <_ip_UnifiedCompliancePolicyProperties xmlns="http://schemas.microsoft.com/sharepoint/v3" xsi:nil="true"/>
    <TaxCatchAll xmlns="e195acdd-7d0a-4fb4-a4c2-522d02c18298" xsi:nil="true"/>
    <DocumentDate xmlns="cecadd58-02c8-4654-8954-3fac3164560f">2026-04-27T11:27:48+00:00</DocumentDate>
    <Meeting_x0020_Date xmlns="cecadd58-02c8-4654-8954-3fac3164560f">2026-04-27T11:27:48+00:00</Meeting_x0020_Date>
  </documentManagement>
</p:properties>
</file>

<file path=customXml/itemProps1.xml><?xml version="1.0" encoding="utf-8"?>
<ds:datastoreItem xmlns:ds="http://schemas.openxmlformats.org/officeDocument/2006/customXml" ds:itemID="{5A03AF03-DD00-4CEF-A0E1-FAF8A54AB5A0}">
  <ds:schemaRefs>
    <ds:schemaRef ds:uri="http://schemas.microsoft.com/sharepoint/v3/contenttype/forms"/>
  </ds:schemaRefs>
</ds:datastoreItem>
</file>

<file path=customXml/itemProps2.xml><?xml version="1.0" encoding="utf-8"?>
<ds:datastoreItem xmlns:ds="http://schemas.openxmlformats.org/officeDocument/2006/customXml" ds:itemID="{CE9279A3-2EA1-4EA0-9860-D6D050E145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ecadd58-02c8-4654-8954-3fac3164560f"/>
    <ds:schemaRef ds:uri="e195acdd-7d0a-4fb4-a4c2-522d02c18298"/>
    <ds:schemaRef ds:uri="99bec7e7-7668-40da-a19e-a1d9b01756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129CE96-4676-4B1C-9297-2FFEEFDF7E09}">
  <ds:schemaRefs>
    <ds:schemaRef ds:uri="http://schemas.microsoft.com/office/2006/metadata/properties"/>
    <ds:schemaRef ds:uri="http://schemas.microsoft.com/office/infopath/2007/PartnerControls"/>
    <ds:schemaRef ds:uri="cecadd58-02c8-4654-8954-3fac3164560f"/>
    <ds:schemaRef ds:uri="http://schemas.microsoft.com/sharepoint/v3"/>
    <ds:schemaRef ds:uri="e195acdd-7d0a-4fb4-a4c2-522d02c18298"/>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TOU0052</dc:title>
  <cp:revision>0</cp:revision>
</cp:coreProperties>
</file>