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6A5D" w:rsidRPr="0062300A" w:rsidP="0062300A">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62300A">
        <w:rPr>
          <w:rFonts w:ascii="Calibri" w:hAnsi="Calibri" w:cs="Calibri"/>
          <w:sz w:val="28"/>
          <w:szCs w:val="28"/>
        </w:rPr>
        <w:t>Trip.com</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A2265D" w:rsidP="00A2265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A2265D">
        <w:rPr>
          <w:rFonts w:ascii="Times New Roman" w:eastAsia="Times New Roman" w:hAnsi="Times New Roman" w:cs="Times New Roman"/>
          <w:color w:val="000000"/>
          <w:kern w:val="0"/>
          <w:lang w:eastAsia="en-GB"/>
        </w:rPr>
        <w:t xml:space="preserve">Trip.com welcomes the opportunity to respond to the Culture, Media, and Sport Select Committee’s inquiry on this very important topic. We have provided thoughts in relation to some of the questions raised by the committee where we have specific expertise, experience and insights. </w:t>
      </w:r>
      <w:r w:rsidRPr="00A2265D">
        <w:rPr>
          <w:rFonts w:ascii="Times New Roman" w:eastAsia="Times New Roman" w:hAnsi="Times New Roman" w:cs="Times New Roman"/>
          <w:color w:val="000000"/>
          <w:kern w:val="0"/>
          <w:lang w:eastAsia="en-GB"/>
        </w:rPr>
        <w:t xml:space="preserve">We have indicated the questions that we have answered with reference to the </w:t>
      </w:r>
      <w:r w:rsidRPr="00A2265D">
        <w:rPr>
          <w:rFonts w:ascii="Times New Roman" w:eastAsia="Times New Roman" w:hAnsi="Times New Roman" w:cs="Times New Roman"/>
          <w:color w:val="000000"/>
          <w:kern w:val="0"/>
          <w:lang w:eastAsia="en-GB"/>
        </w:rPr>
        <w:t xml:space="preserve">numbering used by the Committee. </w:t>
      </w:r>
      <w:r w:rsidRPr="00A2265D">
        <w:rPr>
          <w:rFonts w:ascii="Times New Roman" w:eastAsia="Times New Roman" w:hAnsi="Times New Roman" w:cs="Times New Roman"/>
          <w:color w:val="000000"/>
          <w:kern w:val="0"/>
          <w:lang w:eastAsia="en-GB"/>
        </w:rPr>
        <w:t>We would be delighted to discuss any of this response in further detail with the committee should it be useful.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A2265D" w:rsidP="00A2265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A2265D">
        <w:rPr>
          <w:rFonts w:ascii="Times New Roman" w:eastAsia="Times New Roman" w:hAnsi="Times New Roman" w:cs="Times New Roman"/>
          <w:color w:val="000000"/>
          <w:kern w:val="0"/>
          <w:lang w:eastAsia="en-GB"/>
        </w:rPr>
        <w:t>Trip.com is a leading global travel technology company. We aim to be a true travel companion, with an all-in-one app where travellers can book flights, hotels, trains, car rentals, attractions, and more — all in one seamless experience. By making this frictionless for travellers across the world, we seamlessly drive high-yield inbound tourism directly into the UK's regional economies.</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050AC6">
      <w:pPr>
        <w:pStyle w:val="ListParagraph"/>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rPr>
      </w:pPr>
      <w:r w:rsidRPr="00050AC6">
        <w:rPr>
          <w:rFonts w:ascii="Times New Roman" w:eastAsia="Times New Roman" w:hAnsi="Times New Roman" w:cs="Times New Roman"/>
          <w:b/>
          <w:bCs/>
          <w:color w:val="000000"/>
          <w:kern w:val="0"/>
          <w:lang w:eastAsia="en-GB"/>
        </w:rPr>
        <w:t>How effective are government policies in supporting the growth, competitiveness and long-term resilience of the tourism sector?</w:t>
      </w:r>
    </w:p>
    <w:p w:rsidR="00A46A5D" w:rsidRPr="00050AC6" w:rsidP="005E3F4D">
      <w:pPr>
        <w:pStyle w:val="ListParagraph"/>
        <w:spacing w:before="100" w:beforeAutospacing="1" w:after="100" w:afterAutospacing="1" w:line="240" w:lineRule="auto"/>
        <w:ind w:left="360"/>
        <w:rPr>
          <w:rFonts w:ascii="Times New Roman" w:eastAsia="Times New Roman" w:hAnsi="Times New Roman" w:cs="Times New Roman"/>
          <w:color w:val="000000"/>
          <w:kern w:val="0"/>
          <w:lang w:eastAsia="en-GB"/>
        </w:rPr>
      </w:pPr>
    </w:p>
    <w:p w:rsidR="00A46A5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Government policy has supported a strong recovery since the pandemic, but is not yet optimised for growth or competitiveness. We see a sustained recovery in long-haul demand from Asia, coupled with a continued preference for multi-destination European travel. Where this is the case, the UK can sometimes be excluded from a multi-country itinerary due to policy friction and barriers outlined below. </w:t>
      </w:r>
    </w:p>
    <w:p w:rsidR="00A46A5D" w:rsidRPr="005E3F4D" w:rsidP="005E3F4D">
      <w:pPr>
        <w:pStyle w:val="ListParagraph"/>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This suggests that there is more scope to deliver policy that encourages greater inbound tourism, to ensure the UK benefits from the evolution in global travel demand trends. We see the UK as a key market for investment and innovation and have grown our UK operations considerably since the pandemic. Setting the right policy can help to attract further investment in the tourism sector, and some examples of how this can be achieved are set out below.</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4B09A7" w:rsidP="004B09A7">
      <w:pPr>
        <w:pStyle w:val="ListParagraph"/>
        <w:numPr>
          <w:ilvl w:val="0"/>
          <w:numId w:val="6"/>
        </w:numPr>
        <w:spacing w:after="0" w:line="240" w:lineRule="auto"/>
        <w:rPr>
          <w:rFonts w:ascii="Times New Roman" w:eastAsia="Times New Roman" w:hAnsi="Times New Roman" w:cs="Times New Roman"/>
          <w:b/>
          <w:bCs/>
          <w:color w:val="000000"/>
          <w:kern w:val="0"/>
          <w:lang w:eastAsia="en-GB"/>
        </w:rPr>
      </w:pPr>
      <w:r w:rsidRPr="004B09A7">
        <w:rPr>
          <w:rFonts w:ascii="Times New Roman" w:eastAsia="Times New Roman" w:hAnsi="Times New Roman" w:cs="Times New Roman"/>
          <w:b/>
          <w:bCs/>
          <w:color w:val="000000"/>
          <w:kern w:val="0"/>
          <w:lang w:eastAsia="en-GB"/>
        </w:rPr>
        <w:t>iii. What factors explain any divergence in growth trends between the UK and European countries?</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Inbound tourism growth in the UK has diverged from that of many European countries in recent years due to a combination of structural, economic, and policy-related factors. While the UK continues to experience growth in visitor numbers and spending, our data would suggest that this growth has generally been slower than key European competitors, particularly those in Southern Europe.</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Travel frictions, including stricter border controls, are increasing barriers and can discourage short-haul and spontaneous travel from nearby European markets. UK visa requirements raise barriers in terms of costs and time to process, and are less 'competitive' than other destinations. Meanwhile, travel within the EU remains relatively seamless due to Schengen, allowing European destinations to benefit from high volumes of intra-regional tourism.</w:t>
      </w:r>
    </w:p>
    <w:p w:rsidR="00A46A5D" w:rsidRPr="005E3F4D" w:rsidP="005E3F4D">
      <w:pPr>
        <w:pStyle w:val="ListParagraph"/>
        <w:rPr>
          <w:rFonts w:ascii="Times New Roman" w:eastAsia="Times New Roman" w:hAnsi="Times New Roman" w:cs="Times New Roman"/>
          <w:color w:val="000000"/>
          <w:kern w:val="0"/>
          <w:lang w:eastAsia="en-GB"/>
        </w:rPr>
      </w:pPr>
    </w:p>
    <w:p w:rsidR="00A46A5D" w:rsidRPr="005E3F4D" w:rsidP="005E3F4D">
      <w:pPr>
        <w:pStyle w:val="ListParagraph"/>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 xml:space="preserve">Price competitiveness also plays an important role. The UK is widely perceived as an expensive destination in terms of accommodation, transport, and general living costs. </w:t>
      </w:r>
    </w:p>
    <w:p w:rsidR="00A46A5D"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Although exchange rate fluctuations, such as a weaker pound, can make the UK more attractive to some long-haul visitors, this advantage is often offset by the overall high cost of travel. In comparison, many Southern and Eastern European countries offer more affordable options, making them more appealing to a broader range of tourists.</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Another contributing factor is the removal of VAT-free shopping for international visitors in the UK. This policy change has reduced the country’s attractiveness to high-spending tourists, especially from long-haul markets such as Asia and the Middle East. In contrast, many EU countries have retained tax-free shopping, giving them a competitive advantage in attracting luxury tourism.</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Differences in tourism market structure further explain the divergence. The UK relies more heavily on long-haul visitors, which tend to spend more but travel less frequently. European countries, on the other hand, benefit from a large volume of short-haul, intra-European travel, which is more frequent and less sensitive to global disruptions. This provides a more stable and often faster-growing tourism base.</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Finally, the type and distribution of tourism offerings differ. UK tourism tends to be highly concentrated in cities, particularly London, which can limit capacity for expansion. In contrast, many European countries have a more geographically dispersed tourism industry, including coastal resorts and rural destinations, allowing them to accommodate larger numbers of visitors and benefit from diverse travel trends.</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 xml:space="preserve">We believe that digital innovation can play a strong role in addressing some of these challenges. Online travel agents can showcase discounts and offers, run campaigns, highlight different parts of the UK outside the urban centres and support overseas travellers navigate entry requirements. </w:t>
      </w:r>
    </w:p>
    <w:p w:rsidR="00A46A5D"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It is also possible to support users before during and after their trip with real time advice to boost trust and confidence, for example in using trains and travelling by public transport. We therefore consider that increasing alignment and collaboration between tourist bodies, suppliers and digital platforms is key to better outcomes and boosting the attractiveness of the UK.</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CA1373" w:rsidP="00CA1373">
      <w:pPr>
        <w:pStyle w:val="ListParagraph"/>
        <w:numPr>
          <w:ilvl w:val="0"/>
          <w:numId w:val="5"/>
        </w:numPr>
        <w:spacing w:after="0" w:line="240" w:lineRule="auto"/>
        <w:rPr>
          <w:rFonts w:ascii="Times New Roman" w:eastAsia="Times New Roman" w:hAnsi="Times New Roman" w:cs="Times New Roman"/>
          <w:b/>
          <w:bCs/>
          <w:color w:val="000000"/>
          <w:kern w:val="0"/>
          <w:lang w:eastAsia="en-GB"/>
        </w:rPr>
      </w:pPr>
      <w:r w:rsidRPr="00CA1373">
        <w:rPr>
          <w:rFonts w:ascii="Times New Roman" w:eastAsia="Times New Roman" w:hAnsi="Times New Roman" w:cs="Times New Roman"/>
          <w:b/>
          <w:bCs/>
          <w:color w:val="000000"/>
          <w:kern w:val="0"/>
          <w:lang w:eastAsia="en-GB"/>
        </w:rPr>
        <w:t>ii. What targeted interventions could support domestic tourism businesses to stimulate demand and strengthen year-round visitor numbers?</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Greater emphasis on off-season campaigns will support year-round visitors. As a global platform with significant experience and expertise in the Asian market, we see the major public Asian holidays in the spring and autumn 'shoulder seasons' as good opportunities to showcase travel and trips to the UK. We would welcome the opportunity to partner with government on understanding how we can use these insights to drive greater inbound tourism outside the typical holiday periods in the UK.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We consider that more direct flights to UK destinations, especially from Asia, could strongly help to stimulate demand into different regions of the UK - and this is something that would especially help to grow year-round travel.</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Digital innovation helps to guide and inspire users toward lesser-known destinations and events across the UK. This helps to generate demand for UK tourism across the breadth of the country, not just in Tier 1 or 2 cities, and at traditionally slower times of the year. At Trip.com we work closely with UK train companies on joint campaigns to encourage tourists to travel by train, helping generate more revenue for the UK rail industry, boosting modal shift and encouraging travel to the regions. These again a</w:t>
      </w:r>
      <w:r w:rsidRPr="005E3F4D">
        <w:rPr>
          <w:rFonts w:ascii="Times New Roman" w:eastAsia="Times New Roman" w:hAnsi="Times New Roman" w:cs="Times New Roman"/>
          <w:color w:val="000000"/>
          <w:kern w:val="0"/>
          <w:lang w:eastAsia="en-GB"/>
        </w:rPr>
        <w:t>re areas where we see significant scope for greater partnership between the government and private sector.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B904D5" w:rsidP="00B904D5">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 xml:space="preserve">We also see significant opportunity in sports-related tourism. Endurance sports are no longer niche - they’re becoming a way to connect, train, and travel together. Worldwide search interest on Google has surged, with 5x growth in endurance sports travel in the last year. </w:t>
      </w:r>
      <w:r w:rsidRPr="00B904D5">
        <w:rPr>
          <w:rFonts w:ascii="Times New Roman" w:eastAsia="Times New Roman" w:hAnsi="Times New Roman" w:cs="Times New Roman"/>
          <w:color w:val="000000"/>
          <w:kern w:val="0"/>
          <w:lang w:eastAsia="en-GB"/>
        </w:rPr>
        <w:t>Hyrox, the hybrid endurance event, is exploding across hubs including Manchester. This shift reflects a deeper desire for shared experiences: 90% of Trip.com travellers want to pair sporting events with cultural exploration, turning competitions into community journeys. And the trend is not just about spectating - packages can give guaranteed race entry, hotels, meals, and shuttles, transforming a sporting event into a shared milestone for families and friends. We consider that there is strong opportunity f</w:t>
      </w:r>
      <w:r w:rsidRPr="00B904D5">
        <w:rPr>
          <w:rFonts w:ascii="Times New Roman" w:eastAsia="Times New Roman" w:hAnsi="Times New Roman" w:cs="Times New Roman"/>
          <w:color w:val="000000"/>
          <w:kern w:val="0"/>
          <w:lang w:eastAsia="en-GB"/>
        </w:rPr>
        <w:t>or campaigns with global platforms, pilot programmes and regional initiatives.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Our role is to make these choices accessible and scalable, using digital innovation. That is why we are working closely with local partners across the UK to expand access to events and destinations that they might not otherwise find. We see strong opportunity in programmes that bring digital platforms and regional bodies together to support each other in stimulating demand outside the typical places and times of the year.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CA1373" w:rsidP="004B09A7">
      <w:pPr>
        <w:pStyle w:val="ListParagraph"/>
        <w:numPr>
          <w:ilvl w:val="0"/>
          <w:numId w:val="5"/>
        </w:numPr>
        <w:spacing w:after="0" w:line="240" w:lineRule="auto"/>
        <w:rPr>
          <w:rFonts w:ascii="Times New Roman" w:eastAsia="Times New Roman" w:hAnsi="Times New Roman" w:cs="Times New Roman"/>
          <w:b/>
          <w:bCs/>
          <w:color w:val="000000"/>
          <w:kern w:val="0"/>
          <w:lang w:eastAsia="en-GB"/>
        </w:rPr>
      </w:pPr>
      <w:r w:rsidRPr="00CA1373">
        <w:rPr>
          <w:rFonts w:ascii="Times New Roman" w:eastAsia="Times New Roman" w:hAnsi="Times New Roman" w:cs="Times New Roman"/>
          <w:b/>
          <w:bCs/>
          <w:color w:val="000000"/>
          <w:kern w:val="0"/>
          <w:lang w:eastAsia="en-GB"/>
        </w:rPr>
        <w:t>ii. Are transport links, digital connectivity and cultural infrastructure adequate to support regional tourism growth?</w:t>
      </w:r>
    </w:p>
    <w:p w:rsidR="00A46A5D" w:rsidRPr="00050AC6" w:rsidP="00050AC6">
      <w:pPr>
        <w:pStyle w:val="ListParagraph"/>
        <w:spacing w:after="0" w:line="240" w:lineRule="auto"/>
        <w:ind w:left="360"/>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Digital innovation and connectivity is vital to regional growth. Beyond pre-trip planning, travellers want AI assistance during their journeys and the confidence to know they will be supported if problems occur. Key use cases include real-time translation via Google Translate and support with disruptions right through to local dining recommendations.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5E3F4D" w:rsidP="005E3F4D">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5E3F4D">
        <w:rPr>
          <w:rFonts w:ascii="Times New Roman" w:eastAsia="Times New Roman" w:hAnsi="Times New Roman" w:cs="Times New Roman"/>
          <w:color w:val="000000"/>
          <w:kern w:val="0"/>
          <w:lang w:eastAsia="en-GB"/>
        </w:rPr>
        <w:t xml:space="preserve">On Trip.com, 5–6% of queries to its AI assistant, TripGenie, are itinerary-related. In September 2025 compared to the same period 2024, TripGenie's traffic rose 125% YoY, with 242% more users, 234% more conversations, and a 100% increase in average session time. Translation-related functions have been especially popular: since launch earlier this year, consultation volumes are up 214%, and time spent on translation features is triple the site average. It demonstrates the demand for this type of innovation, </w:t>
      </w:r>
      <w:r w:rsidRPr="005E3F4D">
        <w:rPr>
          <w:rFonts w:ascii="Times New Roman" w:eastAsia="Times New Roman" w:hAnsi="Times New Roman" w:cs="Times New Roman"/>
          <w:color w:val="000000"/>
          <w:kern w:val="0"/>
          <w:lang w:eastAsia="en-GB"/>
        </w:rPr>
        <w:t>especially for international travellers, and the assocaited need for strong digital connectivity in the regions.</w:t>
      </w:r>
    </w:p>
    <w:p w:rsidR="00A46A5D" w:rsidRPr="00050AC6" w:rsidP="00050AC6">
      <w:pPr>
        <w:spacing w:after="0" w:line="240" w:lineRule="auto"/>
        <w:rPr>
          <w:rFonts w:ascii="Times New Roman" w:eastAsia="Times New Roman" w:hAnsi="Times New Roman" w:cs="Times New Roman"/>
          <w:color w:val="000000"/>
          <w:kern w:val="0"/>
          <w:lang w:eastAsia="en-GB"/>
        </w:rPr>
      </w:pPr>
      <w:r w:rsidRPr="00050AC6">
        <w:rPr>
          <w:rFonts w:ascii="Times New Roman" w:eastAsia="Times New Roman" w:hAnsi="Times New Roman" w:cs="Times New Roman"/>
          <w:color w:val="000000"/>
          <w:kern w:val="0"/>
          <w:lang w:eastAsia="en-GB"/>
        </w:rPr>
        <w:t> </w:t>
      </w:r>
    </w:p>
    <w:p w:rsidR="00A46A5D" w:rsidRPr="00EF0071" w:rsidP="00EF0071">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EF0071">
        <w:rPr>
          <w:rFonts w:ascii="Times New Roman" w:eastAsia="Times New Roman" w:hAnsi="Times New Roman" w:cs="Times New Roman"/>
          <w:color w:val="000000"/>
          <w:kern w:val="0"/>
          <w:lang w:eastAsia="en-GB"/>
        </w:rPr>
        <w:t>Equally strong transport links are vital. We see an ever growing</w:t>
      </w:r>
      <w:r w:rsidRPr="00EF0071">
        <w:rPr>
          <w:rFonts w:ascii="Times New Roman" w:eastAsia="Times New Roman" w:hAnsi="Times New Roman" w:cs="Times New Roman"/>
          <w:color w:val="000000"/>
          <w:kern w:val="0"/>
          <w:lang w:eastAsia="en-GB"/>
        </w:rPr>
        <w:t xml:space="preserve"> interest in travelling by rail, as a sustainable productive and authentic way to experience the regions. Improving rail capacity and infrastructure is vital to the continued success of the regions, as is digital support offered by platforms to empower travellers unfamilar with the area. Platforms such as Trip.com have strong insights into how demand is changing for regional visitors, as well as trends and patterns in traveller behaviour. Increased collaboration and sharing with public sector organisations </w:t>
      </w:r>
      <w:r w:rsidRPr="00EF0071">
        <w:rPr>
          <w:rFonts w:ascii="Times New Roman" w:eastAsia="Times New Roman" w:hAnsi="Times New Roman" w:cs="Times New Roman"/>
          <w:color w:val="000000"/>
          <w:kern w:val="0"/>
          <w:lang w:eastAsia="en-GB"/>
        </w:rPr>
        <w:t>can help to inform policy thinking in how best to support regional tourism growth.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P="00050AC6">
      <w:pPr>
        <w:spacing w:after="0" w:line="240" w:lineRule="auto"/>
        <w:rPr>
          <w:rFonts w:ascii="Times New Roman" w:eastAsia="Times New Roman" w:hAnsi="Times New Roman" w:cs="Times New Roman"/>
          <w:b/>
          <w:bCs/>
          <w:color w:val="000000"/>
          <w:kern w:val="0"/>
          <w:lang w:eastAsia="en-GB"/>
        </w:rPr>
      </w:pPr>
    </w:p>
    <w:p w:rsidR="00A46A5D" w:rsidP="00050AC6">
      <w:pPr>
        <w:spacing w:after="0" w:line="240" w:lineRule="auto"/>
        <w:rPr>
          <w:rFonts w:ascii="Times New Roman" w:eastAsia="Times New Roman" w:hAnsi="Times New Roman" w:cs="Times New Roman"/>
          <w:b/>
          <w:bCs/>
          <w:color w:val="000000"/>
          <w:kern w:val="0"/>
          <w:lang w:eastAsia="en-GB"/>
        </w:rPr>
      </w:pPr>
    </w:p>
    <w:p w:rsidR="00A46A5D" w:rsidP="00050AC6">
      <w:pPr>
        <w:spacing w:after="0" w:line="240" w:lineRule="auto"/>
        <w:rPr>
          <w:rFonts w:ascii="Times New Roman" w:eastAsia="Times New Roman" w:hAnsi="Times New Roman" w:cs="Times New Roman"/>
          <w:b/>
          <w:bCs/>
          <w:color w:val="000000"/>
          <w:kern w:val="0"/>
          <w:lang w:eastAsia="en-GB"/>
        </w:rPr>
      </w:pPr>
    </w:p>
    <w:p w:rsidR="00A46A5D" w:rsidP="00050AC6">
      <w:pPr>
        <w:spacing w:after="0" w:line="240" w:lineRule="auto"/>
        <w:rPr>
          <w:rFonts w:ascii="Times New Roman" w:eastAsia="Times New Roman" w:hAnsi="Times New Roman" w:cs="Times New Roman"/>
          <w:b/>
          <w:bCs/>
          <w:color w:val="000000"/>
          <w:kern w:val="0"/>
          <w:lang w:eastAsia="en-GB"/>
        </w:rPr>
      </w:pPr>
      <w:r w:rsidRPr="00050AC6">
        <w:rPr>
          <w:rFonts w:ascii="Times New Roman" w:eastAsia="Times New Roman" w:hAnsi="Times New Roman" w:cs="Times New Roman"/>
          <w:b/>
          <w:bCs/>
          <w:color w:val="000000"/>
          <w:kern w:val="0"/>
          <w:lang w:eastAsia="en-GB"/>
        </w:rPr>
        <w:t>Conclusion</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EF0071" w:rsidP="00EF0071">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EF0071">
        <w:rPr>
          <w:rFonts w:ascii="Times New Roman" w:eastAsia="Times New Roman" w:hAnsi="Times New Roman" w:cs="Times New Roman"/>
          <w:color w:val="000000"/>
          <w:kern w:val="0"/>
          <w:lang w:eastAsia="en-GB"/>
        </w:rPr>
        <w:t>In conclusion, we see the UK as a core market in the EU region, reflected in our ongoing investment in the last number of years. We consider that, with the right policy interventions as briefly outlined above, much more can be achieved to support and grow inbound tourism. </w:t>
      </w:r>
    </w:p>
    <w:p w:rsidR="00A46A5D" w:rsidP="00050AC6">
      <w:pPr>
        <w:spacing w:after="0" w:line="240" w:lineRule="auto"/>
        <w:rPr>
          <w:rFonts w:ascii="Times New Roman" w:eastAsia="Times New Roman" w:hAnsi="Times New Roman" w:cs="Times New Roman"/>
          <w:color w:val="000000"/>
          <w:kern w:val="0"/>
          <w:lang w:eastAsia="en-GB"/>
        </w:rPr>
      </w:pPr>
    </w:p>
    <w:p w:rsidR="00A46A5D" w:rsidRPr="00EF0071" w:rsidP="00EF0071">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EF0071">
        <w:rPr>
          <w:rFonts w:ascii="Times New Roman" w:eastAsia="Times New Roman" w:hAnsi="Times New Roman" w:cs="Times New Roman"/>
          <w:color w:val="000000"/>
          <w:kern w:val="0"/>
          <w:lang w:eastAsia="en-GB"/>
        </w:rPr>
        <w:t>Key policy interventions should include improving border and travel accessibility, reconsidering measures that impact international visitor competitiveness such as VAT-free shopping and supporting stronger regional transport and digital connectivity.</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EF0071" w:rsidP="00EF0071">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EF0071">
        <w:rPr>
          <w:rFonts w:ascii="Times New Roman" w:eastAsia="Times New Roman" w:hAnsi="Times New Roman" w:cs="Times New Roman"/>
          <w:color w:val="000000"/>
          <w:kern w:val="0"/>
          <w:lang w:eastAsia="en-GB"/>
        </w:rPr>
        <w:t>Greater collaboration between government, tourist bodies, transport providers and digital travel platforms can help drive year-round tourism, promote regional destinations beyond London, and support emerging growth areas such as sports and event tourism.</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EF0071" w:rsidP="00EF0071">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EF0071">
        <w:rPr>
          <w:rFonts w:ascii="Times New Roman" w:eastAsia="Times New Roman" w:hAnsi="Times New Roman" w:cs="Times New Roman"/>
          <w:color w:val="000000"/>
          <w:kern w:val="0"/>
          <w:lang w:eastAsia="en-GB"/>
        </w:rPr>
        <w:t>Digital innovation and AI-enabled travel support are increasingly important to international visitors. Partnerships with global platforms can help travellers navigate the UK more confidently, encourage sustainable regional travel, and deliver stronger economic benefits across the country.</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B904D5" w:rsidP="00B904D5">
      <w:pPr>
        <w:pStyle w:val="ListParagraph"/>
        <w:numPr>
          <w:ilvl w:val="0"/>
          <w:numId w:val="7"/>
        </w:numPr>
        <w:spacing w:after="0" w:line="240" w:lineRule="auto"/>
        <w:rPr>
          <w:rFonts w:ascii="Times New Roman" w:eastAsia="Times New Roman" w:hAnsi="Times New Roman" w:cs="Times New Roman"/>
          <w:color w:val="000000"/>
          <w:kern w:val="0"/>
          <w:lang w:eastAsia="en-GB"/>
        </w:rPr>
      </w:pPr>
      <w:r w:rsidRPr="00B904D5">
        <w:rPr>
          <w:rFonts w:ascii="Times New Roman" w:eastAsia="Times New Roman" w:hAnsi="Times New Roman" w:cs="Times New Roman"/>
          <w:color w:val="000000"/>
          <w:kern w:val="0"/>
          <w:lang w:eastAsia="en-GB"/>
        </w:rPr>
        <w:t>Trip.com welcomes the Committee’s inquiry into the future of the UK tourism sector and would be pleased to provide further evidence or discuss any aspect of this submission in more detail. We believe that, with targeted policy support and stronger public-private collaboration, the UK can significantly enhance its global tourism competitiveness and unlock greater economic benefits across all regions of the country.</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P="00050AC6">
      <w:pPr>
        <w:spacing w:after="0" w:line="240" w:lineRule="auto"/>
        <w:rPr>
          <w:rFonts w:ascii="Times New Roman" w:eastAsia="Times New Roman" w:hAnsi="Times New Roman" w:cs="Times New Roman"/>
          <w:b/>
          <w:bCs/>
          <w:color w:val="000000"/>
          <w:kern w:val="0"/>
          <w:lang w:eastAsia="en-GB"/>
        </w:rPr>
      </w:pPr>
      <w:r w:rsidRPr="00050AC6">
        <w:rPr>
          <w:rFonts w:ascii="Times New Roman" w:eastAsia="Times New Roman" w:hAnsi="Times New Roman" w:cs="Times New Roman"/>
          <w:b/>
          <w:bCs/>
          <w:color w:val="000000"/>
          <w:kern w:val="0"/>
          <w:lang w:eastAsia="en-GB"/>
        </w:rPr>
        <w:t>Matthew Peake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050AC6" w:rsidP="00050AC6">
      <w:pPr>
        <w:spacing w:after="0" w:line="240" w:lineRule="auto"/>
        <w:rPr>
          <w:rFonts w:ascii="Times New Roman" w:eastAsia="Times New Roman" w:hAnsi="Times New Roman" w:cs="Times New Roman"/>
          <w:color w:val="000000"/>
          <w:kern w:val="0"/>
          <w:lang w:eastAsia="en-GB"/>
        </w:rPr>
      </w:pPr>
      <w:r w:rsidRPr="00050AC6">
        <w:rPr>
          <w:rFonts w:ascii="Times New Roman" w:eastAsia="Times New Roman" w:hAnsi="Times New Roman" w:cs="Times New Roman"/>
          <w:b/>
          <w:bCs/>
          <w:color w:val="000000"/>
          <w:kern w:val="0"/>
          <w:lang w:eastAsia="en-GB"/>
        </w:rPr>
        <w:t>Head of Government Relations </w:t>
      </w:r>
    </w:p>
    <w:p w:rsidR="00A46A5D" w:rsidRPr="00050AC6" w:rsidP="00050AC6">
      <w:pPr>
        <w:spacing w:after="0" w:line="240" w:lineRule="auto"/>
        <w:rPr>
          <w:rFonts w:ascii="Times New Roman" w:eastAsia="Times New Roman" w:hAnsi="Times New Roman" w:cs="Times New Roman"/>
          <w:color w:val="000000"/>
          <w:kern w:val="0"/>
          <w:lang w:eastAsia="en-GB"/>
        </w:rPr>
      </w:pPr>
    </w:p>
    <w:p w:rsidR="00A46A5D" w:rsidRPr="00050AC6" w:rsidP="00050AC6">
      <w:pPr>
        <w:spacing w:after="0" w:line="240" w:lineRule="auto"/>
        <w:rPr>
          <w:rFonts w:ascii="Times New Roman" w:eastAsia="Times New Roman" w:hAnsi="Times New Roman" w:cs="Times New Roman"/>
          <w:kern w:val="0"/>
          <w:lang w:eastAsia="en-GB"/>
        </w:rPr>
      </w:pPr>
    </w:p>
    <w:p w:rsidR="00A46A5D"/>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06460A"/>
    <w:multiLevelType w:val="hybridMultilevel"/>
    <w:tmpl w:val="37EA777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0F07B9"/>
    <w:multiLevelType w:val="hybridMultilevel"/>
    <w:tmpl w:val="B54259B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DDE4D11"/>
    <w:multiLevelType w:val="hybridMultilevel"/>
    <w:tmpl w:val="4902693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9BF78AE"/>
    <w:multiLevelType w:val="hybridMultilevel"/>
    <w:tmpl w:val="ADC860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75047D39"/>
    <w:multiLevelType w:val="multilevel"/>
    <w:tmpl w:val="97AE7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EA61D1"/>
    <w:multiLevelType w:val="hybridMultilevel"/>
    <w:tmpl w:val="CBC49E94"/>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7FAE1B2C"/>
    <w:multiLevelType w:val="hybridMultilevel"/>
    <w:tmpl w:val="7E3A1D84"/>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4"/>
  </w:num>
  <w:num w:numId="2">
    <w:abstractNumId w:val="6"/>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50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A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A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A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A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A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A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A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A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AC6"/>
    <w:rPr>
      <w:rFonts w:eastAsiaTheme="majorEastAsia" w:cstheme="majorBidi"/>
      <w:color w:val="272727" w:themeColor="text1" w:themeTint="D8"/>
    </w:rPr>
  </w:style>
  <w:style w:type="paragraph" w:styleId="Title">
    <w:name w:val="Title"/>
    <w:basedOn w:val="Normal"/>
    <w:next w:val="Normal"/>
    <w:link w:val="TitleChar"/>
    <w:uiPriority w:val="10"/>
    <w:qFormat/>
    <w:rsid w:val="00050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AC6"/>
    <w:pPr>
      <w:spacing w:before="160"/>
      <w:jc w:val="center"/>
    </w:pPr>
    <w:rPr>
      <w:i/>
      <w:iCs/>
      <w:color w:val="404040" w:themeColor="text1" w:themeTint="BF"/>
    </w:rPr>
  </w:style>
  <w:style w:type="character" w:customStyle="1" w:styleId="QuoteChar">
    <w:name w:val="Quote Char"/>
    <w:basedOn w:val="DefaultParagraphFont"/>
    <w:link w:val="Quote"/>
    <w:uiPriority w:val="29"/>
    <w:rsid w:val="00050AC6"/>
    <w:rPr>
      <w:i/>
      <w:iCs/>
      <w:color w:val="404040" w:themeColor="text1" w:themeTint="BF"/>
    </w:rPr>
  </w:style>
  <w:style w:type="paragraph" w:styleId="ListParagraph">
    <w:name w:val="List Paragraph"/>
    <w:basedOn w:val="Normal"/>
    <w:uiPriority w:val="34"/>
    <w:qFormat/>
    <w:rsid w:val="00050AC6"/>
    <w:pPr>
      <w:ind w:left="720"/>
      <w:contextualSpacing/>
    </w:pPr>
  </w:style>
  <w:style w:type="character" w:styleId="IntenseEmphasis">
    <w:name w:val="Intense Emphasis"/>
    <w:basedOn w:val="DefaultParagraphFont"/>
    <w:uiPriority w:val="21"/>
    <w:qFormat/>
    <w:rsid w:val="00050AC6"/>
    <w:rPr>
      <w:i/>
      <w:iCs/>
      <w:color w:val="0F4761" w:themeColor="accent1" w:themeShade="BF"/>
    </w:rPr>
  </w:style>
  <w:style w:type="paragraph" w:styleId="IntenseQuote">
    <w:name w:val="Intense Quote"/>
    <w:basedOn w:val="Normal"/>
    <w:next w:val="Normal"/>
    <w:link w:val="IntenseQuoteChar"/>
    <w:uiPriority w:val="30"/>
    <w:qFormat/>
    <w:rsid w:val="00050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AC6"/>
    <w:rPr>
      <w:i/>
      <w:iCs/>
      <w:color w:val="0F4761" w:themeColor="accent1" w:themeShade="BF"/>
    </w:rPr>
  </w:style>
  <w:style w:type="character" w:styleId="IntenseReference">
    <w:name w:val="Intense Reference"/>
    <w:basedOn w:val="DefaultParagraphFont"/>
    <w:uiPriority w:val="32"/>
    <w:qFormat/>
    <w:rsid w:val="00050AC6"/>
    <w:rPr>
      <w:b/>
      <w:bCs/>
      <w:smallCaps/>
      <w:color w:val="0F4761" w:themeColor="accent1" w:themeShade="BF"/>
      <w:spacing w:val="5"/>
    </w:rPr>
  </w:style>
  <w:style w:type="character" w:styleId="Strong">
    <w:name w:val="Strong"/>
    <w:basedOn w:val="DefaultParagraphFont"/>
    <w:uiPriority w:val="22"/>
    <w:qFormat/>
    <w:rsid w:val="00050AC6"/>
    <w:rPr>
      <w:b/>
      <w:bCs/>
    </w:rPr>
  </w:style>
  <w:style w:type="character" w:customStyle="1" w:styleId="apple-converted-space">
    <w:name w:val="apple-converted-space"/>
    <w:basedOn w:val="DefaultParagraphFont"/>
    <w:rsid w:val="00050AC6"/>
  </w:style>
  <w:style w:type="paragraph" w:customStyle="1" w:styleId="ace-line">
    <w:name w:val="ace-line"/>
    <w:basedOn w:val="Normal"/>
    <w:rsid w:val="00050AC6"/>
    <w:pPr>
      <w:spacing w:before="100" w:beforeAutospacing="1" w:after="100" w:afterAutospacing="1" w:line="240" w:lineRule="auto"/>
    </w:pPr>
    <w:rPr>
      <w:rFonts w:ascii="Times New Roman" w:eastAsia="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TOU0051</dc:title>
  <cp:revision>0</cp:revision>
</cp:coreProperties>
</file>