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95361" w:rsidRPr="00995361" w:rsidP="00995361">
      <w:pPr>
        <w:jc w:val="center"/>
        <w:rPr>
          <w:b/>
          <w:bCs/>
          <w:sz w:val="24"/>
          <w:szCs w:val="24"/>
        </w:rPr>
      </w:pPr>
      <w:r w:rsidRPr="00995361">
        <w:rPr>
          <w:b/>
          <w:bCs/>
          <w:sz w:val="24"/>
          <w:szCs w:val="24"/>
        </w:rPr>
        <w:t>Written evidence submitted by Will Joicey (</w:t>
      </w:r>
      <w:r>
        <w:rPr>
          <w:b/>
          <w:bCs/>
          <w:sz w:val="24"/>
          <w:szCs w:val="24"/>
        </w:rPr>
        <w:t>C</w:t>
      </w:r>
      <w:r w:rsidRPr="00995361">
        <w:rPr>
          <w:b/>
          <w:bCs/>
          <w:sz w:val="24"/>
          <w:szCs w:val="24"/>
        </w:rPr>
        <w:t>WR0212)</w:t>
      </w:r>
    </w:p>
    <w:p w:rsidR="00995361" w:rsidP="00995361"/>
    <w:p w:rsidR="00995361" w:rsidRPr="00995361" w:rsidP="00995361">
      <w:r w:rsidRPr="00995361">
        <w:t>Dear Sir/Madam,</w:t>
      </w:r>
    </w:p>
    <w:p w:rsidR="00995361" w:rsidRPr="00995361" w:rsidP="00995361">
      <w:r w:rsidRPr="00995361">
        <w:t>As landowners and land managers, we tend to find ourselves at the sharpest end of the UK’s wildfire challenge. We own and steward the landscapes that burn, bear the economic consequences, and are frequently expected to act as first responders, often with little to no training or equipment, inadequate support and a fragmented policy framework that pulls in competing directions. My response here draws on the lived experience of managing land across upland, lowland and peri-urban environments as well as having lived in New Zealand for 10 years and watching their wildfire management (or lack thereof) and its issues. Having recently (2025) dealt with a wildfire that was incredibly luckily brought under control swiftly, I feel compelled to call for a decisive shift toward evidence-based, proactive fire management drawing on decades of established practice from the United States, Canada, Australia and many of our neighbours in continental Europe.</w:t>
      </w:r>
    </w:p>
    <w:p w:rsidR="00995361" w:rsidRPr="00995361" w:rsidP="00995361">
      <w:r w:rsidRPr="00995361">
        <w:t>The central message is this; wildfire is not primarily a crisis to be reacted to; it is a land management problem to be planned for. Countries that have understood this have built sophisticated, landscape-scale fuel management programmes grounded in science. The UK has not. It is time to change that.</w:t>
      </w:r>
    </w:p>
    <w:p w:rsidR="00995361" w:rsidRPr="00995361" w:rsidP="00995361"/>
    <w:p w:rsidR="00995361" w:rsidRPr="00995361" w:rsidP="00995361">
      <w:r w:rsidRPr="00995361">
        <w:rPr>
          <w:b/>
          <w:bCs/>
        </w:rPr>
        <w:t>1. Land Management Techniques at a Regional Level: Balancing Multiple Users</w:t>
      </w:r>
    </w:p>
    <w:p w:rsidR="00995361" w:rsidRPr="00995361" w:rsidP="00995361">
      <w:r w:rsidRPr="00995361">
        <w:t>UK land management for wildfire prevention remains ad hoc, localised and insufficiently coordinated. There is no national fuel management strategy equivalent to the US National Cohesive Wildland Fire Management Strategy (2014) or Australia’s Reducing Bushfire Risk frameworks, which mandate coordinated, landscape-scale approaches across tenures and land uses.</w:t>
      </w:r>
    </w:p>
    <w:p w:rsidR="00995361" w:rsidRPr="00995361" w:rsidP="00995361">
      <w:r w:rsidRPr="00995361">
        <w:t xml:space="preserve">The most obvious established technique is prescribed burning. It has been shown to be the most evidence-rich, cost-effective fuel management tool available to upland managers in the UK. Under the Heather and Grass Burning (England) Regulations 2021, Muir burn on deep peat was restricted, and burning seasons were tightened. While the environmental rationale for limiting burning on blanket bog is understood, the regulations have created a de facto prohibition on a management tool that (when applied correctly) demonstrably reduces fuel accumulation and therefore wildfire severity. Unmanaged heather becomes dense, structurally uniform and extremely flammable at around 15–25 years of age. The evidence from peer-reviewed research in the UK, and from analogous shrub land systems in Australia and the American West is clear, allowing continuous fuel accumulation in the absence of prescribed burning increases the frequency and severity of wildfires. I would call on Defra to immediately commission a formal review of the 2021 Regulations, informed by the full body of evidence on prescribed burning’s role in fuel reduction, not solely its impacts on peat carbon. The two goals are not irreconcilable. Fuel load management through mechanical methods (which we ourselves do) is effective but expensive (as much as 3-5 times per ha) and not always achievable in steeper and rockier areas for example. Evidence from comparable shrubland systems in California’s Sierra Nevada and Spain’s Mediterranean zone shows that mechanical treatments alone are often insufficient to maintain fire-safe landscapes at landscape scale; </w:t>
      </w:r>
      <w:r w:rsidRPr="00995361">
        <w:t xml:space="preserve">they must be integrated with prescribed fire. Grazing management is another tool that also remains under-utilised. High-density, short-duration grazing (as used in parts of the American West and increasingly in South African and Australian rangelands) can effectively reduce fine fuel loads. Agri-environment scheme conditions should explicitly recognise grazing’s fire management function, not only its conservation or production value. Firebreaks and green firebreaks also have well-documented efficacy in Australian and North American contexts. The UK lacks a mapping framework to identify where strategic firebreaks should sit in the landscape. A national GIS-based fuel and risk mapping programme, </w:t>
      </w:r>
      <w:r w:rsidRPr="00995361">
        <w:t>similar to</w:t>
      </w:r>
      <w:r w:rsidRPr="00995361">
        <w:t xml:space="preserve"> California’s Fire Hazard Severity Zone system or Australia’s Bushfire Attack Level mapping is needed.</w:t>
      </w:r>
    </w:p>
    <w:p w:rsidR="00995361" w:rsidRPr="00995361" w:rsidP="00995361">
      <w:r w:rsidRPr="00995361">
        <w:t>Regional land management for wildfire must accommodate:</w:t>
      </w:r>
    </w:p>
    <w:p w:rsidR="00995361" w:rsidRPr="00995361" w:rsidP="00995361">
      <w:r w:rsidRPr="00995361">
        <w:t xml:space="preserve">• Upland farmers and graziers, whose livestock management is integral to fuel load </w:t>
      </w:r>
      <w:r w:rsidRPr="00995361">
        <w:t>control</w:t>
      </w:r>
      <w:r w:rsidRPr="00995361">
        <w:t xml:space="preserve"> but who face </w:t>
      </w:r>
      <w:r w:rsidRPr="00995361">
        <w:t>agri</w:t>
      </w:r>
      <w:r w:rsidRPr="00995361">
        <w:t>-environment conditions that may inadvertently increase fire risk (e.g. restrictions on grazing leading to rank vegetation).</w:t>
      </w:r>
    </w:p>
    <w:p w:rsidR="00995361" w:rsidRPr="00995361" w:rsidP="00995361">
      <w:r w:rsidRPr="00995361">
        <w:t>• Forestry interests, where conifer plantations in fire-prone areas represent significant wildfire risk, and where restocking decisions post-fire are contentious.</w:t>
      </w:r>
    </w:p>
    <w:p w:rsidR="00995361" w:rsidRPr="00995361" w:rsidP="00995361">
      <w:r w:rsidRPr="00995361">
        <w:t>• Conservation bodies, whose rewilding and nature recovery objectives must be reconciled with fire risk is an issue that is becoming acute in bracken and gorse dominated restoration sites.</w:t>
      </w:r>
    </w:p>
    <w:p w:rsidR="00995361" w:rsidRPr="00995361" w:rsidP="00995361">
      <w:r w:rsidRPr="00995361">
        <w:t>• Water utilities, whose catchment land ownership makes them major stakeholders in upland fire risk.</w:t>
      </w:r>
    </w:p>
    <w:p w:rsidR="00995361" w:rsidRPr="00995361" w:rsidP="00995361">
      <w:r w:rsidRPr="00995361">
        <w:t>As far as I’m aware the UK’s evidence base is lacking in several areas:</w:t>
      </w:r>
    </w:p>
    <w:p w:rsidR="00995361" w:rsidRPr="00995361" w:rsidP="00995361">
      <w:r w:rsidRPr="00995361">
        <w:t>• Fuel load mapping: There is no nationally consistent map of fuel type, fuel load or fuel condition. Without it, risk assessment is impressionistic at best.</w:t>
      </w:r>
    </w:p>
    <w:p w:rsidR="00995361" w:rsidRPr="00995361" w:rsidP="00995361">
      <w:r w:rsidRPr="00995361">
        <w:t>• Prescribed burning efficacy in UK contexts: There are few robust, replicated trials comparing wildfire behaviour in burned versus unburned heather moorland, particularly after the 2021 regulatory changes. This gap must be filled with properly designed long-term experiments.</w:t>
      </w:r>
    </w:p>
    <w:p w:rsidR="00995361" w:rsidRPr="00995361" w:rsidP="00995361">
      <w:r w:rsidRPr="00995361">
        <w:t>• Wildfire-ecology interactions: The effects of wildfire on UK peatland carbon, water quality and biodiversity are poorly understood at landscape scale.</w:t>
      </w:r>
    </w:p>
    <w:p w:rsidR="00995361" w:rsidRPr="00995361" w:rsidP="00995361">
      <w:r w:rsidRPr="00995361">
        <w:t>• Economic impacts: There is no consistent methodology for valuing the economic damage of wildfires to UK landowners (loss of grazing, stock, infrastructure, timber and ecosystem services) making it impossible to make evidence-based cost-benefit arguments for investment in prevention.</w:t>
      </w:r>
    </w:p>
    <w:p w:rsidR="00995361" w:rsidRPr="00995361" w:rsidP="00995361">
      <w:r w:rsidRPr="00995361">
        <w:t xml:space="preserve">Filling these gaps requires a dedicated UK Wildfire Research Programme, co-funded by groups such as Defra and the devolved administrations, with direct involvement of </w:t>
      </w:r>
      <w:r w:rsidRPr="00995361">
        <w:t>land owners</w:t>
      </w:r>
      <w:r w:rsidRPr="00995361">
        <w:t xml:space="preserve"> and managers as research partners.</w:t>
      </w:r>
    </w:p>
    <w:p w:rsidR="00995361" w:rsidRPr="00995361" w:rsidP="00995361"/>
    <w:p w:rsidR="00995361" w:rsidRPr="00995361" w:rsidP="00995361">
      <w:r w:rsidRPr="00995361">
        <w:rPr>
          <w:b/>
          <w:bCs/>
        </w:rPr>
        <w:t>2. Nature-Based Solutions: Biodiversity and Landscape Resilience</w:t>
      </w:r>
    </w:p>
    <w:p w:rsidR="00995361" w:rsidRPr="00995361" w:rsidP="00995361">
      <w:r w:rsidRPr="00995361">
        <w:t xml:space="preserve">Nature-based solutions have potential to contribute to wildfire resilience, but this must be understood with precision, not deployed as a comfortable alternative to the harder work of fuel management. Floral diversity reduces fire risk where it results in structurally and compositionally heterogeneous vegetation. Monocultures of highly flammable species (for </w:t>
      </w:r>
      <w:r w:rsidRPr="00995361">
        <w:t xml:space="preserve">example, dense even-aged heather, bracken, Molinia grass, gorse or dense conifer stands) present far higher fire risk than structurally diverse mosaics. Promoting diverse plant communities, including fire-suppressing wet flushes, broadleaf woodland patches and grassland-heath mosaics, is a legitimate and evidence-supported component of fire risk reduction. Peatland and wetland restoration meaningfully reduces fire risk in areas </w:t>
      </w:r>
      <w:r w:rsidRPr="00995361">
        <w:t>where</w:t>
      </w:r>
      <w:r w:rsidRPr="00995361">
        <w:t xml:space="preserve"> rewetting raises surface moisture consistently. Evidence from blanket bog systems in Scotland and Ireland supports the role of sphagnum-dominated, high water-table peatlands as effective natural firebreaks. However, rewetting is not uniformly applicable nor is a long-term intervention, and during the transition period when vegetation is rank and degraded but not yet rewetted the fire risk may be elevated, not reduced. This transitional period is poorly understood and under-researched. Broadleaf woodland, particularly native species with high moisture content and low flammability (e.g. alder, willow, hazel), can act as effective fire breaks when strategically positioned. However, poorly designed woodland creation consisting of things like dense </w:t>
      </w:r>
      <w:r w:rsidRPr="00995361">
        <w:t>sitka</w:t>
      </w:r>
      <w:r w:rsidRPr="00995361">
        <w:t xml:space="preserve"> spruce monocultures on dry upland slopes substantially increases fire risk, as has been demonstrated repeatedly in the Galloway Hills and Welsh uplands. </w:t>
      </w:r>
    </w:p>
    <w:p w:rsidR="00995361" w:rsidRPr="00995361" w:rsidP="00995361">
      <w:r w:rsidRPr="00995361">
        <w:t>One Critical Caveat; there is a risk that Nature Based Solutions rhetoric is used to avoid the difficult but necessary conversation about prescribed fire. In Australia, Indigenous-led cultural burning has been formally integrated into landscape management precisely because it was understood that healthy, biodiverse country is maintained by fire, not protected from it. A UK Nature based solution framework that excludes prescribed burning as a tool is incomplete and will ultimately fail. Biodiversity and managed burning are not opposites; they are complements.</w:t>
      </w:r>
    </w:p>
    <w:p w:rsidR="00995361" w:rsidRPr="00995361" w:rsidP="00995361"/>
    <w:p w:rsidR="00995361" w:rsidRPr="00995361" w:rsidP="00995361">
      <w:r w:rsidRPr="00995361">
        <w:rPr>
          <w:b/>
          <w:bCs/>
        </w:rPr>
        <w:t>3. Defra Funding Schemes: Supporting Land Managers to Adapt</w:t>
      </w:r>
    </w:p>
    <w:p w:rsidR="00995361" w:rsidRPr="00995361" w:rsidP="00995361">
      <w:r w:rsidRPr="00995361">
        <w:t xml:space="preserve">The Environmental Land Management (ELM) suite such as Sustainable Farming Incentive (SFI), Countryside Stewardship (CS) and Landscape Recovery all </w:t>
      </w:r>
      <w:r w:rsidRPr="00995361">
        <w:t>offer</w:t>
      </w:r>
      <w:r w:rsidRPr="00995361">
        <w:t xml:space="preserve"> the most significant opportunity to embed wildfire management into routine land management practice. However, current scheme design often misses this opportunity.</w:t>
      </w:r>
    </w:p>
    <w:p w:rsidR="00995361" w:rsidRPr="00995361" w:rsidP="00995361">
      <w:r w:rsidRPr="00995361">
        <w:t>What is needed:</w:t>
      </w:r>
    </w:p>
    <w:p w:rsidR="00995361" w:rsidRPr="00995361" w:rsidP="00995361">
      <w:r w:rsidRPr="00995361">
        <w:t>• A dedicated wildfire management tier within Countryside Stewardship and SFI, with specific, well-remunerated actions for:</w:t>
      </w:r>
    </w:p>
    <w:p w:rsidR="00995361" w:rsidRPr="00995361" w:rsidP="00995361">
      <w:r w:rsidRPr="00995361">
        <w:t>• Prescribed burning (on appropriate vegetation types and soils)</w:t>
      </w:r>
    </w:p>
    <w:p w:rsidR="00995361" w:rsidRPr="00995361" w:rsidP="00995361">
      <w:r w:rsidRPr="00995361">
        <w:t>• Mechanical fuel reduction</w:t>
      </w:r>
    </w:p>
    <w:p w:rsidR="00995361" w:rsidRPr="00995361" w:rsidP="00995361">
      <w:r w:rsidRPr="00995361">
        <w:t>• Firebreak creation and maintenance</w:t>
      </w:r>
    </w:p>
    <w:p w:rsidR="00995361" w:rsidRPr="00995361" w:rsidP="00995361">
      <w:r w:rsidRPr="00995361">
        <w:t>• Bracken and invasive scrub management for fire risk reduction</w:t>
      </w:r>
    </w:p>
    <w:p w:rsidR="00995361" w:rsidRPr="00995361" w:rsidP="00995361">
      <w:r w:rsidRPr="00995361">
        <w:t>• Strategic grazing for fuel load management</w:t>
      </w:r>
    </w:p>
    <w:p w:rsidR="00995361" w:rsidRPr="00995361" w:rsidP="00995361">
      <w:r w:rsidRPr="00995361">
        <w:t>• Payment rates that reflect the true cost of delivery. Current CS rates for heather management are insufficient to cover contractor costs, equipment and the opportunity cost of management time. Rates must be benchmarked against actual delivery costs, not historical notional values.</w:t>
      </w:r>
    </w:p>
    <w:p w:rsidR="00995361" w:rsidRPr="00995361" w:rsidP="00995361">
      <w:r w:rsidRPr="00995361">
        <w:t>• Regulatory alignment. It is incoherent for Defra to simultaneously offer payments for heather management and maintain regulations that prohibit the most effective heather management tool (prescribed burning on blanket bog). Funding and regulation must be aligned.</w:t>
      </w:r>
    </w:p>
    <w:p w:rsidR="00995361" w:rsidRPr="00995361" w:rsidP="00995361">
      <w:r w:rsidRPr="00995361">
        <w:t>• Landscape Recovery projects should have wildfire risk reduction as an eligible primary objective. Currently, this is at best an implicit co-benefit. Given the trajectory of fire risk, it should be an explicit, fundable goal.</w:t>
      </w:r>
    </w:p>
    <w:p w:rsidR="00995361" w:rsidRPr="00995361" w:rsidP="00995361">
      <w:r w:rsidRPr="00995361">
        <w:t>• Capital grants for fire management infrastructure: water points, access tracks (which serve double duty as firebreaks and access routes for fire engines), fire beaters, training, equipment and communications kit are legitimate capital investments that reduce public costs in fire suppression. These should be available through the Farming Investment Fund or equivalent. Australia’s land stewardship programmes include explicit fire management obligations and payments. The UK’s ELM framework has the architecture to deliver something equivalent it simply lacks the wildfire-specific content.</w:t>
      </w:r>
    </w:p>
    <w:p w:rsidR="00995361" w:rsidRPr="00995361" w:rsidP="00995361"/>
    <w:p w:rsidR="00995361" w:rsidRPr="00995361" w:rsidP="00995361">
      <w:r w:rsidRPr="00995361">
        <w:rPr>
          <w:b/>
          <w:bCs/>
        </w:rPr>
        <w:t>4. Wildfire Monitoring: Improving Understanding of Causes and Risks</w:t>
      </w:r>
    </w:p>
    <w:p w:rsidR="00995361" w:rsidRPr="00995361" w:rsidP="00995361">
      <w:r w:rsidRPr="00995361">
        <w:t xml:space="preserve">I have unfortunately seen </w:t>
      </w:r>
      <w:r w:rsidRPr="00995361">
        <w:t>first hand</w:t>
      </w:r>
      <w:r w:rsidRPr="00995361">
        <w:t xml:space="preserve"> how UK wildfire monitoring is fragmented, inconsistent and severely under-resourced. Current recording of wildfire incidents is incomplete, variable in quality, and lacks the spatial precision needed for landscape-scale analysis. There doesn’t seem to be a decent equivalent to the Australians fire scar mapping programme for example. </w:t>
      </w:r>
    </w:p>
    <w:p w:rsidR="00995361" w:rsidRPr="00995361" w:rsidP="00995361">
      <w:r w:rsidRPr="00995361">
        <w:t>What Improvement Could Look Like:</w:t>
      </w:r>
    </w:p>
    <w:p w:rsidR="00995361" w:rsidRPr="00995361" w:rsidP="00995361">
      <w:r w:rsidRPr="00995361">
        <w:t>• Mandatory, standardised wildfire reporting across all Fire and Rescue Services, with agreed minimum data fields such as location (GPS), area burned, vegetation type, ignition cause, weather conditions, suppression resources deployed and cost for example. </w:t>
      </w:r>
    </w:p>
    <w:p w:rsidR="00995361" w:rsidRPr="00995361" w:rsidP="00995361">
      <w:r w:rsidRPr="00995361">
        <w:t>• Remote sensing integration: Options such as Sentinel-2 and Landsat imagery are freely available and have been used successfully to map fire scars, estimate burn severity and track vegetation recovery in other countries. A national programme to process this data for UK wildfires would dramatically improve our understanding of things like spatial patterns, severity and recovery.</w:t>
      </w:r>
    </w:p>
    <w:p w:rsidR="00995361" w:rsidRPr="00995361" w:rsidP="00995361">
      <w:r w:rsidRPr="00995361">
        <w:t>• A national wildfire database, hosted by a neutral body, accessible to researchers, land managers and emergency services.</w:t>
      </w:r>
    </w:p>
    <w:p w:rsidR="00995361" w:rsidRPr="00995361" w:rsidP="00995361">
      <w:r w:rsidRPr="00995361">
        <w:t>• Weather-fire relationship analysis: The Met Office could be resourced to develop a UK-specific fire weather index that integrates temperature, humidity, wind speed and drought conditions into operational fire danger forecasting. This may already exist but lacks operational integration with land management. </w:t>
      </w:r>
    </w:p>
    <w:p w:rsidR="00995361" w:rsidRPr="00995361" w:rsidP="00995361"/>
    <w:p w:rsidR="00995361" w:rsidRPr="00995361" w:rsidP="00995361">
      <w:r w:rsidRPr="00995361">
        <w:rPr>
          <w:b/>
          <w:bCs/>
        </w:rPr>
        <w:t>5. Emergency Services and Local Authorities: Resources and Training</w:t>
      </w:r>
    </w:p>
    <w:p w:rsidR="00995361" w:rsidRPr="00995361" w:rsidP="00995361">
      <w:r w:rsidRPr="00995361">
        <w:t xml:space="preserve">Again, I have seen </w:t>
      </w:r>
      <w:r w:rsidRPr="00995361">
        <w:t>first hand</w:t>
      </w:r>
      <w:r w:rsidRPr="00995361">
        <w:t xml:space="preserve"> just how critically under resourced the </w:t>
      </w:r>
      <w:r w:rsidRPr="00995361">
        <w:t>the</w:t>
      </w:r>
      <w:r w:rsidRPr="00995361">
        <w:t xml:space="preserve"> UK’s wildland firefighting capability is relative to the risk. Fire and Rescue Services are structured, equipped and trained primarily for structural fires (of the seven appliances present in response to the fire on our land only one had the required fitting for the agricultural equipment tank on the </w:t>
      </w:r>
      <w:r w:rsidRPr="00995361">
        <w:t>next door</w:t>
      </w:r>
      <w:r w:rsidRPr="00995361">
        <w:t xml:space="preserve"> farm). Wildland firefighting requires different equipment (all-terrain vehicles, portable pumps, hand tools, extended water supply systems), different tactics and different physical conditioning.</w:t>
      </w:r>
    </w:p>
    <w:p w:rsidR="00995361" w:rsidRPr="00995361" w:rsidP="00995361"/>
    <w:p w:rsidR="00995361" w:rsidRPr="00995361" w:rsidP="00995361">
      <w:r w:rsidRPr="00995361">
        <w:t>Specific needs:</w:t>
      </w:r>
    </w:p>
    <w:p w:rsidR="00995361" w:rsidRPr="00995361" w:rsidP="00995361">
      <w:r w:rsidRPr="00995361">
        <w:t>• Wildland fire training to be mandated as part of core Fire and Rescue Service competency frameworks, not left to individual service discretion.</w:t>
      </w:r>
    </w:p>
    <w:p w:rsidR="00995361" w:rsidRPr="00995361" w:rsidP="00995361">
      <w:r w:rsidRPr="00995361">
        <w:t xml:space="preserve">• National aerial firefighting capability: The UK has no dedicated air tanker or helicopter sling load capability for wildfire suppression. In every major wildfire event (Saddleworth Moor, Dartmoor, the Isle of Man) my understanding is that the absence of aerial suppression capability has been a critical limiting factor. A national contract for aerial resources, </w:t>
      </w:r>
      <w:r w:rsidRPr="00995361">
        <w:t>similar to</w:t>
      </w:r>
      <w:r w:rsidRPr="00995361">
        <w:t xml:space="preserve"> NAFC in Australia or the US Forest Service’s air tanker programme, is urgently needed.</w:t>
      </w:r>
    </w:p>
    <w:p w:rsidR="00995361" w:rsidRPr="00995361" w:rsidP="00995361">
      <w:r w:rsidRPr="00995361">
        <w:t>•  Pre-positioned resources and mutual aid frameworks for high-risk seasons, a formal surge capacity protocol does not currently exist.</w:t>
      </w:r>
    </w:p>
    <w:p w:rsidR="00995361" w:rsidRPr="00995361" w:rsidP="00995361">
      <w:r w:rsidRPr="00995361">
        <w:t>• Local Authority involvement: Planning authorities at the WUI must be equipped to assess wildfire risk in development proposals such as new forestry planting and require appropriate defensible space, adequate fire breaks and access for fire appliances. This requires updated planning guidance and training for planning officers.</w:t>
      </w:r>
    </w:p>
    <w:p w:rsidR="00995361" w:rsidRPr="00995361" w:rsidP="00995361">
      <w:r w:rsidRPr="00995361">
        <w:t>In remote upland areas, landowners and their employees are frequently first on scene. They need: basic wildfire suppression training (currently not available to my knowledge), appropriate hand tools and clear communication protocols with Fire and Rescue Services st the bare minimum. </w:t>
      </w:r>
    </w:p>
    <w:p w:rsidR="00995361" w:rsidRPr="00995361" w:rsidP="00995361"/>
    <w:p w:rsidR="00995361" w:rsidRPr="00995361" w:rsidP="00995361">
      <w:r w:rsidRPr="00995361">
        <w:rPr>
          <w:b/>
          <w:bCs/>
        </w:rPr>
        <w:t>6. Tackling Human Ignition: Public Engagement and Campaigns</w:t>
      </w:r>
    </w:p>
    <w:p w:rsidR="00995361" w:rsidRPr="00995361" w:rsidP="00995361">
      <w:r w:rsidRPr="00995361">
        <w:t>The majority of</w:t>
      </w:r>
      <w:r w:rsidRPr="00995361">
        <w:t xml:space="preserve"> UK wildfires (including our own small one here) are human-caused: discarded cigarettes, disposable barbecues, campfires, deliberate fire-setting and sparks from machinery. International evidence suggests that public awareness campaigns alone have limited impact on ignition rates, but that campaigns combined with targeted enforcement and site management (e.g. banning disposable barbecues at high-risk sites, physical access management during high fire danger periods) are more effective. Fire danger rating public communication as used in New Zealand and elsewhere is effective at changing public behaviour when it is visible, consistently communicated and linked to clear behavioural guidance. The UK has no equivalent public-facing fire danger communication system. The Met Office’s fire severity index could be put forward into a public-facing, widely communicated danger rating broadcast alongside weather forecasts during high-risk periods.</w:t>
      </w:r>
    </w:p>
    <w:p w:rsidR="00995361" w:rsidRPr="00995361" w:rsidP="00995361">
      <w:r w:rsidRPr="00995361">
        <w:t>As mentioned above, disposable barbecues are a well-documented ignition source, particularly at moorland access points. Several Local Nature Reserve and National Park authorities have implemented bans. A nationally consistent approach (backed by legislative powers where necessary) is preferable to a patchwork of local decisions. Coordinated national campaigns should be resourced at the national level by Defra, with delivery through things like National Parks and the wider land management sector. Social media campaigns targeting recreational users during high-risk periods are relatively low-cost and have measurable reach.</w:t>
      </w:r>
    </w:p>
    <w:p w:rsidR="00995361" w:rsidRPr="00995361" w:rsidP="00995361"/>
    <w:p w:rsidR="00995361" w:rsidRPr="00995361" w:rsidP="00995361">
      <w:r w:rsidRPr="00995361">
        <w:rPr>
          <w:b/>
          <w:bCs/>
        </w:rPr>
        <w:t>7. Policy to Reduce Severity and Socio-Economic Impacts</w:t>
      </w:r>
    </w:p>
    <w:p w:rsidR="00995361" w:rsidRPr="00995361" w:rsidP="00995361"/>
    <w:p w:rsidR="00995361" w:rsidRPr="00995361" w:rsidP="00995361">
      <w:r w:rsidRPr="00995361">
        <w:t>Wildfire causes direct economic loss through loss of grazing (sometimes for multiple seasons), loss of stock, fencing and infrastructure damage, soil erosion, and long-term vegetation change. These losses are chronically under-counted because there is no mandatory reporting mechanism and insurance coverage is often inadequate or absent.</w:t>
      </w:r>
    </w:p>
    <w:p w:rsidR="00995361" w:rsidRPr="00995361" w:rsidP="00995361">
      <w:r w:rsidRPr="00995361">
        <w:t>Policy asks:</w:t>
      </w:r>
    </w:p>
    <w:p w:rsidR="00995361" w:rsidRPr="00995361" w:rsidP="00995361">
      <w:r w:rsidRPr="00995361">
        <w:t>• A mandatory wildfire impact assessment framework for insurance and compensation purposes.</w:t>
      </w:r>
    </w:p>
    <w:p w:rsidR="00995361" w:rsidRPr="00995361" w:rsidP="00995361">
      <w:r w:rsidRPr="00995361">
        <w:t>• Business interruption support equivalent to that available under flood and other natural disaster schemes, available to agricultural businesses affected by wildfire.</w:t>
      </w:r>
    </w:p>
    <w:p w:rsidR="00995361" w:rsidRPr="00995361" w:rsidP="00995361">
      <w:r w:rsidRPr="00995361">
        <w:t>• Revised Agricultural Tenancy guidance to clarify obligations and rights of landlord and tenant in the event of wildfire damage.</w:t>
      </w:r>
    </w:p>
    <w:p w:rsidR="00995361" w:rsidRPr="00995361" w:rsidP="00995361">
      <w:r w:rsidRPr="00995361">
        <w:t>• Post-fire recovery packages within ELM, including funding for fencing reinstatement, reseeding and vegetation recovery monitoring.</w:t>
      </w:r>
    </w:p>
    <w:p w:rsidR="00995361" w:rsidRPr="00995361" w:rsidP="00995361">
      <w:r w:rsidRPr="00995361">
        <w:t xml:space="preserve">The Wildlife Urban </w:t>
      </w:r>
      <w:r w:rsidRPr="00995361">
        <w:t>Interface  is</w:t>
      </w:r>
      <w:r w:rsidRPr="00995361">
        <w:t xml:space="preserve"> where the most complex socio-economic impacts occur, and where planning policy has the most direct role. Current planning guidance (NPPF) does not adequately address wildfire risk at the Wildlife Urban Interface. Australia’s and New Zealand’s experience offers a directly applicable model.</w:t>
      </w:r>
    </w:p>
    <w:p w:rsidR="00995361" w:rsidRPr="00995361" w:rsidP="00995361">
      <w:r w:rsidRPr="00995361">
        <w:t>Policy asks:</w:t>
      </w:r>
    </w:p>
    <w:p w:rsidR="00995361" w:rsidRPr="00995361" w:rsidP="00995361">
      <w:r w:rsidRPr="00995361">
        <w:t>• Incorporate wildfire risk into the planning system through revised NPPF guidance within defined areas.</w:t>
      </w:r>
    </w:p>
    <w:p w:rsidR="00995361" w:rsidRPr="00995361" w:rsidP="00995361">
      <w:r w:rsidRPr="00995361">
        <w:t>• Require Wildfire Risk Assessments for new development within defined zones.</w:t>
      </w:r>
    </w:p>
    <w:p w:rsidR="00995361" w:rsidRPr="00995361" w:rsidP="00995361"/>
    <w:p w:rsidR="00995361" w:rsidRPr="00995361" w:rsidP="00995361">
      <w:r w:rsidRPr="00995361">
        <w:rPr>
          <w:b/>
          <w:bCs/>
        </w:rPr>
        <w:t>8. Cross-Departmental Coordination: A Joined-Up Government Approach</w:t>
      </w:r>
    </w:p>
    <w:p w:rsidR="00995361" w:rsidRPr="00995361" w:rsidP="00995361">
      <w:r w:rsidRPr="00995361">
        <w:t>The Current Problem in the UK is that the responsibility for wildfire is currently distributed across:</w:t>
      </w:r>
    </w:p>
    <w:p w:rsidR="00995361" w:rsidRPr="00995361" w:rsidP="00995361">
      <w:r w:rsidRPr="00995361">
        <w:t xml:space="preserve">• Defra (land management, </w:t>
      </w:r>
      <w:r w:rsidRPr="00995361">
        <w:t>agri</w:t>
      </w:r>
      <w:r w:rsidRPr="00995361">
        <w:t>-environment, peatland policy)</w:t>
      </w:r>
    </w:p>
    <w:p w:rsidR="00995361" w:rsidRPr="00995361" w:rsidP="00995361">
      <w:r w:rsidRPr="00995361">
        <w:t>• Forestry Commission / Forest Research (woodland management, timber)</w:t>
      </w:r>
    </w:p>
    <w:p w:rsidR="00995361" w:rsidRPr="00995361" w:rsidP="00995361">
      <w:r w:rsidRPr="00995361">
        <w:t>• MHCLG (planning, fire service governance, local government)</w:t>
      </w:r>
    </w:p>
    <w:p w:rsidR="00995361" w:rsidRPr="00995361" w:rsidP="00995361">
      <w:r w:rsidRPr="00995361">
        <w:t>• Home Office (fire service policy)</w:t>
      </w:r>
    </w:p>
    <w:p w:rsidR="00995361" w:rsidRPr="00995361" w:rsidP="00995361">
      <w:r w:rsidRPr="00995361">
        <w:t>• Met Office (fire weather)</w:t>
      </w:r>
    </w:p>
    <w:p w:rsidR="00995361" w:rsidRPr="00995361" w:rsidP="00995361">
      <w:r w:rsidRPr="00995361">
        <w:t>• Natural England / NatureScot / Natural Resources Wales (protected areas, conservation)</w:t>
      </w:r>
    </w:p>
    <w:p w:rsidR="00995361" w:rsidRPr="00995361" w:rsidP="00995361">
      <w:r w:rsidRPr="00995361">
        <w:t>• UKRI / UKCEH (research)</w:t>
      </w:r>
    </w:p>
    <w:p w:rsidR="00995361" w:rsidRPr="00995361" w:rsidP="00995361">
      <w:r w:rsidRPr="00995361">
        <w:t>• Devolved administrations (Scotland, Wales, Northern Ireland)</w:t>
      </w:r>
    </w:p>
    <w:p w:rsidR="00995361" w:rsidRPr="00995361" w:rsidP="00995361">
      <w:r w:rsidRPr="00995361">
        <w:t xml:space="preserve">This fragmentation obviously means that no single body has responsibility for the whole, accountability is diffuse, and policy frequently contradicts itself across departmental lines. </w:t>
      </w:r>
      <w:r w:rsidRPr="00995361">
        <w:t>Again</w:t>
      </w:r>
      <w:r w:rsidRPr="00995361">
        <w:t xml:space="preserve"> we have seen this ourselves when, during our wildfire incident, the firefighters onsite were </w:t>
      </w:r>
      <w:r w:rsidRPr="00995361">
        <w:t>unsure who to ring to answer specific queries in relation to the SSSI designation and what was or wasn’t permitted. </w:t>
      </w:r>
    </w:p>
    <w:p w:rsidR="00995361" w:rsidRPr="00995361" w:rsidP="00995361">
      <w:r w:rsidRPr="00995361">
        <w:t>As an example, joined-up Government thinking could look like; an Inter-Ministerial Wildfire Taskforce, chaired by a Minister with cross-departmental authority (Cabinet Office or a designated lead Minister), should be established with a mandate to:</w:t>
      </w:r>
    </w:p>
    <w:p w:rsidR="00995361" w:rsidRPr="00995361" w:rsidP="00995361">
      <w:r w:rsidRPr="00995361">
        <w:t>1. Produce a National Wildfire Strategy (England’s first) with assigned departmental responsibilities.</w:t>
      </w:r>
    </w:p>
    <w:p w:rsidR="00995361" w:rsidRPr="00995361" w:rsidP="00995361">
      <w:r w:rsidRPr="00995361">
        <w:t>2. Align regulatory, funding and planning policy.</w:t>
      </w:r>
    </w:p>
    <w:p w:rsidR="00995361" w:rsidRPr="00995361" w:rsidP="00995361">
      <w:r w:rsidRPr="00995361">
        <w:t>3. Commission and oversee any national research.</w:t>
      </w:r>
    </w:p>
    <w:p w:rsidR="00995361" w:rsidRPr="00995361" w:rsidP="00995361">
      <w:r w:rsidRPr="00995361">
        <w:t>4. Report annually to Parliament on wildfire risk, incidents and management progress.</w:t>
      </w:r>
    </w:p>
    <w:p w:rsidR="00995361" w:rsidRPr="00995361" w:rsidP="00995361"/>
    <w:p w:rsidR="00995361" w:rsidRPr="00995361" w:rsidP="00995361">
      <w:r w:rsidRPr="00995361">
        <w:rPr>
          <w:b/>
          <w:bCs/>
        </w:rPr>
        <w:t>Conclusion:</w:t>
      </w:r>
    </w:p>
    <w:p w:rsidR="00995361" w:rsidRPr="00995361" w:rsidP="00995361">
      <w:r w:rsidRPr="00995361">
        <w:t>As landowners, we are not asking for special treatment. We are asking for a policy and direction that allows us to do what we know works, supported by evidence, funded appropriately and coordinated coherently. The international evidence is not ambiguous. Landscapes managed with prescribed fire, strategic fuel reduction and shared information burn less severely, recover more quickly, and deliver better outcomes for biodiversity, carbon and rural communities than landscapes managed reactively.</w:t>
      </w:r>
    </w:p>
    <w:p w:rsidR="00995361" w:rsidRPr="00995361" w:rsidP="00995361">
      <w:r w:rsidRPr="00995361">
        <w:t>The UK has spent decades watching catastrophic wildfire events unfold in Australia, California and Canada and treating them as distant problems. The fires on Saddleworth Moor, in the Brecon Beacons, on Dartmoor and across the Scottish uplands are a signal that this country is not immune. The question is whether government will act on the evidence before the next catastrophic event or after it.</w:t>
      </w:r>
    </w:p>
    <w:p w:rsidR="00995361" w:rsidRPr="00995361" w:rsidP="00995361">
      <w:r w:rsidRPr="00995361">
        <w:t>We urge the Committee and government to act now, act on the evidence, and trust the people who manage the land to be partners in the solution.</w:t>
      </w:r>
    </w:p>
    <w:p w:rsidR="00995361" w:rsidRPr="00995361" w:rsidP="00995361">
      <w:r w:rsidRPr="00995361">
        <w:t>Thank you’d for the opportunity to share my opinion.</w:t>
      </w:r>
    </w:p>
    <w:p w:rsidR="00995361" w:rsidRPr="00995361" w:rsidP="00995361">
      <w:r w:rsidRPr="00995361">
        <w:t>Yours,</w:t>
      </w:r>
    </w:p>
    <w:p w:rsidR="00995361" w:rsidRPr="00995361" w:rsidP="00995361">
      <w:r w:rsidRPr="00995361">
        <w:t>Will Joicey</w:t>
      </w:r>
    </w:p>
    <w:p w:rsidR="00995361" w:rsidRPr="00995361" w:rsidP="00995361">
      <w:r w:rsidRPr="00995361">
        <w:t>Ford &amp; Etal Estates</w:t>
      </w:r>
    </w:p>
    <w:p w:rsidR="00995361" w:rsidP="00995361"/>
    <w:p w:rsidR="00995361" w:rsidRPr="00995361" w:rsidP="00995361">
      <w:pPr>
        <w:rPr>
          <w:i/>
          <w:iCs/>
        </w:rPr>
      </w:pPr>
      <w:r w:rsidRPr="00995361">
        <w:rPr>
          <w:i/>
          <w:iCs/>
        </w:rPr>
        <w:t>May 2026</w:t>
      </w:r>
      <w:r w:rsidRPr="00995361">
        <w:rPr>
          <w:i/>
          <w:iCs/>
        </w:rPr>
        <w:t> </w:t>
      </w:r>
    </w:p>
    <w:p w:rsidR="00020739"/>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953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53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53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53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53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53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53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53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53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53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53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53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53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53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53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53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53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5361"/>
    <w:rPr>
      <w:rFonts w:eastAsiaTheme="majorEastAsia" w:cstheme="majorBidi"/>
      <w:color w:val="272727" w:themeColor="text1" w:themeTint="D8"/>
    </w:rPr>
  </w:style>
  <w:style w:type="paragraph" w:styleId="Title">
    <w:name w:val="Title"/>
    <w:basedOn w:val="Normal"/>
    <w:next w:val="Normal"/>
    <w:link w:val="TitleChar"/>
    <w:uiPriority w:val="10"/>
    <w:qFormat/>
    <w:rsid w:val="009953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53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53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53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5361"/>
    <w:pPr>
      <w:spacing w:before="160"/>
      <w:jc w:val="center"/>
    </w:pPr>
    <w:rPr>
      <w:i/>
      <w:iCs/>
      <w:color w:val="404040" w:themeColor="text1" w:themeTint="BF"/>
    </w:rPr>
  </w:style>
  <w:style w:type="character" w:customStyle="1" w:styleId="QuoteChar">
    <w:name w:val="Quote Char"/>
    <w:basedOn w:val="DefaultParagraphFont"/>
    <w:link w:val="Quote"/>
    <w:uiPriority w:val="29"/>
    <w:rsid w:val="00995361"/>
    <w:rPr>
      <w:i/>
      <w:iCs/>
      <w:color w:val="404040" w:themeColor="text1" w:themeTint="BF"/>
    </w:rPr>
  </w:style>
  <w:style w:type="paragraph" w:styleId="ListParagraph">
    <w:name w:val="List Paragraph"/>
    <w:basedOn w:val="Normal"/>
    <w:uiPriority w:val="34"/>
    <w:qFormat/>
    <w:rsid w:val="00995361"/>
    <w:pPr>
      <w:ind w:left="720"/>
      <w:contextualSpacing/>
    </w:pPr>
  </w:style>
  <w:style w:type="character" w:styleId="IntenseEmphasis">
    <w:name w:val="Intense Emphasis"/>
    <w:basedOn w:val="DefaultParagraphFont"/>
    <w:uiPriority w:val="21"/>
    <w:qFormat/>
    <w:rsid w:val="00995361"/>
    <w:rPr>
      <w:i/>
      <w:iCs/>
      <w:color w:val="0F4761" w:themeColor="accent1" w:themeShade="BF"/>
    </w:rPr>
  </w:style>
  <w:style w:type="paragraph" w:styleId="IntenseQuote">
    <w:name w:val="Intense Quote"/>
    <w:basedOn w:val="Normal"/>
    <w:next w:val="Normal"/>
    <w:link w:val="IntenseQuoteChar"/>
    <w:uiPriority w:val="30"/>
    <w:qFormat/>
    <w:rsid w:val="009953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5361"/>
    <w:rPr>
      <w:i/>
      <w:iCs/>
      <w:color w:val="0F4761" w:themeColor="accent1" w:themeShade="BF"/>
    </w:rPr>
  </w:style>
  <w:style w:type="character" w:styleId="IntenseReference">
    <w:name w:val="Intense Reference"/>
    <w:basedOn w:val="DefaultParagraphFont"/>
    <w:uiPriority w:val="32"/>
    <w:qFormat/>
    <w:rsid w:val="00995361"/>
    <w:rPr>
      <w:b/>
      <w:bCs/>
      <w:smallCaps/>
      <w:color w:val="0F4761" w:themeColor="accent1" w:themeShade="BF"/>
      <w:spacing w:val="5"/>
    </w:rPr>
  </w:style>
  <w:style w:type="character" w:styleId="Hyperlink">
    <w:name w:val="Hyperlink"/>
    <w:basedOn w:val="DefaultParagraphFont"/>
    <w:uiPriority w:val="99"/>
    <w:unhideWhenUsed/>
    <w:rsid w:val="00995361"/>
    <w:rPr>
      <w:color w:val="467886" w:themeColor="hyperlink"/>
      <w:u w:val="single"/>
    </w:rPr>
  </w:style>
  <w:style w:type="character" w:customStyle="1" w:styleId="UnresolvedMention">
    <w:name w:val="Unresolved Mention"/>
    <w:basedOn w:val="DefaultParagraphFont"/>
    <w:uiPriority w:val="99"/>
    <w:semiHidden/>
    <w:unhideWhenUsed/>
    <w:rsid w:val="00995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CWR0212</dc:title>
  <cp:revision>0</cp:revision>
</cp:coreProperties>
</file>