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19FE" w:rsidRPr="00560C4C" w:rsidP="00C419FE">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C419FE">
        <w:rPr>
          <w:rFonts w:ascii="Calibri" w:hAnsi="Calibri" w:cs="Calibri"/>
          <w:sz w:val="28"/>
          <w:szCs w:val="28"/>
        </w:rPr>
        <w:t>Art Fund</w:t>
      </w:r>
    </w:p>
    <w:p w:rsidR="00C419FE" w:rsidP="5CA39A5F">
      <w:pPr>
        <w:rPr>
          <w:rFonts w:ascii="Franklin Gothic Book" w:eastAsia="Franklin Gothic Book" w:hAnsi="Franklin Gothic Book" w:cs="Franklin Gothic Book"/>
          <w:color w:val="4D4D4D"/>
          <w:sz w:val="22"/>
          <w:szCs w:val="22"/>
        </w:rPr>
      </w:pPr>
    </w:p>
    <w:p w:rsidR="003C32C3" w:rsidP="5CA39A5F">
      <w:pPr>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color w:val="4D4D4D"/>
          <w:sz w:val="22"/>
          <w:szCs w:val="22"/>
        </w:rPr>
        <w:t>1</w:t>
      </w:r>
      <w:r w:rsidRPr="5CA39A5F">
        <w:rPr>
          <w:rFonts w:ascii="Franklin Gothic Book" w:eastAsia="Franklin Gothic Book" w:hAnsi="Franklin Gothic Book" w:cs="Franklin Gothic Book"/>
          <w:color w:val="4D4D4D"/>
          <w:sz w:val="22"/>
          <w:szCs w:val="22"/>
        </w:rPr>
        <w:t>) How effective are government policies in supporting the growth, competitiveness and long-term resilience of the tourism sector?</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Government policy has been effective where it has recognised culture as a core part of the UK’s tourism offer. In particular, the free admission policy for national museums has been a major success, widening access while strengthening the UK’s attractiveness to both domestic and international visitors. Visits to formerly charging museums rose by 151% in the first decade after free entry was introduced, with even higher increases at institutions including the Natural History Museum, V&amp;A and National Museums </w:t>
      </w:r>
      <w:r w:rsidRPr="5CA39A5F">
        <w:rPr>
          <w:rFonts w:ascii="Franklin Gothic Book" w:eastAsia="Franklin Gothic Book" w:hAnsi="Franklin Gothic Book" w:cs="Franklin Gothic Book"/>
          <w:sz w:val="22"/>
          <w:szCs w:val="22"/>
        </w:rPr>
        <w:t xml:space="preserve">Liverpool. Museums and galleries also consistently make up many of the UK’s most visited attractions, demonstrating their central role in the visitor economy. </w:t>
      </w:r>
    </w:p>
    <w:p w:rsidR="003C32C3" w:rsidP="5CA39A5F">
      <w:pPr>
        <w:spacing w:before="240" w:after="240"/>
        <w:rPr>
          <w:rFonts w:ascii="Franklin Gothic Book" w:eastAsia="Franklin Gothic Book" w:hAnsi="Franklin Gothic Book" w:cs="Franklin Gothic Book"/>
          <w:b/>
          <w:bCs/>
          <w:sz w:val="22"/>
          <w:szCs w:val="22"/>
        </w:rPr>
      </w:pPr>
      <w:r w:rsidRPr="1C440DE3">
        <w:rPr>
          <w:rFonts w:ascii="Franklin Gothic Book" w:eastAsia="Franklin Gothic Book" w:hAnsi="Franklin Gothic Book" w:cs="Franklin Gothic Book"/>
          <w:sz w:val="22"/>
          <w:szCs w:val="22"/>
        </w:rPr>
        <w:t>However, current policy is less effective in supporting the long-term resilience of the sector. Museums and galleries are major drivers of tourism, but</w:t>
      </w:r>
      <w:r w:rsidRPr="1C440DE3">
        <w:rPr>
          <w:rFonts w:ascii="Franklin Gothic Book" w:eastAsia="Franklin Gothic Book" w:hAnsi="Franklin Gothic Book" w:cs="Franklin Gothic Book"/>
          <w:sz w:val="22"/>
          <w:szCs w:val="22"/>
        </w:rPr>
        <w:t xml:space="preserve"> local authority spending on culture has fallen by around 30% since 2010 and</w:t>
      </w:r>
      <w:r w:rsidRPr="1C440DE3">
        <w:rPr>
          <w:rFonts w:ascii="Franklin Gothic Book" w:eastAsia="Franklin Gothic Book" w:hAnsi="Franklin Gothic Book" w:cs="Franklin Gothic Book"/>
          <w:sz w:val="22"/>
          <w:szCs w:val="22"/>
        </w:rPr>
        <w:t xml:space="preserve"> </w:t>
      </w:r>
      <w:r w:rsidRPr="1C440DE3">
        <w:rPr>
          <w:rFonts w:ascii="Franklin Gothic Book" w:eastAsia="Franklin Gothic Book" w:hAnsi="Franklin Gothic Book" w:cs="Franklin Gothic Book"/>
          <w:sz w:val="22"/>
          <w:szCs w:val="22"/>
        </w:rPr>
        <w:t xml:space="preserve">Art Fund’s 2026 Museum </w:t>
      </w:r>
      <w:r w:rsidRPr="1C440DE3">
        <w:rPr>
          <w:rFonts w:ascii="Franklin Gothic Book" w:eastAsia="Franklin Gothic Book" w:hAnsi="Franklin Gothic Book" w:cs="Franklin Gothic Book"/>
          <w:sz w:val="22"/>
          <w:szCs w:val="22"/>
        </w:rPr>
        <w:t>D</w:t>
      </w:r>
      <w:r w:rsidRPr="1C440DE3">
        <w:rPr>
          <w:rFonts w:ascii="Franklin Gothic Book" w:eastAsia="Franklin Gothic Book" w:hAnsi="Franklin Gothic Book" w:cs="Franklin Gothic Book"/>
          <w:sz w:val="22"/>
          <w:szCs w:val="22"/>
        </w:rPr>
        <w:t xml:space="preserve">irectors </w:t>
      </w:r>
      <w:r w:rsidRPr="1C440DE3">
        <w:rPr>
          <w:rFonts w:ascii="Franklin Gothic Book" w:eastAsia="Franklin Gothic Book" w:hAnsi="Franklin Gothic Book" w:cs="Franklin Gothic Book"/>
          <w:sz w:val="22"/>
          <w:szCs w:val="22"/>
        </w:rPr>
        <w:t>S</w:t>
      </w:r>
      <w:r w:rsidRPr="1C440DE3">
        <w:rPr>
          <w:rFonts w:ascii="Franklin Gothic Book" w:eastAsia="Franklin Gothic Book" w:hAnsi="Franklin Gothic Book" w:cs="Franklin Gothic Book"/>
          <w:sz w:val="22"/>
          <w:szCs w:val="22"/>
        </w:rPr>
        <w:t xml:space="preserve">urvey found that </w:t>
      </w:r>
      <w:r w:rsidRPr="1C440DE3">
        <w:rPr>
          <w:rFonts w:ascii="Franklin Gothic Book" w:eastAsia="Franklin Gothic Book" w:hAnsi="Franklin Gothic Book" w:cs="Franklin Gothic Book"/>
          <w:sz w:val="22"/>
          <w:szCs w:val="22"/>
        </w:rPr>
        <w:t xml:space="preserve">many </w:t>
      </w:r>
      <w:r w:rsidRPr="1C440DE3">
        <w:rPr>
          <w:rFonts w:ascii="Franklin Gothic Book" w:eastAsia="Franklin Gothic Book" w:hAnsi="Franklin Gothic Book" w:cs="Franklin Gothic Book"/>
          <w:sz w:val="22"/>
          <w:szCs w:val="22"/>
        </w:rPr>
        <w:t xml:space="preserve">were </w:t>
      </w:r>
      <w:r w:rsidRPr="1C440DE3">
        <w:rPr>
          <w:rFonts w:ascii="Franklin Gothic Book" w:eastAsia="Franklin Gothic Book" w:hAnsi="Franklin Gothic Book" w:cs="Franklin Gothic Book"/>
          <w:sz w:val="22"/>
          <w:szCs w:val="22"/>
        </w:rPr>
        <w:t xml:space="preserve">facing </w:t>
      </w:r>
      <w:r w:rsidRPr="1C440DE3">
        <w:rPr>
          <w:rFonts w:ascii="Franklin Gothic Book" w:eastAsia="Franklin Gothic Book" w:hAnsi="Franklin Gothic Book" w:cs="Franklin Gothic Book"/>
          <w:sz w:val="22"/>
          <w:szCs w:val="22"/>
        </w:rPr>
        <w:t>growing funding pressures</w:t>
      </w:r>
      <w:r w:rsidRPr="1C440DE3">
        <w:rPr>
          <w:rFonts w:ascii="Franklin Gothic Book" w:eastAsia="Franklin Gothic Book" w:hAnsi="Franklin Gothic Book" w:cs="Franklin Gothic Book"/>
          <w:sz w:val="22"/>
          <w:szCs w:val="22"/>
        </w:rPr>
        <w:t xml:space="preserve"> rising operating costs</w:t>
      </w:r>
      <w:r w:rsidRPr="1C440DE3">
        <w:rPr>
          <w:rFonts w:ascii="Franklin Gothic Book" w:eastAsia="Franklin Gothic Book" w:hAnsi="Franklin Gothic Book" w:cs="Franklin Gothic Book"/>
          <w:sz w:val="22"/>
          <w:szCs w:val="22"/>
        </w:rPr>
        <w:t>, limited staff capacity</w:t>
      </w:r>
      <w:r w:rsidRPr="1C440DE3">
        <w:rPr>
          <w:rFonts w:ascii="Franklin Gothic Book" w:eastAsia="Franklin Gothic Book" w:hAnsi="Franklin Gothic Book" w:cs="Franklin Gothic Book"/>
          <w:sz w:val="22"/>
          <w:szCs w:val="22"/>
        </w:rPr>
        <w:t xml:space="preserve"> and reduced local authority support. </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This creates a risk that the very cultural infrastructure which attracts visitors is being weakened. Government policy should therefore focus not only on promoting tourism, but on reinvesting in the museums, galleries and heritage organisations that underpin the UK’s visitor economy.</w:t>
      </w:r>
    </w:p>
    <w:p w:rsidR="003C32C3" w:rsidP="5CA39A5F">
      <w:pPr>
        <w:rPr>
          <w:rFonts w:ascii="Franklin Gothic Book" w:eastAsia="Franklin Gothic Book" w:hAnsi="Franklin Gothic Book" w:cs="Franklin Gothic Book"/>
          <w:color w:val="4D4D4D"/>
          <w:sz w:val="22"/>
          <w:szCs w:val="22"/>
        </w:rPr>
      </w:pPr>
      <w:r w:rsidRPr="5CA39A5F">
        <w:rPr>
          <w:rFonts w:ascii="Franklin Gothic Book" w:eastAsia="Franklin Gothic Book" w:hAnsi="Franklin Gothic Book" w:cs="Franklin Gothic Book"/>
          <w:color w:val="4D4D4D"/>
          <w:sz w:val="22"/>
          <w:szCs w:val="22"/>
        </w:rPr>
        <w:t>i)</w:t>
      </w:r>
      <w:r w:rsidRPr="5CA39A5F">
        <w:rPr>
          <w:rFonts w:ascii="Franklin Gothic Book" w:eastAsia="Franklin Gothic Book" w:hAnsi="Franklin Gothic Book" w:cs="Franklin Gothic Book"/>
          <w:color w:val="4D4D4D"/>
          <w:sz w:val="22"/>
          <w:szCs w:val="22"/>
        </w:rPr>
        <w:t xml:space="preserve"> What are the main barriers to international competitiveness? How effectively does the UK promote itself overseas as a destination and what more could be done to strengthen its international profile?</w:t>
      </w:r>
    </w:p>
    <w:p w:rsidR="003C32C3" w:rsidP="5CA39A5F">
      <w:pPr>
        <w:spacing w:before="240" w:after="240"/>
        <w:rPr>
          <w:rFonts w:ascii="Franklin Gothic Book" w:eastAsia="Franklin Gothic Book" w:hAnsi="Franklin Gothic Book" w:cs="Franklin Gothic Book"/>
          <w:sz w:val="22"/>
          <w:szCs w:val="22"/>
        </w:rPr>
      </w:pPr>
      <w:r w:rsidRPr="5F5D8524">
        <w:rPr>
          <w:rFonts w:ascii="Franklin Gothic Book" w:eastAsia="Franklin Gothic Book" w:hAnsi="Franklin Gothic Book" w:cs="Franklin Gothic Book"/>
          <w:sz w:val="22"/>
          <w:szCs w:val="22"/>
        </w:rPr>
        <w:t>One of the UK’s greatest strengths internationally is its cultural offer. Museums, galleries</w:t>
      </w:r>
      <w:r w:rsidRPr="5F5D8524">
        <w:rPr>
          <w:rFonts w:ascii="Franklin Gothic Book" w:eastAsia="Franklin Gothic Book" w:hAnsi="Franklin Gothic Book" w:cs="Franklin Gothic Book"/>
          <w:sz w:val="22"/>
          <w:szCs w:val="22"/>
        </w:rPr>
        <w:t xml:space="preserve"> and heritage sites are central to the UK’s global tourism appeal and play an important role in shaping how the country is perceived overseas. Research from London &amp; Partners found that 73% of international tourists cited the UK’s cultural offer as a primary reason for visiting the country, while research from the Greater London Authority found that four out of five travellers cited culture as their main reason for visiting London</w:t>
      </w:r>
      <w:r w:rsidRPr="5F5D8524">
        <w:rPr>
          <w:rFonts w:ascii="Franklin Gothic Book" w:eastAsia="Franklin Gothic Book" w:hAnsi="Franklin Gothic Book" w:cs="Franklin Gothic Book"/>
          <w:sz w:val="22"/>
          <w:szCs w:val="22"/>
        </w:rPr>
        <w:t>, especially significant given that culture is worth £64bn to the London econo</w:t>
      </w:r>
      <w:r w:rsidRPr="5F5D8524">
        <w:rPr>
          <w:rFonts w:ascii="Franklin Gothic Book" w:eastAsia="Franklin Gothic Book" w:hAnsi="Franklin Gothic Book" w:cs="Franklin Gothic Book"/>
          <w:sz w:val="22"/>
          <w:szCs w:val="22"/>
        </w:rPr>
        <w:t>my</w:t>
      </w:r>
      <w:r w:rsidRPr="5F5D8524">
        <w:rPr>
          <w:rFonts w:ascii="Franklin Gothic Book" w:eastAsia="Franklin Gothic Book" w:hAnsi="Franklin Gothic Book" w:cs="Franklin Gothic Book"/>
          <w:sz w:val="22"/>
          <w:szCs w:val="22"/>
        </w:rPr>
        <w:t>.</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Regional museums and galleries increasingly demonstrate how cultural investment can strengthen international profiles beyond London. For example, The Box in Plymouth has generated an estimated £244 million economic impact since opening and attracted around 72,000 international visits, helping position Plymouth as a cultural destination with both national and international reach. Similarly, the Roman Baths welcomed over one million visitors in 2023, showing the continued drawing power of heritage-led tourism</w:t>
      </w:r>
      <w:r w:rsidRPr="5CA39A5F">
        <w:rPr>
          <w:rFonts w:ascii="Franklin Gothic Book" w:eastAsia="Franklin Gothic Book" w:hAnsi="Franklin Gothic Book" w:cs="Franklin Gothic Book"/>
          <w:sz w:val="22"/>
          <w:szCs w:val="22"/>
        </w:rPr>
        <w:t xml:space="preserve"> in regional cities.</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However, there are growing barriers to the UK’s international competitiveness</w:t>
      </w:r>
      <w:r w:rsidRPr="5CA39A5F">
        <w:rPr>
          <w:rFonts w:ascii="Franklin Gothic Book" w:eastAsia="Franklin Gothic Book" w:hAnsi="Franklin Gothic Book" w:cs="Franklin Gothic Book"/>
          <w:sz w:val="22"/>
          <w:szCs w:val="22"/>
        </w:rPr>
        <w:t xml:space="preserve"> and international visitor numbers are showing signs of decline across parts of the sector. Art Fund’s 2026 Museum Directors Research found that over 36% of museums reported a decrease in international visitor numbers compared to the previous year, while less than a quarter reported growth.</w:t>
      </w:r>
      <w:r w:rsidRPr="5CA39A5F">
        <w:rPr>
          <w:rFonts w:ascii="Franklin Gothic Book" w:eastAsia="Franklin Gothic Book" w:hAnsi="Franklin Gothic Book" w:cs="Franklin Gothic Book"/>
          <w:sz w:val="22"/>
          <w:szCs w:val="22"/>
        </w:rPr>
        <w:t xml:space="preserve"> A major </w:t>
      </w:r>
      <w:r w:rsidRPr="5CA39A5F">
        <w:rPr>
          <w:rFonts w:ascii="Franklin Gothic Book" w:eastAsia="Franklin Gothic Book" w:hAnsi="Franklin Gothic Book" w:cs="Franklin Gothic Book"/>
          <w:sz w:val="22"/>
          <w:szCs w:val="22"/>
        </w:rPr>
        <w:t>challenge is the financial pressure facing cultural institutions</w:t>
      </w:r>
      <w:r w:rsidRPr="5CA39A5F">
        <w:rPr>
          <w:rFonts w:ascii="Franklin Gothic Book" w:eastAsia="Franklin Gothic Book" w:hAnsi="Franklin Gothic Book" w:cs="Franklin Gothic Book"/>
          <w:sz w:val="22"/>
          <w:szCs w:val="22"/>
        </w:rPr>
        <w:t xml:space="preserve"> as they are</w:t>
      </w:r>
      <w:r w:rsidRPr="5CA39A5F">
        <w:rPr>
          <w:rFonts w:ascii="Franklin Gothic Book" w:eastAsia="Franklin Gothic Book" w:hAnsi="Franklin Gothic Book" w:cs="Franklin Gothic Book"/>
          <w:sz w:val="22"/>
          <w:szCs w:val="22"/>
        </w:rPr>
        <w:t xml:space="preserve"> being asked to attract international audiences and contribute to economic growth while operating within increasingly constrained fundin</w:t>
      </w:r>
      <w:r w:rsidRPr="5CA39A5F">
        <w:rPr>
          <w:rFonts w:ascii="Franklin Gothic Book" w:eastAsia="Franklin Gothic Book" w:hAnsi="Franklin Gothic Book" w:cs="Franklin Gothic Book"/>
          <w:sz w:val="22"/>
          <w:szCs w:val="22"/>
        </w:rPr>
        <w:t>g environments. Rising operating costs, inflation, staffing pressures and reductions in local authority cultural spending risk</w:t>
      </w:r>
      <w:r w:rsidRPr="5CA39A5F">
        <w:rPr>
          <w:rFonts w:ascii="Franklin Gothic Book" w:eastAsia="Franklin Gothic Book" w:hAnsi="Franklin Gothic Book" w:cs="Franklin Gothic Book"/>
          <w:sz w:val="22"/>
          <w:szCs w:val="22"/>
        </w:rPr>
        <w:t>s</w:t>
      </w:r>
      <w:r w:rsidRPr="5CA39A5F">
        <w:rPr>
          <w:rFonts w:ascii="Franklin Gothic Book" w:eastAsia="Franklin Gothic Book" w:hAnsi="Franklin Gothic Book" w:cs="Franklin Gothic Book"/>
          <w:sz w:val="22"/>
          <w:szCs w:val="22"/>
        </w:rPr>
        <w:t xml:space="preserve"> weakening the quality and sustainability of the visitor offer.</w:t>
      </w:r>
    </w:p>
    <w:p w:rsidR="003C32C3" w:rsidP="1C440DE3">
      <w:pPr>
        <w:spacing w:before="240" w:after="240"/>
        <w:rPr>
          <w:rFonts w:ascii="Franklin Gothic Book" w:eastAsia="Franklin Gothic Book" w:hAnsi="Franklin Gothic Book" w:cs="Franklin Gothic Book"/>
          <w:sz w:val="22"/>
          <w:szCs w:val="22"/>
        </w:rPr>
      </w:pPr>
      <w:r w:rsidRPr="1C440DE3">
        <w:rPr>
          <w:rFonts w:ascii="Franklin Gothic Book" w:eastAsia="Franklin Gothic Book" w:hAnsi="Franklin Gothic Book" w:cs="Franklin Gothic Book"/>
          <w:sz w:val="22"/>
          <w:szCs w:val="22"/>
        </w:rPr>
        <w:t xml:space="preserve">There is also a risk that policy decisions could unintentionally damage the UK’s international attractiveness. The proposal to explore charging international visitors for entry to national museums would undermine one of the UK’s key competitive advantages: free access to world-class cultural institutions. The free entry policy is internationally distinctive and has helped position the UK as an accessible and welcoming destination. Introducing charges could create barriers to access, reduce visitor goodwill </w:t>
      </w:r>
      <w:r w:rsidRPr="1C440DE3">
        <w:rPr>
          <w:rFonts w:ascii="Franklin Gothic Book" w:eastAsia="Franklin Gothic Book" w:hAnsi="Franklin Gothic Book" w:cs="Franklin Gothic Book"/>
          <w:sz w:val="22"/>
          <w:szCs w:val="22"/>
        </w:rPr>
        <w:t>and weaken the UK’s cultural soft power.</w:t>
      </w:r>
      <w:r w:rsidRPr="1C440DE3">
        <w:rPr>
          <w:rFonts w:ascii="Franklin Gothic Book" w:eastAsia="Franklin Gothic Book" w:hAnsi="Franklin Gothic Book" w:cs="Franklin Gothic Book"/>
          <w:sz w:val="22"/>
          <w:szCs w:val="22"/>
        </w:rPr>
        <w:t xml:space="preserve"> London has recently been voted the best city in the world for culture by Time Out, and </w:t>
      </w:r>
      <w:r w:rsidRPr="1C440DE3">
        <w:rPr>
          <w:rFonts w:ascii="Franklin Gothic Book" w:eastAsia="Franklin Gothic Book" w:hAnsi="Franklin Gothic Book" w:cs="Franklin Gothic Book"/>
          <w:sz w:val="22"/>
          <w:szCs w:val="22"/>
        </w:rPr>
        <w:t xml:space="preserve">the magazine cited </w:t>
      </w:r>
      <w:r w:rsidRPr="1C440DE3">
        <w:rPr>
          <w:rFonts w:ascii="Franklin Gothic Book" w:eastAsia="Franklin Gothic Book" w:hAnsi="Franklin Gothic Book" w:cs="Franklin Gothic Book"/>
          <w:sz w:val="22"/>
          <w:szCs w:val="22"/>
        </w:rPr>
        <w:t xml:space="preserve">its </w:t>
      </w:r>
      <w:r w:rsidRPr="1C440DE3">
        <w:rPr>
          <w:rFonts w:ascii="Franklin Gothic Book" w:eastAsia="Franklin Gothic Book" w:hAnsi="Franklin Gothic Book" w:cs="Franklin Gothic Book"/>
          <w:sz w:val="22"/>
          <w:szCs w:val="22"/>
        </w:rPr>
        <w:t xml:space="preserve"> "</w:t>
      </w:r>
      <w:r w:rsidRPr="1C440DE3">
        <w:rPr>
          <w:rFonts w:ascii="Franklin Gothic Book" w:eastAsia="Franklin Gothic Book" w:hAnsi="Franklin Gothic Book" w:cs="Franklin Gothic Book"/>
          <w:sz w:val="22"/>
          <w:szCs w:val="22"/>
        </w:rPr>
        <w:t>incredible free access to some of the world's best institutions"</w:t>
      </w:r>
      <w:r w:rsidRPr="1C440DE3">
        <w:rPr>
          <w:rFonts w:ascii="Franklin Gothic Book" w:eastAsia="Franklin Gothic Book" w:hAnsi="Franklin Gothic Book" w:cs="Franklin Gothic Book"/>
          <w:sz w:val="22"/>
          <w:szCs w:val="22"/>
        </w:rPr>
        <w:t xml:space="preserve"> and mentioned within </w:t>
      </w:r>
      <w:r w:rsidRPr="1C440DE3">
        <w:rPr>
          <w:rFonts w:ascii="Franklin Gothic Book" w:eastAsia="Franklin Gothic Book" w:hAnsi="Franklin Gothic Book" w:cs="Franklin Gothic Book"/>
          <w:sz w:val="22"/>
          <w:szCs w:val="22"/>
        </w:rPr>
        <w:t xml:space="preserve">their </w:t>
      </w:r>
      <w:r w:rsidRPr="1C440DE3">
        <w:rPr>
          <w:rFonts w:ascii="Franklin Gothic Book" w:eastAsia="Franklin Gothic Book" w:hAnsi="Franklin Gothic Book" w:cs="Franklin Gothic Book"/>
          <w:sz w:val="22"/>
          <w:szCs w:val="22"/>
        </w:rPr>
        <w:t xml:space="preserve"> research</w:t>
      </w:r>
      <w:r w:rsidRPr="1C440DE3">
        <w:rPr>
          <w:rFonts w:ascii="Franklin Gothic Book" w:eastAsia="Franklin Gothic Book" w:hAnsi="Franklin Gothic Book" w:cs="Franklin Gothic Book"/>
          <w:sz w:val="22"/>
          <w:szCs w:val="22"/>
        </w:rPr>
        <w:t xml:space="preserve"> that</w:t>
      </w:r>
      <w:r w:rsidRPr="1C440DE3">
        <w:rPr>
          <w:rFonts w:ascii="Franklin Gothic Book" w:eastAsia="Franklin Gothic Book" w:hAnsi="Franklin Gothic Book" w:cs="Franklin Gothic Book"/>
          <w:sz w:val="22"/>
          <w:szCs w:val="22"/>
        </w:rPr>
        <w:t xml:space="preserve"> 90% of Londoners praised the accessibility and affordability of art in the capital.</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To strengthen the UK’s international profile further, government should:</w:t>
      </w:r>
    </w:p>
    <w:p w:rsidR="003C32C3" w:rsidP="5CA39A5F">
      <w:pPr>
        <w:pStyle w:val="ListParagraph"/>
        <w:numPr>
          <w:ilvl w:val="0"/>
          <w:numId w:val="2"/>
        </w:numPr>
        <w:spacing w:after="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Continue protecting free access to national museums and galleries. </w:t>
      </w:r>
    </w:p>
    <w:p w:rsidR="003C32C3" w:rsidP="5CA39A5F">
      <w:pPr>
        <w:pStyle w:val="ListParagraph"/>
        <w:numPr>
          <w:ilvl w:val="0"/>
          <w:numId w:val="2"/>
        </w:numPr>
        <w:spacing w:after="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Invest more sustainably in museums, galleries and cultural infrastructure across all regions of the UK. </w:t>
      </w:r>
    </w:p>
    <w:p w:rsidR="003C32C3" w:rsidP="5CA39A5F">
      <w:pPr>
        <w:pStyle w:val="ListParagraph"/>
        <w:numPr>
          <w:ilvl w:val="0"/>
          <w:numId w:val="2"/>
        </w:numPr>
        <w:spacing w:after="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Ensure tourism revenues, including any visitor levy income, are reinvested into the cultural institutions that attract visitors. </w:t>
      </w:r>
    </w:p>
    <w:p w:rsidR="003C32C3" w:rsidP="5CA39A5F">
      <w:pPr>
        <w:pStyle w:val="ListParagraph"/>
        <w:numPr>
          <w:ilvl w:val="0"/>
          <w:numId w:val="2"/>
        </w:numPr>
        <w:spacing w:after="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Strengthen support for regional cultural destinations to ensure international tourism benefits are spread more evenly across the country. </w:t>
      </w:r>
    </w:p>
    <w:p w:rsidR="003C32C3" w:rsidP="5CA39A5F">
      <w:pPr>
        <w:pStyle w:val="ListParagraph"/>
        <w:numPr>
          <w:ilvl w:val="0"/>
          <w:numId w:val="2"/>
        </w:numPr>
        <w:spacing w:after="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Recognise museums and galleries not only as visitor attractions, but as drivers of soft power, cultural diplomacy and economic growth. </w:t>
      </w:r>
    </w:p>
    <w:p w:rsidR="003C32C3" w:rsidP="5CA39A5F">
      <w:pPr>
        <w:rPr>
          <w:rFonts w:ascii="Franklin Gothic Book" w:eastAsia="Franklin Gothic Book" w:hAnsi="Franklin Gothic Book" w:cs="Franklin Gothic Book"/>
          <w:color w:val="4D4D4D"/>
          <w:sz w:val="22"/>
          <w:szCs w:val="22"/>
        </w:rPr>
      </w:pPr>
    </w:p>
    <w:p w:rsidR="003C32C3" w:rsidP="5CA39A5F">
      <w:pPr>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color w:val="4D4D4D"/>
          <w:sz w:val="22"/>
          <w:szCs w:val="22"/>
        </w:rPr>
        <w:t>v. What are the arguments for and against the proposal to give mayoral strategic authorities the power to introduce an overnight visitor levy? If a levy is introduced, how should it best be spent to attract tourism and investment?</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There are strong arguments in favour of giving mayoral strategic authorities the power to introduce an overnight visitor levy, particularly where revenues are reinvested into the visitor economy and local cultural infrastructure. Museums, galleries and heritage organisations are key drivers of tourism across the UK, attracting both domestic and international visitors, supporting local economies and sustaining hospitality and high street activity.</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A visitor levy could provide a dedicated and more sustainable funding stream at a time when many cultural organisations face significant financial pressures. Evidence suggests that modest tourism levies do not generally lead to sustained reductions in visitor numbers. Cities such as Amsterdam, Paris and Barcelona continue to attract high visitor volumes despite operating similar levies, with visitors typically viewing them as part of the normal cost of travel. Research also suggests that tourism demand is r</w:t>
      </w:r>
      <w:r w:rsidRPr="5CA39A5F">
        <w:rPr>
          <w:rFonts w:ascii="Franklin Gothic Book" w:eastAsia="Franklin Gothic Book" w:hAnsi="Franklin Gothic Book" w:cs="Franklin Gothic Book"/>
          <w:sz w:val="22"/>
          <w:szCs w:val="22"/>
        </w:rPr>
        <w:t>elatively price inelastic, meaning small additional costs are unlikely to be the deciding factor in travel decisions.</w:t>
      </w:r>
    </w:p>
    <w:p w:rsidR="003C32C3" w:rsidP="5CA39A5F">
      <w:pPr>
        <w:spacing w:before="240" w:after="240"/>
        <w:rPr>
          <w:rFonts w:ascii="Franklin Gothic Book" w:eastAsia="Franklin Gothic Book" w:hAnsi="Franklin Gothic Book" w:cs="Franklin Gothic Book"/>
          <w:sz w:val="22"/>
          <w:szCs w:val="22"/>
        </w:rPr>
      </w:pPr>
      <w:r w:rsidRPr="5CA39A5F">
        <w:rPr>
          <w:rFonts w:ascii="Franklin Gothic Book" w:eastAsia="Franklin Gothic Book" w:hAnsi="Franklin Gothic Book" w:cs="Franklin Gothic Book"/>
          <w:sz w:val="22"/>
          <w:szCs w:val="22"/>
        </w:rPr>
        <w:t xml:space="preserve">There are also wider arguments in favour of devolving these powers to mayoral and strategic authorities. Local leaders are often best placed to understand the needs of their visitor </w:t>
      </w:r>
      <w:r w:rsidRPr="5CA39A5F">
        <w:rPr>
          <w:rFonts w:ascii="Franklin Gothic Book" w:eastAsia="Franklin Gothic Book" w:hAnsi="Franklin Gothic Book" w:cs="Franklin Gothic Book"/>
          <w:sz w:val="22"/>
          <w:szCs w:val="22"/>
        </w:rPr>
        <w:t>economies and identify where investment would have the greatest impact. Giving authorities greater control over tourism-related revenues could help support regional growth, reduce geographic inequalities and strengthen cultural infrastructure</w:t>
      </w:r>
      <w:r w:rsidRPr="5CA39A5F">
        <w:rPr>
          <w:rFonts w:ascii="Franklin Gothic Book" w:eastAsia="Franklin Gothic Book" w:hAnsi="Franklin Gothic Book" w:cs="Franklin Gothic Book"/>
          <w:sz w:val="22"/>
          <w:szCs w:val="22"/>
        </w:rPr>
        <w:t>.</w:t>
      </w:r>
    </w:p>
    <w:p w:rsidR="003C32C3" w:rsidP="1C440DE3">
      <w:pPr>
        <w:spacing w:after="0"/>
        <w:rPr>
          <w:rFonts w:ascii="Franklin Gothic Book" w:eastAsia="Franklin Gothic Book" w:hAnsi="Franklin Gothic Book" w:cs="Franklin Gothic Book"/>
          <w:sz w:val="22"/>
          <w:szCs w:val="22"/>
        </w:rPr>
      </w:pPr>
      <w:r w:rsidRPr="1C440DE3">
        <w:rPr>
          <w:rFonts w:ascii="Franklin Gothic Book" w:eastAsia="Franklin Gothic Book" w:hAnsi="Franklin Gothic Book" w:cs="Franklin Gothic Book"/>
          <w:sz w:val="22"/>
          <w:szCs w:val="22"/>
        </w:rPr>
        <w:t>However, there are concerns which should be carefully considered. Some parts of the tourism and hospitality sector argue that additional charges could discourage visitors, particularly in areas competing on affordability. There are also concerns around inconsistency between regions, administrative complexity and the risk that revenues could be absorbed into wider local authority budgets rather than genuinely supporting tourism infrastructure.</w:t>
      </w:r>
    </w:p>
    <w:p w:rsidR="003C32C3" w:rsidP="1C440DE3">
      <w:pPr>
        <w:spacing w:after="0"/>
        <w:rPr>
          <w:rFonts w:ascii="Aptos" w:eastAsia="Aptos" w:hAnsi="Aptos" w:cs="Aptos"/>
          <w:color w:val="000000" w:themeColor="text1"/>
          <w:sz w:val="22"/>
          <w:szCs w:val="22"/>
        </w:rPr>
      </w:pPr>
    </w:p>
    <w:p w:rsidR="003C32C3" w:rsidP="1C440DE3">
      <w:pPr>
        <w:rPr>
          <w:rFonts w:ascii="Franklin Gothic Book" w:eastAsia="Franklin Gothic Book" w:hAnsi="Franklin Gothic Book" w:cs="Franklin Gothic Book"/>
          <w:sz w:val="22"/>
          <w:szCs w:val="22"/>
        </w:rPr>
      </w:pPr>
      <w:r w:rsidRPr="1C440DE3">
        <w:rPr>
          <w:rFonts w:ascii="Franklin Gothic Book" w:eastAsia="Franklin Gothic Book" w:hAnsi="Franklin Gothic Book" w:cs="Franklin Gothic Book"/>
          <w:sz w:val="22"/>
          <w:szCs w:val="22"/>
        </w:rPr>
        <w:t>There is strong public backing for using a visitor levy to support museums and cultural infrastructure. Art Fund polling of more than 2,000 UK adults found that most Britons support using a tourist levy to help fund museums rather than introducing entrance charges, with nearly three quarters (72%) saying that some revenue from a potential tourist tax should be used to help keep national museums free to enter for all. This is why Art Fund supports at least 50% of levy revenues being ringfenced for cultural a</w:t>
      </w:r>
      <w:r w:rsidRPr="1C440DE3">
        <w:rPr>
          <w:rFonts w:ascii="Franklin Gothic Book" w:eastAsia="Franklin Gothic Book" w:hAnsi="Franklin Gothic Book" w:cs="Franklin Gothic Book"/>
          <w:sz w:val="22"/>
          <w:szCs w:val="22"/>
        </w:rPr>
        <w:t>nd tourism infrastructure, including museums, galleries and heritage sites. Ensuring revenues are transparently reinvested into the cultural institutions that attract visitors would help strengthen the UK’s tourism offer, support local economic growth and protect the long-term sustainability of the sector.</w:t>
      </w:r>
    </w:p>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0D4B68"/>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75162300"/>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uiPriority w:val="9"/>
    <w:unhideWhenUsed/>
    <w:qFormat/>
    <w:rsid w:val="5CA39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CA39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b07d3f-5095-4e05-8c28-b9bf08f45e13" xsi:nil="true"/>
    <lcf76f155ced4ddcb4097134ff3c332f xmlns="d5c990c7-583d-4418-b01f-a97fe18070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54572D0B4CF64C934675712DEF7A69" ma:contentTypeVersion="12" ma:contentTypeDescription="Create a new document." ma:contentTypeScope="" ma:versionID="38e89cdb2bfd945c1c60283c6d831ca8">
  <xsd:schema xmlns:xsd="http://www.w3.org/2001/XMLSchema" xmlns:xs="http://www.w3.org/2001/XMLSchema" xmlns:p="http://schemas.microsoft.com/office/2006/metadata/properties" xmlns:ns2="d5c990c7-583d-4418-b01f-a97fe18070fe" xmlns:ns3="b6b07d3f-5095-4e05-8c28-b9bf08f45e13" targetNamespace="http://schemas.microsoft.com/office/2006/metadata/properties" ma:root="true" ma:fieldsID="b2e37499c8f528eb2d8aafcc0f0cbd06" ns2:_="" ns3:_="">
    <xsd:import namespace="d5c990c7-583d-4418-b01f-a97fe18070fe"/>
    <xsd:import namespace="b6b07d3f-5095-4e05-8c28-b9bf08f45e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990c7-583d-4418-b01f-a97fe1807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bb99a13-8f3f-4445-92a6-2a358c6200b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07d3f-5095-4e05-8c28-b9bf08f45e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cf7c8-0fed-4654-a1a3-2d0b97b35075}" ma:internalName="TaxCatchAll" ma:showField="CatchAllData" ma:web="b6b07d3f-5095-4e05-8c28-b9bf08f45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CC2F0-2234-4F40-B9BF-CE359D575870}">
  <ds:schemaRefs>
    <ds:schemaRef ds:uri="http://schemas.microsoft.com/office/2006/metadata/properties"/>
    <ds:schemaRef ds:uri="http://schemas.microsoft.com/office/infopath/2007/PartnerControls"/>
    <ds:schemaRef ds:uri="b6b07d3f-5095-4e05-8c28-b9bf08f45e13"/>
    <ds:schemaRef ds:uri="d5c990c7-583d-4418-b01f-a97fe18070fe"/>
  </ds:schemaRefs>
</ds:datastoreItem>
</file>

<file path=customXml/itemProps2.xml><?xml version="1.0" encoding="utf-8"?>
<ds:datastoreItem xmlns:ds="http://schemas.openxmlformats.org/officeDocument/2006/customXml" ds:itemID="{BF666323-FADC-4846-8419-4FAD966DC4B7}">
  <ds:schemaRefs>
    <ds:schemaRef ds:uri="http://schemas.microsoft.com/sharepoint/v3/contenttype/forms"/>
  </ds:schemaRefs>
</ds:datastoreItem>
</file>

<file path=customXml/itemProps3.xml><?xml version="1.0" encoding="utf-8"?>
<ds:datastoreItem xmlns:ds="http://schemas.openxmlformats.org/officeDocument/2006/customXml" ds:itemID="{FC3DA3E3-B4EF-43BB-AD29-46A8ED422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990c7-583d-4418-b01f-a97fe18070fe"/>
    <ds:schemaRef ds:uri="b6b07d3f-5095-4e05-8c28-b9bf08f45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TOU0050</dc:title>
  <cp:revision>0</cp:revision>
</cp:coreProperties>
</file>