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A5A19" w:rsidP="002A5A19">
      <w:pPr>
        <w:spacing w:after="160" w:line="257" w:lineRule="auto"/>
        <w:jc w:val="center"/>
        <w:rPr>
          <w:rFonts w:ascii="Arial" w:eastAsia="Arial" w:hAnsi="Arial" w:cs="Arial"/>
          <w:b/>
          <w:bCs/>
          <w:sz w:val="24"/>
          <w:szCs w:val="24"/>
        </w:rPr>
      </w:pPr>
      <w:r>
        <w:rPr>
          <w:rFonts w:ascii="Arial" w:eastAsia="Arial" w:hAnsi="Arial" w:cs="Arial"/>
          <w:b/>
          <w:bCs/>
          <w:sz w:val="24"/>
          <w:szCs w:val="24"/>
        </w:rPr>
        <w:t xml:space="preserve">Written evidence submitted by the </w:t>
      </w:r>
      <w:r w:rsidRPr="00C2088E">
        <w:rPr>
          <w:rFonts w:ascii="Arial" w:eastAsia="Arial" w:hAnsi="Arial" w:cs="Arial"/>
          <w:b/>
          <w:bCs/>
          <w:sz w:val="24"/>
          <w:szCs w:val="24"/>
        </w:rPr>
        <w:t>North Yorkshire Fire and Rescue Service</w:t>
      </w:r>
      <w:r>
        <w:rPr>
          <w:rFonts w:ascii="Arial" w:eastAsia="Arial" w:hAnsi="Arial" w:cs="Arial"/>
          <w:b/>
          <w:bCs/>
          <w:sz w:val="24"/>
          <w:szCs w:val="24"/>
        </w:rPr>
        <w:t xml:space="preserve"> (CWR0210)</w:t>
      </w:r>
    </w:p>
    <w:p w:rsidR="002A5A19" w:rsidP="65FFBEA2">
      <w:pPr>
        <w:spacing w:after="160" w:line="257" w:lineRule="auto"/>
        <w:rPr>
          <w:rFonts w:ascii="Arial" w:eastAsia="Arial" w:hAnsi="Arial" w:cs="Arial"/>
          <w:b/>
          <w:bCs/>
          <w:sz w:val="24"/>
          <w:szCs w:val="24"/>
        </w:rPr>
      </w:pPr>
    </w:p>
    <w:p w:rsidR="00125A4C" w:rsidRPr="00C2088E" w:rsidP="65FFBEA2">
      <w:pPr>
        <w:spacing w:after="160" w:line="257" w:lineRule="auto"/>
      </w:pPr>
      <w:r w:rsidRPr="00C2088E">
        <w:rPr>
          <w:rFonts w:ascii="Arial" w:eastAsia="Arial" w:hAnsi="Arial" w:cs="Arial"/>
          <w:b/>
          <w:bCs/>
          <w:sz w:val="24"/>
          <w:szCs w:val="24"/>
        </w:rPr>
        <w:t>DEFRA Select Committee Call for Evidence</w:t>
      </w:r>
    </w:p>
    <w:p w:rsidR="00125A4C" w:rsidRPr="00C2088E" w:rsidP="65FFBEA2">
      <w:pPr>
        <w:spacing w:after="160" w:line="257" w:lineRule="auto"/>
      </w:pPr>
      <w:r w:rsidRPr="00C2088E">
        <w:rPr>
          <w:rFonts w:ascii="Arial" w:eastAsia="Arial" w:hAnsi="Arial" w:cs="Arial"/>
          <w:b/>
          <w:bCs/>
          <w:sz w:val="24"/>
          <w:szCs w:val="24"/>
        </w:rPr>
        <w:t>The Growing Threat of Wildfires in the UK</w:t>
      </w:r>
    </w:p>
    <w:p w:rsidR="00125A4C" w:rsidRPr="00C2088E" w:rsidP="65FFBEA2">
      <w:pPr>
        <w:spacing w:after="160" w:line="257" w:lineRule="auto"/>
      </w:pPr>
      <w:r w:rsidRPr="00C2088E">
        <w:rPr>
          <w:rFonts w:ascii="Arial" w:eastAsia="Arial" w:hAnsi="Arial" w:cs="Arial"/>
          <w:b/>
          <w:bCs/>
          <w:sz w:val="24"/>
          <w:szCs w:val="24"/>
        </w:rPr>
        <w:t>Submission from North Yorkshire Fire and Rescue Service (NYFRS) June 2026</w:t>
      </w:r>
    </w:p>
    <w:p w:rsidR="00125A4C" w:rsidRPr="00C2088E" w:rsidP="5DB0C17E">
      <w:pPr>
        <w:spacing w:after="160" w:line="257" w:lineRule="auto"/>
        <w:rPr>
          <w:rFonts w:ascii="Arial" w:eastAsia="Arial" w:hAnsi="Arial" w:cs="Arial"/>
          <w:b/>
          <w:bCs/>
          <w:sz w:val="24"/>
          <w:szCs w:val="24"/>
        </w:rPr>
      </w:pPr>
    </w:p>
    <w:p w:rsidR="00125A4C" w:rsidRPr="00C2088E" w:rsidP="527330C4">
      <w:pPr>
        <w:spacing w:after="160" w:line="257" w:lineRule="auto"/>
        <w:rPr>
          <w:rFonts w:ascii="Arial" w:eastAsia="Arial" w:hAnsi="Arial" w:cs="Arial"/>
          <w:b/>
          <w:bCs/>
          <w:sz w:val="24"/>
          <w:szCs w:val="24"/>
        </w:rPr>
      </w:pPr>
      <w:r w:rsidRPr="00C2088E">
        <w:rPr>
          <w:rFonts w:ascii="Arial" w:eastAsia="Arial" w:hAnsi="Arial" w:cs="Arial"/>
          <w:b/>
          <w:bCs/>
          <w:sz w:val="24"/>
          <w:szCs w:val="24"/>
        </w:rPr>
        <w:t>Executive Summary</w:t>
      </w:r>
    </w:p>
    <w:p w:rsidR="00125A4C" w:rsidRPr="00C2088E" w:rsidP="527330C4">
      <w:pPr>
        <w:spacing w:after="160" w:line="257" w:lineRule="auto"/>
        <w:rPr>
          <w:rFonts w:ascii="Arial" w:eastAsia="Arial" w:hAnsi="Arial" w:cs="Arial"/>
          <w:b/>
          <w:bCs/>
          <w:sz w:val="24"/>
          <w:szCs w:val="24"/>
        </w:rPr>
      </w:pPr>
      <w:r w:rsidRPr="00C2088E">
        <w:rPr>
          <w:rFonts w:ascii="Arial" w:eastAsia="Arial" w:hAnsi="Arial" w:cs="Arial"/>
          <w:b/>
          <w:bCs/>
          <w:sz w:val="24"/>
          <w:szCs w:val="24"/>
        </w:rPr>
        <w:t>Key Findings</w:t>
      </w:r>
    </w:p>
    <w:p w:rsidR="00125A4C" w:rsidRPr="00C2088E" w:rsidP="527330C4">
      <w:pPr>
        <w:pStyle w:val="ListParagraph"/>
        <w:numPr>
          <w:ilvl w:val="0"/>
          <w:numId w:val="18"/>
        </w:numPr>
        <w:spacing w:after="0" w:line="257" w:lineRule="auto"/>
        <w:rPr>
          <w:rFonts w:ascii="Arial" w:eastAsia="Arial" w:hAnsi="Arial" w:cs="Arial"/>
          <w:sz w:val="24"/>
          <w:szCs w:val="24"/>
        </w:rPr>
      </w:pPr>
      <w:r w:rsidRPr="00C2088E">
        <w:rPr>
          <w:rFonts w:ascii="Arial" w:eastAsia="Arial" w:hAnsi="Arial" w:cs="Arial"/>
          <w:sz w:val="24"/>
          <w:szCs w:val="24"/>
        </w:rPr>
        <w:t xml:space="preserve">Wildfire should be considered an escalating national resilience risk, rather than a seasonal rural issue. </w:t>
      </w:r>
    </w:p>
    <w:p w:rsidR="00125A4C" w:rsidRPr="00C2088E" w:rsidP="527330C4">
      <w:pPr>
        <w:pStyle w:val="ListParagraph"/>
        <w:numPr>
          <w:ilvl w:val="0"/>
          <w:numId w:val="18"/>
        </w:numPr>
        <w:spacing w:after="0" w:line="257" w:lineRule="auto"/>
        <w:rPr>
          <w:rFonts w:ascii="Arial" w:eastAsia="Arial" w:hAnsi="Arial" w:cs="Arial"/>
          <w:sz w:val="24"/>
          <w:szCs w:val="24"/>
        </w:rPr>
      </w:pPr>
      <w:r w:rsidRPr="00C2088E">
        <w:rPr>
          <w:rFonts w:ascii="Arial" w:eastAsia="Arial" w:hAnsi="Arial" w:cs="Arial"/>
          <w:sz w:val="24"/>
          <w:szCs w:val="24"/>
        </w:rPr>
        <w:t xml:space="preserve">Incidents are increasing in scale, duration and complexity, with significant potential impacts on environmental assets, communities and critical infrastructure. </w:t>
      </w:r>
    </w:p>
    <w:p w:rsidR="00125A4C" w:rsidRPr="00C2088E" w:rsidP="527330C4">
      <w:pPr>
        <w:pStyle w:val="ListParagraph"/>
        <w:numPr>
          <w:ilvl w:val="0"/>
          <w:numId w:val="18"/>
        </w:numPr>
        <w:spacing w:after="0" w:line="257" w:lineRule="auto"/>
        <w:rPr>
          <w:rFonts w:ascii="Arial" w:eastAsia="Arial" w:hAnsi="Arial" w:cs="Arial"/>
          <w:sz w:val="24"/>
          <w:szCs w:val="24"/>
        </w:rPr>
      </w:pPr>
      <w:r w:rsidRPr="00C2088E">
        <w:rPr>
          <w:rFonts w:ascii="Arial" w:eastAsia="Arial" w:hAnsi="Arial" w:cs="Arial"/>
          <w:sz w:val="24"/>
          <w:szCs w:val="24"/>
        </w:rPr>
        <w:t xml:space="preserve">Operational experience demonstrates that wildfire events require sustained multi-agency coordination, often over extended periods while maintaining normal emergency response arrangements. </w:t>
      </w:r>
    </w:p>
    <w:p w:rsidR="00125A4C" w:rsidRPr="00C2088E" w:rsidP="527330C4">
      <w:pPr>
        <w:pStyle w:val="ListParagraph"/>
        <w:numPr>
          <w:ilvl w:val="0"/>
          <w:numId w:val="18"/>
        </w:numPr>
        <w:spacing w:after="0" w:line="257" w:lineRule="auto"/>
        <w:rPr>
          <w:rFonts w:ascii="Arial" w:eastAsia="Arial" w:hAnsi="Arial" w:cs="Arial"/>
          <w:sz w:val="24"/>
          <w:szCs w:val="24"/>
        </w:rPr>
      </w:pPr>
      <w:r w:rsidRPr="00C2088E">
        <w:rPr>
          <w:rFonts w:ascii="Arial" w:eastAsia="Arial" w:hAnsi="Arial" w:cs="Arial"/>
          <w:sz w:val="24"/>
          <w:szCs w:val="24"/>
        </w:rPr>
        <w:t xml:space="preserve">Current arrangements for land management require further development to support future resilience. </w:t>
      </w:r>
    </w:p>
    <w:p w:rsidR="00125A4C" w:rsidRPr="00C2088E" w:rsidP="527330C4">
      <w:pPr>
        <w:pStyle w:val="ListParagraph"/>
        <w:numPr>
          <w:ilvl w:val="0"/>
          <w:numId w:val="18"/>
        </w:numPr>
        <w:spacing w:after="0" w:line="257" w:lineRule="auto"/>
        <w:rPr>
          <w:rFonts w:ascii="Arial" w:eastAsia="Arial" w:hAnsi="Arial" w:cs="Arial"/>
          <w:sz w:val="24"/>
          <w:szCs w:val="24"/>
        </w:rPr>
      </w:pPr>
      <w:r w:rsidRPr="00C2088E">
        <w:rPr>
          <w:rFonts w:ascii="Arial" w:eastAsia="Arial" w:hAnsi="Arial" w:cs="Arial"/>
          <w:sz w:val="24"/>
          <w:szCs w:val="24"/>
        </w:rPr>
        <w:t>Fire and Rescue Services must be funded appropriately to resource these incidents safely and effectively</w:t>
      </w:r>
    </w:p>
    <w:p w:rsidR="00125A4C" w:rsidRPr="00C2088E" w:rsidP="65FFBEA2">
      <w:pPr>
        <w:spacing w:beforeAutospacing="1" w:afterAutospacing="1" w:line="240" w:lineRule="auto"/>
        <w:outlineLvl w:val="0"/>
        <w:rPr>
          <w:rFonts w:ascii="Arial" w:eastAsia="Times New Roman" w:hAnsi="Arial" w:cs="Arial"/>
          <w:b/>
          <w:bCs/>
          <w:sz w:val="24"/>
          <w:szCs w:val="24"/>
          <w:lang w:eastAsia="en-GB"/>
        </w:rPr>
      </w:pPr>
    </w:p>
    <w:p w:rsidR="00125A4C" w:rsidRPr="00C2088E" w:rsidP="000B77E2">
      <w:pPr>
        <w:pStyle w:val="ListParagraph"/>
        <w:numPr>
          <w:ilvl w:val="0"/>
          <w:numId w:val="16"/>
        </w:numPr>
        <w:spacing w:before="100" w:beforeAutospacing="1" w:after="100" w:afterAutospacing="1" w:line="240" w:lineRule="auto"/>
        <w:outlineLvl w:val="1"/>
        <w:rPr>
          <w:rFonts w:ascii="Arial" w:eastAsia="Times New Roman" w:hAnsi="Arial" w:cs="Arial"/>
          <w:b/>
          <w:bCs/>
          <w:kern w:val="0"/>
          <w:sz w:val="24"/>
          <w:szCs w:val="24"/>
          <w:lang w:eastAsia="en-GB"/>
        </w:rPr>
      </w:pPr>
      <w:r w:rsidRPr="00C2088E">
        <w:rPr>
          <w:rFonts w:ascii="Arial" w:eastAsia="Times New Roman" w:hAnsi="Arial" w:cs="Arial"/>
          <w:b/>
          <w:bCs/>
          <w:kern w:val="0"/>
          <w:sz w:val="24"/>
          <w:szCs w:val="24"/>
          <w:lang w:eastAsia="en-GB"/>
        </w:rPr>
        <w:t>Wildfire Risk and Response</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This submission is informed by operational learning arising from the North Yorkshire Fire and Rescue Service (NYFRS) response to the Langdale Moor Wildfire Major Incident during August and September 2025. The incident affected up to 25 square kilometres of moorland and forestry within the North York Moors and required a sustained multi-agency response over several weeks involving Fire and Rescue Services, landowners, environmental agencies, Local Resilience Forum partners, National Resilience assets and gov</w:t>
      </w:r>
      <w:r w:rsidRPr="00C2088E">
        <w:rPr>
          <w:rFonts w:ascii="Arial" w:eastAsia="Times New Roman" w:hAnsi="Arial" w:cs="Arial"/>
          <w:kern w:val="0"/>
          <w:sz w:val="24"/>
          <w:szCs w:val="24"/>
          <w:lang w:eastAsia="en-GB"/>
        </w:rPr>
        <w:t>ernment stakeholders.</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The incident involved prolonged surface and deep-seated peat fire, difficult terrain, limited rural access, rapidly changing fire behaviour and direct risk to critical national infrastructure at RAF Fylingdales. Operational learning from the incident reinforced many of the themes and recommendations identified within the </w:t>
      </w:r>
      <w:r>
        <w:fldChar w:fldCharType="begin"/>
      </w:r>
      <w:r>
        <w:instrText xml:space="preserve"> HYPERLINK "https://nfcc.org.uk/our-services/public-policy/position-statements/wildfires-position-statement/?utm_source=chatgpt.com" \t "_new" </w:instrText>
      </w:r>
      <w:r>
        <w:fldChar w:fldCharType="separate"/>
      </w:r>
      <w:r w:rsidRPr="00C2088E">
        <w:rPr>
          <w:rFonts w:ascii="Arial" w:eastAsia="Times New Roman" w:hAnsi="Arial" w:cs="Arial"/>
          <w:color w:val="0000FF"/>
          <w:kern w:val="0"/>
          <w:sz w:val="24"/>
          <w:szCs w:val="24"/>
          <w:u w:val="single"/>
          <w:lang w:eastAsia="en-GB"/>
        </w:rPr>
        <w:t>NFCC Wildfires Position Statement</w:t>
      </w:r>
      <w:r>
        <w:fldChar w:fldCharType="end"/>
      </w:r>
      <w:r w:rsidRPr="00C2088E">
        <w:rPr>
          <w:rFonts w:ascii="Arial" w:eastAsia="Times New Roman" w:hAnsi="Arial" w:cs="Arial"/>
          <w:kern w:val="0"/>
          <w:sz w:val="24"/>
          <w:szCs w:val="24"/>
          <w:lang w:eastAsia="en-GB"/>
        </w:rPr>
        <w:t>, particularly in relation to land management, prevention, specialist capability, data and research, public awareness and cross-government coordination.</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The incident reinforced that wildfire should increasingly be viewed as a broader climate resilience and land management challenge rather than solely a seasonal </w:t>
      </w:r>
      <w:r w:rsidRPr="00C2088E">
        <w:rPr>
          <w:rFonts w:ascii="Arial" w:eastAsia="Times New Roman" w:hAnsi="Arial" w:cs="Arial"/>
          <w:kern w:val="0"/>
          <w:sz w:val="24"/>
          <w:szCs w:val="24"/>
          <w:lang w:eastAsia="en-GB"/>
        </w:rPr>
        <w:t>rural firefighting issue. Prolonged dry weather, increasing temperatures and changing land use are likely to increase both the frequency and complexity of wildfire incidents across the UK.</w:t>
      </w:r>
    </w:p>
    <w:p w:rsidR="00125A4C" w:rsidRPr="00C2088E" w:rsidP="000B77E2">
      <w:pPr>
        <w:pStyle w:val="ListParagraph"/>
        <w:numPr>
          <w:ilvl w:val="0"/>
          <w:numId w:val="16"/>
        </w:numPr>
        <w:spacing w:before="100" w:beforeAutospacing="1" w:after="100" w:afterAutospacing="1" w:line="240" w:lineRule="auto"/>
        <w:outlineLvl w:val="1"/>
        <w:rPr>
          <w:rFonts w:ascii="Arial" w:eastAsia="Times New Roman" w:hAnsi="Arial" w:cs="Arial"/>
          <w:b/>
          <w:bCs/>
          <w:kern w:val="0"/>
          <w:sz w:val="24"/>
          <w:szCs w:val="24"/>
          <w:lang w:eastAsia="en-GB"/>
        </w:rPr>
      </w:pPr>
      <w:r w:rsidRPr="00C2088E">
        <w:rPr>
          <w:rFonts w:ascii="Arial" w:eastAsia="Times New Roman" w:hAnsi="Arial" w:cs="Arial"/>
          <w:b/>
          <w:bCs/>
          <w:kern w:val="0"/>
          <w:sz w:val="24"/>
          <w:szCs w:val="24"/>
          <w:lang w:eastAsia="en-GB"/>
        </w:rPr>
        <w:t>Wildfire as a Growing National Resilience Challenge</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The NFCC Wildfires Position Statement identifies wildfire as an increasingly significant national resilience challenge driven by climate change, prolonged periods of hot and dry weather, changing land use and increasing pressure on the rural-urban interface. Operational experience from the Langdale/Fylingdales incident supported this assessment.</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The scale and duration of the incident required sustained operational activity over several weeks whilst Fire and Rescue Services continued to maintain normal emergency response arrangements across wider geographic areas. The incident demonstrated the complexity that can arise where wildfire impacts environmental assets, critical infrastructure, public access, rural communities and multi-agency resilience arrangements simultaneously.</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Operational learning reinforced the need to increasingly consider wildfire alongside other climate-driven emergencies within wider resilience and adaptation planning arrangements.</w:t>
      </w:r>
    </w:p>
    <w:p w:rsidR="00125A4C" w:rsidRPr="00C2088E" w:rsidP="000B77E2">
      <w:pPr>
        <w:pStyle w:val="ListParagraph"/>
        <w:numPr>
          <w:ilvl w:val="0"/>
          <w:numId w:val="16"/>
        </w:numPr>
        <w:spacing w:before="100" w:beforeAutospacing="1" w:after="100" w:afterAutospacing="1" w:line="240" w:lineRule="auto"/>
        <w:outlineLvl w:val="1"/>
        <w:rPr>
          <w:rFonts w:ascii="Arial" w:eastAsia="Times New Roman" w:hAnsi="Arial" w:cs="Arial"/>
          <w:b/>
          <w:bCs/>
          <w:kern w:val="0"/>
          <w:sz w:val="24"/>
          <w:szCs w:val="24"/>
          <w:lang w:eastAsia="en-GB"/>
        </w:rPr>
      </w:pPr>
      <w:r w:rsidRPr="00C2088E">
        <w:rPr>
          <w:rFonts w:ascii="Arial" w:eastAsia="Times New Roman" w:hAnsi="Arial" w:cs="Arial"/>
          <w:b/>
          <w:bCs/>
          <w:kern w:val="0"/>
          <w:sz w:val="24"/>
          <w:szCs w:val="24"/>
          <w:lang w:eastAsia="en-GB"/>
        </w:rPr>
        <w:t>Land Management and Prevention</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The NFCC Wildfires Position Statement identifies land management, fuel reduction and prevention activity as critical components of long-term wildfire resilience.</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Operational experience from the Langdale/Fylingdales incident strongly reinforced this position. The incident occurred during a period of prolonged hot and dry weather with exceptionally low fuel moisture conditions. Extensive areas of continuous heather, grassland and dry vegetation supported rapid fire spread across large areas of moorland, particularly during periods of strong and changing winds.</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Existing firebreaks, tracks and areas of fuel separation proved valuable in slowing fire spread, improving access and supporting containment operations. However, the incident also highlighted the vulnerability of some rural landscapes where there are limited natural or man-made barriers to interrupt fire progression during severe conditions.</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Operational tactics frequently relied upon strengthening and maintaining defensible control lines through fuel separation, surface scraping and targeted suppression activity. This reinforced the importance of ensuring that wildfire resilience considerations are incorporated alongside environmental and land management objectives.</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The incident also demonstrated that nature-based approaches can support wildfire resilience where they improve peatland hydrology, moisture retention and sustainable vegetation management. However, operational learning suggests that </w:t>
      </w:r>
      <w:r w:rsidRPr="00C2088E">
        <w:rPr>
          <w:rFonts w:ascii="Arial" w:eastAsia="Times New Roman" w:hAnsi="Arial" w:cs="Arial"/>
          <w:kern w:val="0"/>
          <w:sz w:val="24"/>
          <w:szCs w:val="24"/>
          <w:lang w:eastAsia="en-GB"/>
        </w:rPr>
        <w:t>environmental objectives and wildfire resilience considerations should be balanced carefully to avoid unintentionally increasing fuel continuity and wildfire risk.</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Future policy and investment should support:</w:t>
      </w:r>
    </w:p>
    <w:p w:rsidR="00125A4C" w:rsidRPr="00C2088E" w:rsidP="000B77E2">
      <w:pPr>
        <w:numPr>
          <w:ilvl w:val="0"/>
          <w:numId w:val="10"/>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Strategic fuel management in high-risk landscapes; </w:t>
      </w:r>
    </w:p>
    <w:p w:rsidR="00125A4C" w:rsidRPr="00C2088E" w:rsidP="000B77E2">
      <w:pPr>
        <w:numPr>
          <w:ilvl w:val="0"/>
          <w:numId w:val="10"/>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Improved access routes and water infrastructure in remote rural areas; </w:t>
      </w:r>
    </w:p>
    <w:p w:rsidR="00125A4C" w:rsidRPr="00C2088E" w:rsidP="000B77E2">
      <w:pPr>
        <w:numPr>
          <w:ilvl w:val="0"/>
          <w:numId w:val="10"/>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Landscape-scale wildfire planning between landowners, environmental agencies and Fire and Rescue Services; </w:t>
      </w:r>
    </w:p>
    <w:p w:rsidR="00125A4C" w:rsidRPr="00C2088E" w:rsidP="000B77E2">
      <w:pPr>
        <w:numPr>
          <w:ilvl w:val="0"/>
          <w:numId w:val="10"/>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Strategic control line planning around critical infrastructure and vulnerable communities; </w:t>
      </w:r>
    </w:p>
    <w:p w:rsidR="00125A4C" w:rsidRPr="00C2088E" w:rsidP="000B77E2">
      <w:pPr>
        <w:numPr>
          <w:ilvl w:val="0"/>
          <w:numId w:val="10"/>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Greater integration of wildfire resilience considerations within Environmental Land Management Schemes (ELMS) and related funding arrangements. </w:t>
      </w:r>
    </w:p>
    <w:p w:rsidR="00125A4C" w:rsidRPr="00C2088E" w:rsidP="000B77E2">
      <w:pPr>
        <w:pStyle w:val="ListParagraph"/>
        <w:numPr>
          <w:ilvl w:val="0"/>
          <w:numId w:val="16"/>
        </w:numPr>
        <w:spacing w:before="100" w:beforeAutospacing="1" w:after="100" w:afterAutospacing="1" w:line="240" w:lineRule="auto"/>
        <w:outlineLvl w:val="1"/>
        <w:rPr>
          <w:rFonts w:ascii="Arial" w:eastAsia="Times New Roman" w:hAnsi="Arial" w:cs="Arial"/>
          <w:b/>
          <w:bCs/>
          <w:kern w:val="0"/>
          <w:sz w:val="24"/>
          <w:szCs w:val="24"/>
          <w:lang w:eastAsia="en-GB"/>
        </w:rPr>
      </w:pPr>
      <w:r w:rsidRPr="00C2088E">
        <w:rPr>
          <w:rFonts w:ascii="Arial" w:eastAsia="Times New Roman" w:hAnsi="Arial" w:cs="Arial"/>
          <w:b/>
          <w:bCs/>
          <w:kern w:val="0"/>
          <w:sz w:val="24"/>
          <w:szCs w:val="24"/>
          <w:lang w:eastAsia="en-GB"/>
        </w:rPr>
        <w:t>Data, Research and Situational Awareness</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The NFCC Wildfires Position Statement identifies the importance of improved data, research and understanding of wildfire behaviour in supporting future preparedness and operational response.</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Operational learning from the Langdale/Fylingdales incident demonstrated the value of enhanced situational awareness and environmental monitoring during prolonged wildfire incidents. Daily drone heat mapping, aerial intelligence and environmental monitoring supported hotspot identification, tactical planning and resource deployment throughout the incident.</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The Met Office Fire Severity Index and existing wildfire recording arrangements provide an important foundation for wildfire monitoring and preparedness. However, operational learning highlighted the benefit of continued development and integration of wildfire forecasting, environmental monitoring and incident data across agencies.</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Areas for continued development include:</w:t>
      </w:r>
    </w:p>
    <w:p w:rsidR="00125A4C" w:rsidRPr="00C2088E" w:rsidP="000B77E2">
      <w:pPr>
        <w:numPr>
          <w:ilvl w:val="0"/>
          <w:numId w:val="11"/>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Greater alignment between wildfire severity reporting, environmental monitoring and Fire and Rescue Service incident data; </w:t>
      </w:r>
    </w:p>
    <w:p w:rsidR="00125A4C" w:rsidRPr="00C2088E" w:rsidP="000B77E2">
      <w:pPr>
        <w:numPr>
          <w:ilvl w:val="0"/>
          <w:numId w:val="11"/>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Improved integration between Fire and Rescue Service, Met Office and land management datasets; </w:t>
      </w:r>
    </w:p>
    <w:p w:rsidR="00125A4C" w:rsidRPr="00C2088E" w:rsidP="000B77E2">
      <w:pPr>
        <w:numPr>
          <w:ilvl w:val="0"/>
          <w:numId w:val="11"/>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Enhanced use of drought indicators, fuel moisture analysis and remote sensing technologies; </w:t>
      </w:r>
    </w:p>
    <w:p w:rsidR="00125A4C" w:rsidRPr="00C2088E" w:rsidP="000B77E2">
      <w:pPr>
        <w:numPr>
          <w:ilvl w:val="0"/>
          <w:numId w:val="11"/>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Continued development of predictive modelling and shared situational awareness tools. </w:t>
      </w:r>
    </w:p>
    <w:p w:rsidR="00125A4C" w:rsidRPr="00C2088E" w:rsidP="14A7F1CE">
      <w:pPr>
        <w:numPr>
          <w:ilvl w:val="0"/>
          <w:numId w:val="11"/>
        </w:numPr>
        <w:spacing w:beforeAutospacing="1" w:afterAutospacing="1" w:line="240" w:lineRule="auto"/>
        <w:rPr>
          <w:rFonts w:ascii="Arial" w:eastAsia="Times New Roman" w:hAnsi="Arial" w:cs="Arial"/>
          <w:sz w:val="24"/>
          <w:szCs w:val="24"/>
          <w:lang w:eastAsia="en-GB"/>
        </w:rPr>
      </w:pPr>
      <w:r w:rsidRPr="00C2088E">
        <w:rPr>
          <w:rFonts w:ascii="Arial" w:eastAsia="Times New Roman" w:hAnsi="Arial" w:cs="Arial"/>
          <w:sz w:val="24"/>
          <w:szCs w:val="24"/>
          <w:lang w:eastAsia="en-GB"/>
        </w:rPr>
        <w:t>Improved data and mapping on peat depths to support containment strategies.</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The incident also highlighted evidence gaps relating to:</w:t>
      </w:r>
    </w:p>
    <w:p w:rsidR="00125A4C" w:rsidRPr="00C2088E" w:rsidP="000B77E2">
      <w:pPr>
        <w:numPr>
          <w:ilvl w:val="0"/>
          <w:numId w:val="15"/>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UK-specific wildfire behaviour under prolonged dry conditions; </w:t>
      </w:r>
    </w:p>
    <w:p w:rsidR="00125A4C" w:rsidRPr="00C2088E" w:rsidP="000B77E2">
      <w:pPr>
        <w:numPr>
          <w:ilvl w:val="0"/>
          <w:numId w:val="15"/>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Peat fire suppression and deep-seated fire behaviour; </w:t>
      </w:r>
    </w:p>
    <w:p w:rsidR="00125A4C" w:rsidRPr="00C2088E" w:rsidP="000B77E2">
      <w:pPr>
        <w:numPr>
          <w:ilvl w:val="0"/>
          <w:numId w:val="15"/>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The effectiveness of different vegetation and fuel management approaches; </w:t>
      </w:r>
    </w:p>
    <w:p w:rsidR="00125A4C" w:rsidRPr="00C2088E" w:rsidP="000B77E2">
      <w:pPr>
        <w:numPr>
          <w:ilvl w:val="0"/>
          <w:numId w:val="15"/>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The effectiveness of different control line methodologies in UK moorland environments. </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A coordinated research approach involving Fire and Rescue Services, academia, environmental agencies and the Met Office would support future preparedness and evidence-based policy development.</w:t>
      </w:r>
    </w:p>
    <w:p w:rsidR="00125A4C" w:rsidRPr="00C2088E" w:rsidP="000B77E2">
      <w:pPr>
        <w:pStyle w:val="ListParagraph"/>
        <w:numPr>
          <w:ilvl w:val="0"/>
          <w:numId w:val="16"/>
        </w:numPr>
        <w:spacing w:before="100" w:beforeAutospacing="1" w:after="100" w:afterAutospacing="1" w:line="240" w:lineRule="auto"/>
        <w:outlineLvl w:val="1"/>
        <w:rPr>
          <w:rFonts w:ascii="Arial" w:eastAsia="Times New Roman" w:hAnsi="Arial" w:cs="Arial"/>
          <w:b/>
          <w:bCs/>
          <w:kern w:val="0"/>
          <w:sz w:val="24"/>
          <w:szCs w:val="24"/>
          <w:lang w:eastAsia="en-GB"/>
        </w:rPr>
      </w:pPr>
      <w:r w:rsidRPr="00C2088E">
        <w:rPr>
          <w:rFonts w:ascii="Arial" w:eastAsia="Times New Roman" w:hAnsi="Arial" w:cs="Arial"/>
          <w:b/>
          <w:bCs/>
          <w:kern w:val="0"/>
          <w:sz w:val="24"/>
          <w:szCs w:val="24"/>
          <w:lang w:eastAsia="en-GB"/>
        </w:rPr>
        <w:t>Emergency Response Capability and Rural Resilience</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The NFCC Wildfires Position Statement highlights the increasing requirement for specialist capability, interoperability and resilience arrangements to support increasingly complex wildfire incidents.</w:t>
      </w:r>
    </w:p>
    <w:p w:rsidR="00125A4C" w:rsidRPr="00C2088E" w:rsidP="7C90E79C">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Operational learning from the Langdale/Fylingdales incident reinforced the challenges associated with prolonged wildfire response in remote rural environments, including difficult terrain, limited vehicle access, extended logistical requirements and sustained operational activity over several weeks.</w:t>
      </w:r>
    </w:p>
    <w:p w:rsidR="00125A4C" w:rsidRPr="00C2088E" w:rsidP="7C90E79C">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The incident demonstrated the value of:</w:t>
      </w:r>
    </w:p>
    <w:p w:rsidR="00125A4C" w:rsidRPr="00C2088E" w:rsidP="7C90E79C">
      <w:pPr>
        <w:numPr>
          <w:ilvl w:val="0"/>
          <w:numId w:val="13"/>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Nationally accredited Wildfire Tactical Advisors (WTAs); </w:t>
      </w:r>
    </w:p>
    <w:p w:rsidR="00125A4C" w:rsidRPr="00C2088E" w:rsidP="7C90E79C">
      <w:pPr>
        <w:numPr>
          <w:ilvl w:val="0"/>
          <w:numId w:val="13"/>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Multi-agency coordination through Local Resilience Forums and JESIP arrangements; </w:t>
      </w:r>
    </w:p>
    <w:p w:rsidR="00125A4C" w:rsidRPr="00C2088E" w:rsidP="7C90E79C">
      <w:pPr>
        <w:numPr>
          <w:ilvl w:val="0"/>
          <w:numId w:val="13"/>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Rural off-road firefighting capability; </w:t>
      </w:r>
    </w:p>
    <w:p w:rsidR="00125A4C" w:rsidRPr="00C2088E" w:rsidP="7C90E79C">
      <w:pPr>
        <w:numPr>
          <w:ilvl w:val="0"/>
          <w:numId w:val="13"/>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Drone and mapping technology to support situational awareness; </w:t>
      </w:r>
    </w:p>
    <w:p w:rsidR="00125A4C" w:rsidRPr="00C2088E" w:rsidP="7C90E79C">
      <w:pPr>
        <w:numPr>
          <w:ilvl w:val="0"/>
          <w:numId w:val="13"/>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National Resilience support arrangements; </w:t>
      </w:r>
    </w:p>
    <w:p w:rsidR="00125A4C" w:rsidRPr="00C2088E" w:rsidP="7C90E79C">
      <w:pPr>
        <w:numPr>
          <w:ilvl w:val="0"/>
          <w:numId w:val="13"/>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Robust welfare and fatigue management arrangements for prolonged incidents. </w:t>
      </w:r>
    </w:p>
    <w:p w:rsidR="00125A4C" w:rsidRPr="00C2088E" w:rsidP="06E7AF24">
      <w:pPr>
        <w:spacing w:line="240" w:lineRule="auto"/>
        <w:rPr>
          <w:rFonts w:ascii="Arial" w:eastAsia="Arial" w:hAnsi="Arial" w:cs="Arial"/>
          <w:sz w:val="24"/>
          <w:szCs w:val="24"/>
        </w:rPr>
      </w:pPr>
      <w:r w:rsidRPr="00C2088E">
        <w:rPr>
          <w:rFonts w:ascii="Arial" w:eastAsia="Arial" w:hAnsi="Arial" w:cs="Arial"/>
          <w:sz w:val="24"/>
          <w:szCs w:val="24"/>
        </w:rPr>
        <w:t>Operational learning also highlighted the pressures placed on rural Fire and Rescue Services in sustaining prolonged wildfire operations whilst maintaining normal emergency response activity across wider geographic areas. During August 2025, North Yorkshire Fire and Rescue Service faced availability pressures as a result of the Langdale/Fylingdales incident and did not meet its agreed response standard. Average response times increased to more than 14 minutes, compared with a typical monthly average of arou</w:t>
      </w:r>
      <w:r w:rsidRPr="00C2088E">
        <w:rPr>
          <w:rFonts w:ascii="Arial" w:eastAsia="Arial" w:hAnsi="Arial" w:cs="Arial"/>
          <w:sz w:val="24"/>
          <w:szCs w:val="24"/>
        </w:rPr>
        <w:t>nd 12 minutes.</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Continued investment in specialist training, interoperability, operational learning and rural response capability would support future resilience as wildfire incidents increase in scale and complexity.</w:t>
      </w:r>
    </w:p>
    <w:p w:rsidR="00125A4C" w:rsidRPr="00C2088E" w:rsidP="000B77E2">
      <w:pPr>
        <w:pStyle w:val="ListParagraph"/>
        <w:numPr>
          <w:ilvl w:val="0"/>
          <w:numId w:val="16"/>
        </w:numPr>
        <w:spacing w:before="100" w:beforeAutospacing="1" w:after="100" w:afterAutospacing="1" w:line="240" w:lineRule="auto"/>
        <w:outlineLvl w:val="1"/>
        <w:rPr>
          <w:rFonts w:ascii="Arial" w:eastAsia="Times New Roman" w:hAnsi="Arial" w:cs="Arial"/>
          <w:b/>
          <w:bCs/>
          <w:kern w:val="0"/>
          <w:sz w:val="24"/>
          <w:szCs w:val="24"/>
          <w:lang w:eastAsia="en-GB"/>
        </w:rPr>
      </w:pPr>
      <w:r w:rsidRPr="00C2088E">
        <w:rPr>
          <w:rFonts w:ascii="Arial" w:eastAsia="Times New Roman" w:hAnsi="Arial" w:cs="Arial"/>
          <w:b/>
          <w:bCs/>
          <w:kern w:val="0"/>
          <w:sz w:val="24"/>
          <w:szCs w:val="24"/>
          <w:lang w:eastAsia="en-GB"/>
        </w:rPr>
        <w:t>Public Awareness and Ignition Reduction</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The NFCC Wildfires Position Statement identifies prevention, public education and awareness campaigns as important measures in reducing wildfire occurrence.</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The majority of UK wildfires are caused by human activity, whether accidental or deliberate. </w:t>
      </w:r>
      <w:r>
        <w:fldChar w:fldCharType="begin"/>
      </w:r>
      <w:r>
        <w:instrText xml:space="preserve"> HYPERLINK "https://prepare.campaign.gov.uk/be-informed-about-hazards/wildfires/?utm_source=chatgpt.com" \t "_new" </w:instrText>
      </w:r>
      <w:r>
        <w:fldChar w:fldCharType="separate"/>
      </w:r>
      <w:r w:rsidRPr="00C2088E">
        <w:rPr>
          <w:rFonts w:ascii="Arial" w:eastAsia="Times New Roman" w:hAnsi="Arial" w:cs="Arial"/>
          <w:color w:val="0000FF"/>
          <w:kern w:val="0"/>
          <w:sz w:val="24"/>
          <w:szCs w:val="24"/>
          <w:u w:val="single"/>
          <w:lang w:eastAsia="en-GB"/>
        </w:rPr>
        <w:t>UK Government wildfire guidance</w:t>
      </w:r>
      <w:r>
        <w:fldChar w:fldCharType="end"/>
      </w:r>
      <w:r w:rsidRPr="00C2088E">
        <w:rPr>
          <w:rFonts w:ascii="Arial" w:eastAsia="Times New Roman" w:hAnsi="Arial" w:cs="Arial"/>
          <w:kern w:val="0"/>
          <w:sz w:val="24"/>
          <w:szCs w:val="24"/>
          <w:lang w:eastAsia="en-GB"/>
        </w:rPr>
        <w:t xml:space="preserve"> highlights the importance of public behaviour and awareness during periods of elevated wildfire risk.</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Operational experience from recent incidents demonstrates how quickly relatively small ignitions can escalate into prolonged wildfire incidents during periods of hot, dry and windy conditions.</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There is therefore a strong case for:</w:t>
      </w:r>
    </w:p>
    <w:p w:rsidR="00125A4C" w:rsidRPr="00C2088E" w:rsidP="000B77E2">
      <w:pPr>
        <w:numPr>
          <w:ilvl w:val="0"/>
          <w:numId w:val="3"/>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Sustained national wildfire awareness campaigns; </w:t>
      </w:r>
    </w:p>
    <w:p w:rsidR="00125A4C" w:rsidRPr="00C2088E" w:rsidP="000B77E2">
      <w:pPr>
        <w:numPr>
          <w:ilvl w:val="0"/>
          <w:numId w:val="3"/>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Seasonal public information messaging; </w:t>
      </w:r>
    </w:p>
    <w:p w:rsidR="00125A4C" w:rsidRPr="00C2088E" w:rsidP="000B77E2">
      <w:pPr>
        <w:numPr>
          <w:ilvl w:val="0"/>
          <w:numId w:val="3"/>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Improved integration between weather warnings and wildfire risk communication; </w:t>
      </w:r>
    </w:p>
    <w:p w:rsidR="00125A4C" w:rsidRPr="00C2088E" w:rsidP="000B77E2">
      <w:pPr>
        <w:numPr>
          <w:ilvl w:val="0"/>
          <w:numId w:val="3"/>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Responsible countryside access campaigns during high-risk periods; </w:t>
      </w:r>
    </w:p>
    <w:p w:rsidR="00125A4C" w:rsidRPr="00C2088E" w:rsidP="000B77E2">
      <w:pPr>
        <w:numPr>
          <w:ilvl w:val="0"/>
          <w:numId w:val="3"/>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Appropriate enforcement where reckless behaviour contributes to wildfire ignition. </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The continued development of public wildfire risk communication tools, including the Met Office Fire Severity Index, may also support improved public awareness and preparedness.</w:t>
      </w:r>
    </w:p>
    <w:p w:rsidR="00125A4C" w:rsidRPr="00C2088E" w:rsidP="000B77E2">
      <w:pPr>
        <w:pStyle w:val="ListParagraph"/>
        <w:numPr>
          <w:ilvl w:val="0"/>
          <w:numId w:val="16"/>
        </w:numPr>
        <w:spacing w:before="100" w:beforeAutospacing="1" w:after="100" w:afterAutospacing="1" w:line="240" w:lineRule="auto"/>
        <w:outlineLvl w:val="1"/>
        <w:rPr>
          <w:rFonts w:ascii="Arial" w:eastAsia="Times New Roman" w:hAnsi="Arial" w:cs="Arial"/>
          <w:b/>
          <w:bCs/>
          <w:kern w:val="0"/>
          <w:sz w:val="24"/>
          <w:szCs w:val="24"/>
          <w:lang w:eastAsia="en-GB"/>
        </w:rPr>
      </w:pPr>
      <w:r w:rsidRPr="00C2088E">
        <w:rPr>
          <w:rFonts w:ascii="Arial" w:eastAsia="Times New Roman" w:hAnsi="Arial" w:cs="Arial"/>
          <w:b/>
          <w:bCs/>
          <w:kern w:val="0"/>
          <w:sz w:val="24"/>
          <w:szCs w:val="24"/>
          <w:lang w:eastAsia="en-GB"/>
        </w:rPr>
        <w:t>Cross-Government Coordination and Climate Adaptation</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The NFCC Wildfires Position Statement identifies the need for stronger cross-government coordination and a more integrated approach to wildfire resilience.</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Operational learning from the Langdale/Fylingdales incident strongly reinforced this position. The response required coordination across multiple organisations including Fire and Rescue Services, environmental agencies, landowners, Local Resilience Forum partners, government departments and operators of critical national infrastructure.</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The incident demonstrated the extent to which wildfire risk intersects with environmental policy, climate adaptation, infrastructure resilience, civil contingencies and public health.</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There is a need for:</w:t>
      </w:r>
    </w:p>
    <w:p w:rsidR="00125A4C" w:rsidRPr="00C2088E" w:rsidP="000B77E2">
      <w:pPr>
        <w:numPr>
          <w:ilvl w:val="0"/>
          <w:numId w:val="4"/>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A clearer cross-government approach to wildfire resilience; </w:t>
      </w:r>
    </w:p>
    <w:p w:rsidR="00125A4C" w:rsidRPr="00C2088E" w:rsidP="000B77E2">
      <w:pPr>
        <w:numPr>
          <w:ilvl w:val="0"/>
          <w:numId w:val="4"/>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Stronger coordination between D</w:t>
      </w:r>
      <w:r w:rsidRPr="00C2088E">
        <w:rPr>
          <w:rFonts w:ascii="Arial" w:eastAsia="Times New Roman" w:hAnsi="Arial" w:cs="Arial"/>
          <w:kern w:val="0"/>
          <w:sz w:val="24"/>
          <w:szCs w:val="24"/>
          <w:lang w:eastAsia="en-GB"/>
        </w:rPr>
        <w:t>EFRA</w:t>
      </w:r>
      <w:r w:rsidRPr="00C2088E">
        <w:rPr>
          <w:rFonts w:ascii="Arial" w:eastAsia="Times New Roman" w:hAnsi="Arial" w:cs="Arial"/>
          <w:kern w:val="0"/>
          <w:sz w:val="24"/>
          <w:szCs w:val="24"/>
          <w:lang w:eastAsia="en-GB"/>
        </w:rPr>
        <w:t xml:space="preserve">, MHCLG, the Forestry Commission, Natural England, the Met Office and Fire and Rescue Services; </w:t>
      </w:r>
    </w:p>
    <w:p w:rsidR="00125A4C" w:rsidRPr="00C2088E" w:rsidP="000B77E2">
      <w:pPr>
        <w:numPr>
          <w:ilvl w:val="0"/>
          <w:numId w:val="4"/>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Greater integration of wildfire risk within climate resilience planning; </w:t>
      </w:r>
    </w:p>
    <w:p w:rsidR="00125A4C" w:rsidRPr="00C2088E" w:rsidP="000B77E2">
      <w:pPr>
        <w:numPr>
          <w:ilvl w:val="0"/>
          <w:numId w:val="4"/>
        </w:num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 xml:space="preserve">Improved alignment between environmental policy and operational resilience requirements. </w:t>
      </w:r>
    </w:p>
    <w:p w:rsidR="00125A4C" w:rsidRPr="00C2088E" w:rsidP="000B77E2">
      <w:pPr>
        <w:spacing w:before="100" w:beforeAutospacing="1" w:after="100" w:afterAutospacing="1" w:line="240" w:lineRule="auto"/>
        <w:rPr>
          <w:rFonts w:ascii="Arial" w:eastAsia="Times New Roman" w:hAnsi="Arial" w:cs="Arial"/>
          <w:kern w:val="0"/>
          <w:sz w:val="24"/>
          <w:szCs w:val="24"/>
          <w:lang w:eastAsia="en-GB"/>
        </w:rPr>
      </w:pPr>
      <w:r w:rsidRPr="00C2088E">
        <w:rPr>
          <w:rFonts w:ascii="Arial" w:eastAsia="Times New Roman" w:hAnsi="Arial" w:cs="Arial"/>
          <w:kern w:val="0"/>
          <w:sz w:val="24"/>
          <w:szCs w:val="24"/>
          <w:lang w:eastAsia="en-GB"/>
        </w:rPr>
        <w:t>Operational learning from the incident reinforced the importance of ensuring that wildfire resilience is increasingly considered within wider national resilience and climate adaptation arrangements.</w:t>
      </w:r>
    </w:p>
    <w:p w:rsidR="00125A4C" w:rsidRPr="00C2088E" w:rsidP="52B9AE75">
      <w:pPr>
        <w:pStyle w:val="ListParagraph"/>
        <w:numPr>
          <w:ilvl w:val="0"/>
          <w:numId w:val="16"/>
        </w:numPr>
        <w:spacing w:beforeAutospacing="1" w:afterAutospacing="1" w:line="240" w:lineRule="auto"/>
        <w:rPr>
          <w:rFonts w:ascii="Arial" w:eastAsia="Times New Roman" w:hAnsi="Arial" w:cs="Arial"/>
          <w:b/>
          <w:bCs/>
          <w:sz w:val="24"/>
          <w:szCs w:val="24"/>
          <w:lang w:eastAsia="en-GB"/>
        </w:rPr>
      </w:pPr>
      <w:r w:rsidRPr="00C2088E">
        <w:rPr>
          <w:rFonts w:ascii="Arial" w:eastAsia="Times New Roman" w:hAnsi="Arial" w:cs="Arial"/>
          <w:b/>
          <w:bCs/>
          <w:sz w:val="24"/>
          <w:szCs w:val="24"/>
          <w:lang w:eastAsia="en-GB"/>
        </w:rPr>
        <w:t>Appropriate Funding of Fire and Rescue Services to Meet the Increased Challenges</w:t>
      </w:r>
    </w:p>
    <w:p w:rsidR="00125A4C" w:rsidRPr="00C2088E" w:rsidP="57BF5C07">
      <w:pPr>
        <w:pStyle w:val="ListParagraph"/>
        <w:spacing w:beforeAutospacing="1" w:afterAutospacing="1" w:line="240" w:lineRule="auto"/>
        <w:rPr>
          <w:rFonts w:ascii="Arial" w:eastAsia="Times New Roman" w:hAnsi="Arial" w:cs="Arial"/>
          <w:sz w:val="24"/>
          <w:szCs w:val="24"/>
          <w:lang w:eastAsia="en-GB"/>
        </w:rPr>
      </w:pPr>
    </w:p>
    <w:p w:rsidR="00125A4C" w:rsidRPr="00C2088E" w:rsidP="7FF393FD">
      <w:r w:rsidRPr="00C2088E">
        <w:rPr>
          <w:rFonts w:ascii="Arial" w:eastAsia="Arial" w:hAnsi="Arial" w:cs="Arial"/>
          <w:sz w:val="24"/>
          <w:szCs w:val="24"/>
        </w:rPr>
        <w:t>Rural Fire and Rescue Services face a particular challenge where wildfire risk is concentrated in large, sparsely populated landscapes but national funding arrangements continue to distribute a fixed funding pot on the basis of relative need across all English authorities. Although the current fire formula includes top-ups for sparsity, coastline, deprivation, high risk, property and societal risk, and community fire safety, it does not explicitly recognise the sustained capability, specialist training, log</w:t>
      </w:r>
      <w:r w:rsidRPr="00C2088E">
        <w:rPr>
          <w:rFonts w:ascii="Arial" w:eastAsia="Arial" w:hAnsi="Arial" w:cs="Arial"/>
          <w:sz w:val="24"/>
          <w:szCs w:val="24"/>
        </w:rPr>
        <w:t>istics and resilience requirements associated with prolonged wildfire operations in remote rural terrain. This creates a structural mismatch for services such as North Yorkshire, where the highest wildfire risks often sit alongside lower population growth and large geographic areas that are more costly to protect.</w:t>
      </w:r>
    </w:p>
    <w:p w:rsidR="00125A4C" w:rsidRPr="00C2088E" w:rsidP="4E5B0937">
      <w:pPr>
        <w:spacing w:after="0" w:line="300" w:lineRule="auto"/>
        <w:rPr>
          <w:rFonts w:ascii="Arial" w:eastAsia="Arial" w:hAnsi="Arial" w:cs="Arial"/>
          <w:sz w:val="24"/>
          <w:szCs w:val="24"/>
        </w:rPr>
      </w:pPr>
      <w:r w:rsidRPr="00C2088E">
        <w:rPr>
          <w:rFonts w:ascii="Arial" w:eastAsia="Arial" w:hAnsi="Arial" w:cs="Arial"/>
          <w:sz w:val="24"/>
          <w:szCs w:val="24"/>
        </w:rPr>
        <w:t>The financial impact of the Langdale/Fylingdales wildfire and wider resilience challenges should also be considered within the context of significant funding pressures. North Yorkshire Fire and Rescue Service has experienced consecutive reductions in central government funding, with a projected 25% reduction (£3.3m) over three years, alongside increasing demand associated with climate-driven incidents. While local precept increases have supported improved financial sustainability, prolonged incidents of thi</w:t>
      </w:r>
      <w:r w:rsidRPr="00C2088E">
        <w:rPr>
          <w:rFonts w:ascii="Arial" w:eastAsia="Arial" w:hAnsi="Arial" w:cs="Arial"/>
          <w:sz w:val="24"/>
          <w:szCs w:val="24"/>
        </w:rPr>
        <w:t>s nature continue to place significant pressure on service resources and recovery funding arrangements.</w:t>
      </w:r>
    </w:p>
    <w:p w:rsidR="00125A4C" w:rsidRPr="00C2088E" w:rsidP="200E0B92">
      <w:pPr>
        <w:rPr>
          <w:rFonts w:ascii="Arial" w:eastAsia="Arial" w:hAnsi="Arial" w:cs="Arial"/>
          <w:sz w:val="24"/>
          <w:szCs w:val="24"/>
        </w:rPr>
      </w:pPr>
    </w:p>
    <w:p w:rsidR="00125A4C" w:rsidRPr="00C2088E" w:rsidP="6AF5BAD0">
      <w:pPr>
        <w:pStyle w:val="ListParagraph"/>
        <w:numPr>
          <w:ilvl w:val="0"/>
          <w:numId w:val="14"/>
        </w:numPr>
        <w:rPr>
          <w:rFonts w:ascii="Arial" w:eastAsia="Arial" w:hAnsi="Arial" w:cs="Arial"/>
          <w:sz w:val="24"/>
          <w:szCs w:val="24"/>
        </w:rPr>
      </w:pPr>
      <w:r w:rsidRPr="00C2088E">
        <w:rPr>
          <w:rFonts w:ascii="Arial" w:eastAsia="Arial" w:hAnsi="Arial" w:cs="Arial"/>
          <w:sz w:val="24"/>
          <w:szCs w:val="24"/>
        </w:rPr>
        <w:t>Future fire funding reforms should give greater weight to rurality, geographic scale, infrastructure vulnerability and climate-related wildfire risk, rather than relying predominantly on population-based indicators.</w:t>
      </w:r>
    </w:p>
    <w:p w:rsidR="00125A4C" w:rsidP="6AF5BAD0">
      <w:pPr>
        <w:pStyle w:val="ListParagraph"/>
        <w:numPr>
          <w:ilvl w:val="0"/>
          <w:numId w:val="14"/>
        </w:numPr>
        <w:rPr>
          <w:rFonts w:ascii="Arial" w:eastAsia="Arial" w:hAnsi="Arial" w:cs="Arial"/>
          <w:sz w:val="24"/>
          <w:szCs w:val="24"/>
        </w:rPr>
      </w:pPr>
      <w:r w:rsidRPr="00C2088E">
        <w:rPr>
          <w:rFonts w:ascii="Arial" w:eastAsia="Arial" w:hAnsi="Arial" w:cs="Arial"/>
          <w:sz w:val="24"/>
          <w:szCs w:val="24"/>
        </w:rPr>
        <w:t>Government should consider a specific</w:t>
      </w:r>
      <w:r w:rsidRPr="090CD189">
        <w:rPr>
          <w:rFonts w:ascii="Arial" w:eastAsia="Arial" w:hAnsi="Arial" w:cs="Arial"/>
          <w:sz w:val="24"/>
          <w:szCs w:val="24"/>
        </w:rPr>
        <w:t xml:space="preserve"> resilience or capability funding mechanism for services with nationally significant wildfire and peat fire risk.</w:t>
      </w:r>
    </w:p>
    <w:p w:rsidR="00125A4C" w:rsidP="6AF5BAD0">
      <w:pPr>
        <w:pStyle w:val="ListParagraph"/>
        <w:numPr>
          <w:ilvl w:val="0"/>
          <w:numId w:val="14"/>
        </w:numPr>
        <w:rPr>
          <w:rFonts w:ascii="Arial" w:eastAsia="Arial" w:hAnsi="Arial" w:cs="Arial"/>
          <w:sz w:val="24"/>
          <w:szCs w:val="24"/>
        </w:rPr>
      </w:pPr>
      <w:r w:rsidRPr="090CD189">
        <w:rPr>
          <w:rFonts w:ascii="Arial" w:eastAsia="Arial" w:hAnsi="Arial" w:cs="Arial"/>
          <w:sz w:val="24"/>
          <w:szCs w:val="24"/>
        </w:rPr>
        <w:t>Multi-year settlements are needed so that Fire and Rescue Services can invest in specialist training, wildfire equipment, prevention activity and partnership arrangements on a sustainable basis.</w:t>
      </w:r>
    </w:p>
    <w:p w:rsidR="00125A4C" w:rsidP="29ADE200">
      <w:pPr>
        <w:pStyle w:val="ListParagraph"/>
        <w:rPr>
          <w:rFonts w:ascii="Arial" w:eastAsia="Arial" w:hAnsi="Arial" w:cs="Arial"/>
          <w:sz w:val="24"/>
          <w:szCs w:val="24"/>
        </w:rPr>
      </w:pPr>
    </w:p>
    <w:p w:rsidR="00125A4C" w:rsidRPr="000B77E2" w:rsidP="000B77E2">
      <w:pPr>
        <w:pStyle w:val="ListParagraph"/>
        <w:numPr>
          <w:ilvl w:val="0"/>
          <w:numId w:val="16"/>
        </w:numPr>
        <w:spacing w:before="100" w:beforeAutospacing="1" w:after="100" w:afterAutospacing="1" w:line="240" w:lineRule="auto"/>
        <w:outlineLvl w:val="1"/>
        <w:rPr>
          <w:rFonts w:ascii="Arial" w:eastAsia="Times New Roman" w:hAnsi="Arial" w:cs="Arial"/>
          <w:b/>
          <w:bCs/>
          <w:kern w:val="0"/>
          <w:sz w:val="24"/>
          <w:szCs w:val="24"/>
          <w:lang w:eastAsia="en-GB"/>
        </w:rPr>
      </w:pPr>
      <w:r w:rsidRPr="000B77E2">
        <w:rPr>
          <w:rFonts w:ascii="Arial" w:eastAsia="Times New Roman" w:hAnsi="Arial" w:cs="Arial"/>
          <w:b/>
          <w:bCs/>
          <w:kern w:val="0"/>
          <w:sz w:val="24"/>
          <w:szCs w:val="24"/>
          <w:lang w:eastAsia="en-GB"/>
        </w:rPr>
        <w:t>Conclusion</w:t>
      </w:r>
    </w:p>
    <w:p w:rsidR="00125A4C" w:rsidP="01ADFE19">
      <w:pPr>
        <w:rPr>
          <w:rFonts w:ascii="Arial" w:eastAsia="Arial" w:hAnsi="Arial" w:cs="Arial"/>
          <w:sz w:val="24"/>
          <w:szCs w:val="24"/>
        </w:rPr>
      </w:pPr>
      <w:r w:rsidRPr="090CD189">
        <w:rPr>
          <w:rFonts w:ascii="Arial" w:eastAsia="Arial" w:hAnsi="Arial" w:cs="Arial"/>
          <w:sz w:val="24"/>
          <w:szCs w:val="24"/>
        </w:rPr>
        <w:t>The Langdale/Fylingdales Moor Wildfire Major Incident demonstrated the growing scale, complexity and resource demands associated with prolonged wildfire incidents within the UK, particularly for rural Fire and Rescue Services responsible for large and sparsely populated areas.</w:t>
      </w:r>
    </w:p>
    <w:p w:rsidR="00125A4C" w:rsidP="02D01619">
      <w:pPr>
        <w:rPr>
          <w:rFonts w:ascii="Arial" w:eastAsia="Arial" w:hAnsi="Arial" w:cs="Arial"/>
          <w:sz w:val="24"/>
          <w:szCs w:val="24"/>
        </w:rPr>
      </w:pPr>
      <w:r w:rsidRPr="090CD189">
        <w:rPr>
          <w:rFonts w:ascii="Arial" w:eastAsia="Arial" w:hAnsi="Arial" w:cs="Arial"/>
          <w:sz w:val="24"/>
          <w:szCs w:val="24"/>
        </w:rPr>
        <w:t xml:space="preserve">Operational learning from the incident reinforced many of the themes identified within the NFCC Wildfires Position Statement, particularly in relation to land management, prevention, specialist capability, data and research, public awareness and cross-government coordination. It also highlighted the financial challenge facing rural services where wildfire risk is increasing but funding arrangements do not fully reflect the cost of sustaining prolonged operations, specialist capability and resilience across </w:t>
      </w:r>
      <w:r w:rsidRPr="090CD189">
        <w:rPr>
          <w:rFonts w:ascii="Arial" w:eastAsia="Arial" w:hAnsi="Arial" w:cs="Arial"/>
          <w:sz w:val="24"/>
          <w:szCs w:val="24"/>
        </w:rPr>
        <w:t>wide geographic areas.</w:t>
      </w:r>
    </w:p>
    <w:p w:rsidR="00125A4C" w:rsidP="168AAE93">
      <w:pPr>
        <w:rPr>
          <w:rFonts w:ascii="Arial" w:eastAsia="Arial" w:hAnsi="Arial" w:cs="Arial"/>
          <w:sz w:val="24"/>
          <w:szCs w:val="24"/>
        </w:rPr>
      </w:pPr>
      <w:r w:rsidRPr="090CD189">
        <w:rPr>
          <w:rFonts w:ascii="Arial" w:eastAsia="Arial" w:hAnsi="Arial" w:cs="Arial"/>
          <w:sz w:val="24"/>
          <w:szCs w:val="24"/>
        </w:rPr>
        <w:t>Climate change, prolonged dry conditions and changing land use patterns are likely to increase both the frequency and complexity of wildfire incidents within the UK. For North Yorkshire, this pressure has developed alongside approximately £1.2 million in reduced central government funding, and an estimated £21 million less available for investment over time due to the earlier precept freeze. Continued development of a coordinated and long-term approach to wildfire resilience must therefore include fairer an</w:t>
      </w:r>
      <w:r w:rsidRPr="090CD189">
        <w:rPr>
          <w:rFonts w:ascii="Arial" w:eastAsia="Arial" w:hAnsi="Arial" w:cs="Arial"/>
          <w:sz w:val="24"/>
          <w:szCs w:val="24"/>
        </w:rPr>
        <w:t>d more sustainable funding arrangements for rural Fire and Rescue Services, supporting environmental protection, public safety, infrastructure resilience and climate adaptation objectives.</w:t>
      </w:r>
    </w:p>
    <w:p w:rsidR="002A5A19" w:rsidP="00900D23">
      <w:pPr>
        <w:pStyle w:val="NoSpacing"/>
        <w:rPr>
          <w:rFonts w:ascii="Arial" w:hAnsi="Arial" w:cs="Arial"/>
          <w:i/>
          <w:iCs/>
        </w:rPr>
      </w:pPr>
    </w:p>
    <w:p w:rsidR="00125A4C" w:rsidRPr="002A5A19" w:rsidP="00900D23">
      <w:pPr>
        <w:pStyle w:val="NoSpacing"/>
        <w:rPr>
          <w:rFonts w:ascii="Arial" w:hAnsi="Arial" w:cs="Arial"/>
          <w:i/>
          <w:iCs/>
        </w:rPr>
      </w:pPr>
      <w:r w:rsidRPr="002A5A19">
        <w:rPr>
          <w:rFonts w:ascii="Arial" w:hAnsi="Arial" w:cs="Arial"/>
          <w:i/>
          <w:i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1200FD"/>
    <w:multiLevelType w:val="multilevel"/>
    <w:tmpl w:val="4E7A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5749D6"/>
    <w:multiLevelType w:val="multilevel"/>
    <w:tmpl w:val="9590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2355D"/>
    <w:multiLevelType w:val="multilevel"/>
    <w:tmpl w:val="CDEA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5FEE8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C9D3E23"/>
    <w:multiLevelType w:val="multilevel"/>
    <w:tmpl w:val="130A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653106"/>
    <w:multiLevelType w:val="multilevel"/>
    <w:tmpl w:val="EB42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33017C"/>
    <w:multiLevelType w:val="hybridMultilevel"/>
    <w:tmpl w:val="8D36EB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D215403"/>
    <w:multiLevelType w:val="multilevel"/>
    <w:tmpl w:val="68B4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B037DA"/>
    <w:multiLevelType w:val="multilevel"/>
    <w:tmpl w:val="CB96E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FF4AC3"/>
    <w:multiLevelType w:val="multilevel"/>
    <w:tmpl w:val="CBE4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0B2544"/>
    <w:multiLevelType w:val="multilevel"/>
    <w:tmpl w:val="A6AA6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9130A5"/>
    <w:multiLevelType w:val="multilevel"/>
    <w:tmpl w:val="B37E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A1C32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614A22B8"/>
    <w:multiLevelType w:val="multilevel"/>
    <w:tmpl w:val="2B0C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7A46D9"/>
    <w:multiLevelType w:val="multilevel"/>
    <w:tmpl w:val="6BAE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893331"/>
    <w:multiLevelType w:val="multilevel"/>
    <w:tmpl w:val="293E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DE2A3C"/>
    <w:multiLevelType w:val="multilevel"/>
    <w:tmpl w:val="0986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2E468F"/>
    <w:multiLevelType w:val="multilevel"/>
    <w:tmpl w:val="5C68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9A67CF"/>
    <w:multiLevelType w:val="multilevel"/>
    <w:tmpl w:val="89946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16"/>
  </w:num>
  <w:num w:numId="4">
    <w:abstractNumId w:val="1"/>
  </w:num>
  <w:num w:numId="5">
    <w:abstractNumId w:val="5"/>
  </w:num>
  <w:num w:numId="6">
    <w:abstractNumId w:val="17"/>
  </w:num>
  <w:num w:numId="7">
    <w:abstractNumId w:val="13"/>
  </w:num>
  <w:num w:numId="8">
    <w:abstractNumId w:val="10"/>
  </w:num>
  <w:num w:numId="9">
    <w:abstractNumId w:val="18"/>
  </w:num>
  <w:num w:numId="10">
    <w:abstractNumId w:val="2"/>
  </w:num>
  <w:num w:numId="11">
    <w:abstractNumId w:val="4"/>
  </w:num>
  <w:num w:numId="12">
    <w:abstractNumId w:val="7"/>
  </w:num>
  <w:num w:numId="13">
    <w:abstractNumId w:val="0"/>
  </w:num>
  <w:num w:numId="14">
    <w:abstractNumId w:val="3"/>
  </w:num>
  <w:num w:numId="15">
    <w:abstractNumId w:val="15"/>
  </w:num>
  <w:num w:numId="16">
    <w:abstractNumId w:val="6"/>
  </w:num>
  <w:num w:numId="17">
    <w:abstractNumId w:val="14"/>
  </w:num>
  <w:num w:numId="18">
    <w:abstractNumId w:val="1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8D27A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D27A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D27A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D27A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D27A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D27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27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27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27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0D23"/>
    <w:pPr>
      <w:spacing w:after="0" w:line="240" w:lineRule="auto"/>
    </w:pPr>
  </w:style>
  <w:style w:type="character" w:customStyle="1" w:styleId="Heading1Char">
    <w:name w:val="Heading 1 Char"/>
    <w:basedOn w:val="DefaultParagraphFont"/>
    <w:link w:val="Heading1"/>
    <w:uiPriority w:val="9"/>
    <w:rsid w:val="008D27A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D27A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D27A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D27A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D27A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D27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27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27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27AD"/>
    <w:rPr>
      <w:rFonts w:eastAsiaTheme="majorEastAsia" w:cstheme="majorBidi"/>
      <w:color w:val="272727" w:themeColor="text1" w:themeTint="D8"/>
    </w:rPr>
  </w:style>
  <w:style w:type="paragraph" w:styleId="Title">
    <w:name w:val="Title"/>
    <w:basedOn w:val="Normal"/>
    <w:next w:val="Normal"/>
    <w:link w:val="TitleChar"/>
    <w:uiPriority w:val="10"/>
    <w:qFormat/>
    <w:rsid w:val="008D27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7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27A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27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27A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27AD"/>
    <w:rPr>
      <w:i/>
      <w:iCs/>
      <w:color w:val="404040" w:themeColor="text1" w:themeTint="BF"/>
    </w:rPr>
  </w:style>
  <w:style w:type="paragraph" w:styleId="ListParagraph">
    <w:name w:val="List Paragraph"/>
    <w:basedOn w:val="Normal"/>
    <w:uiPriority w:val="34"/>
    <w:qFormat/>
    <w:rsid w:val="008D27AD"/>
    <w:pPr>
      <w:ind w:left="720"/>
      <w:contextualSpacing/>
    </w:pPr>
  </w:style>
  <w:style w:type="character" w:styleId="IntenseEmphasis">
    <w:name w:val="Intense Emphasis"/>
    <w:basedOn w:val="DefaultParagraphFont"/>
    <w:uiPriority w:val="21"/>
    <w:qFormat/>
    <w:rsid w:val="008D27AD"/>
    <w:rPr>
      <w:i/>
      <w:iCs/>
      <w:color w:val="365F91" w:themeColor="accent1" w:themeShade="BF"/>
    </w:rPr>
  </w:style>
  <w:style w:type="paragraph" w:styleId="IntenseQuote">
    <w:name w:val="Intense Quote"/>
    <w:basedOn w:val="Normal"/>
    <w:next w:val="Normal"/>
    <w:link w:val="IntenseQuoteChar"/>
    <w:uiPriority w:val="30"/>
    <w:qFormat/>
    <w:rsid w:val="008D27A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D27AD"/>
    <w:rPr>
      <w:i/>
      <w:iCs/>
      <w:color w:val="365F91" w:themeColor="accent1" w:themeShade="BF"/>
    </w:rPr>
  </w:style>
  <w:style w:type="character" w:styleId="IntenseReference">
    <w:name w:val="Intense Reference"/>
    <w:basedOn w:val="DefaultParagraphFont"/>
    <w:uiPriority w:val="32"/>
    <w:qFormat/>
    <w:rsid w:val="008D27A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haredContentType xmlns="Microsoft.SharePoint.Taxonomy.ContentTypeSync" SourceId="f94304df-64f8-48d7-8ac4-3ea19aeda2ec" ContentTypeId="0x0101" PreviousValue="false" LastSyncTimeStamp="2019-09-10T16:11:38.263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B2F730BBB2EF40A1D6238099EDB87D" ma:contentTypeVersion="3" ma:contentTypeDescription="Create a new document." ma:contentTypeScope="" ma:versionID="79619f364f1ddd6aaa40ae60637dcd2b">
  <xsd:schema xmlns:xsd="http://www.w3.org/2001/XMLSchema" xmlns:xs="http://www.w3.org/2001/XMLSchema" xmlns:p="http://schemas.microsoft.com/office/2006/metadata/properties" xmlns:ns2="ff59b396-78cb-4783-8366-7dafd5a156d5" targetNamespace="http://schemas.microsoft.com/office/2006/metadata/properties" ma:root="true" ma:fieldsID="d6efd506815582e4b99ea891dfb87a05" ns2:_="">
    <xsd:import namespace="ff59b396-78cb-4783-8366-7dafd5a156d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9b396-78cb-4783-8366-7dafd5a156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749749-FFAD-4CDE-83B5-EA7115767A2A}">
  <ds:schemaRefs>
    <ds:schemaRef ds:uri="Microsoft.SharePoint.Taxonomy.ContentTypeSync"/>
  </ds:schemaRefs>
</ds:datastoreItem>
</file>

<file path=customXml/itemProps2.xml><?xml version="1.0" encoding="utf-8"?>
<ds:datastoreItem xmlns:ds="http://schemas.openxmlformats.org/officeDocument/2006/customXml" ds:itemID="{FC29977C-7361-40FE-93FD-CD4AC3AD73A5}">
  <ds:schemaRefs>
    <ds:schemaRef ds:uri="http://schemas.microsoft.com/sharepoint/v3/contenttype/forms"/>
  </ds:schemaRefs>
</ds:datastoreItem>
</file>

<file path=customXml/itemProps3.xml><?xml version="1.0" encoding="utf-8"?>
<ds:datastoreItem xmlns:ds="http://schemas.openxmlformats.org/officeDocument/2006/customXml" ds:itemID="{37496DCF-C3E9-4B70-AB1B-B48B4DB878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17CDAE-365D-441A-898F-80285808B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9b396-78cb-4783-8366-7dafd5a156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CWR0210</dc:title>
  <cp:revision>0</cp:revision>
</cp:coreProperties>
</file>