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73C7" w:rsidRPr="00A2350E" w:rsidP="00A2350E">
      <w:pPr>
        <w:tabs>
          <w:tab w:val="num" w:pos="720"/>
        </w:tabs>
        <w:ind w:left="720" w:hanging="360"/>
        <w:jc w:val="center"/>
        <w:rPr>
          <w:b/>
          <w:bCs/>
          <w:sz w:val="24"/>
          <w:szCs w:val="24"/>
        </w:rPr>
      </w:pPr>
      <w:r w:rsidRPr="00A2350E">
        <w:rPr>
          <w:b/>
          <w:bCs/>
          <w:sz w:val="24"/>
          <w:szCs w:val="24"/>
        </w:rPr>
        <w:t>Written evidence submitted by the Heather Trust (CWR0209)</w:t>
      </w:r>
    </w:p>
    <w:p w:rsidR="00A2350E" w:rsidP="00867565">
      <w:pPr>
        <w:tabs>
          <w:tab w:val="num" w:pos="720"/>
        </w:tabs>
        <w:ind w:left="720" w:hanging="360"/>
      </w:pPr>
    </w:p>
    <w:p w:rsidR="003773C7" w:rsidRPr="00867565" w:rsidP="00867565">
      <w:pPr>
        <w:rPr>
          <w:b/>
          <w:bCs/>
        </w:rPr>
      </w:pPr>
      <w:r w:rsidRPr="00867565">
        <w:rPr>
          <w:b/>
          <w:bCs/>
        </w:rPr>
        <w:t>The Heather Trust</w:t>
      </w:r>
      <w:r>
        <w:rPr>
          <w:b/>
          <w:bCs/>
        </w:rPr>
        <w:t>’s</w:t>
      </w:r>
      <w:r w:rsidRPr="00867565">
        <w:rPr>
          <w:b/>
          <w:bCs/>
        </w:rPr>
        <w:t xml:space="preserve"> response to the Environment, Food and Rural Affairs Committee’s call for evidence on ‘Wildfire risk and response’</w:t>
      </w:r>
    </w:p>
    <w:p w:rsidR="003773C7" w:rsidP="00867565">
      <w:pPr>
        <w:numPr>
          <w:ilvl w:val="0"/>
          <w:numId w:val="7"/>
        </w:numPr>
      </w:pPr>
      <w:r w:rsidRPr="00867565">
        <w:t>How can land management techniques be best used at a regional level to prevent and control wildfires whilst balancing the needs of different land users? What evidence-gaps are there and how can they be filled?</w:t>
      </w:r>
    </w:p>
    <w:p w:rsidR="003773C7" w:rsidP="00867565">
      <w:pPr>
        <w:numPr>
          <w:ilvl w:val="1"/>
          <w:numId w:val="7"/>
        </w:numPr>
      </w:pPr>
      <w:r>
        <w:t xml:space="preserve">Targeted regional planning that integrates wildfire risk mapping into land use </w:t>
      </w:r>
      <w:r>
        <w:t xml:space="preserve">and planning </w:t>
      </w:r>
      <w:r>
        <w:t xml:space="preserve">decisions is essential. </w:t>
      </w:r>
      <w:r>
        <w:t>C</w:t>
      </w:r>
      <w:r>
        <w:t xml:space="preserve">atchment scale coordination - combining traditional practices </w:t>
      </w:r>
      <w:r>
        <w:t>at</w:t>
      </w:r>
      <w:r>
        <w:t xml:space="preserve"> landscape scale (e.g. managed burning, grazing, mowing) with rewetting and vegetation mosaics to break fuel continuity. These management practices should be used as appropriate (and in combination) to suit the terrain, current land use and long-term land management </w:t>
      </w:r>
      <w:r>
        <w:t xml:space="preserve">and biodiversity </w:t>
      </w:r>
      <w:r>
        <w:t>goals.</w:t>
      </w:r>
    </w:p>
    <w:p w:rsidR="003773C7" w:rsidP="00867565">
      <w:pPr>
        <w:numPr>
          <w:ilvl w:val="1"/>
          <w:numId w:val="7"/>
        </w:numPr>
      </w:pPr>
      <w:r>
        <w:t xml:space="preserve">Well-regulated prescribed burning on heather moorland reduces fuel load and thus mitigates wildfire risk. </w:t>
      </w:r>
    </w:p>
    <w:p w:rsidR="003773C7" w:rsidP="00867565">
      <w:pPr>
        <w:numPr>
          <w:ilvl w:val="1"/>
          <w:numId w:val="7"/>
        </w:numPr>
      </w:pPr>
      <w:r>
        <w:t>Regional fire plans developed with local landowners and communities and Fire &amp; Rescue Services to ensure good access for fire response and water sources.</w:t>
      </w:r>
    </w:p>
    <w:p w:rsidR="003773C7" w:rsidRPr="00AA4EE1" w:rsidP="00867565">
      <w:pPr>
        <w:numPr>
          <w:ilvl w:val="1"/>
          <w:numId w:val="7"/>
        </w:numPr>
      </w:pPr>
      <w:r w:rsidRPr="00AA4EE1">
        <w:t xml:space="preserve">There is a wealth of existing and </w:t>
      </w:r>
      <w:r w:rsidRPr="00AA4EE1">
        <w:t xml:space="preserve">ongoing research into wildfire and prescribed burning that, as yet, has not been taken into consideration when developing applicable policy. </w:t>
      </w:r>
      <w:r w:rsidRPr="00AA4EE1">
        <w:t xml:space="preserve">We </w:t>
      </w:r>
      <w:r w:rsidRPr="00AA4EE1">
        <w:t xml:space="preserve">must </w:t>
      </w:r>
      <w:r w:rsidRPr="00AA4EE1">
        <w:t>ensur</w:t>
      </w:r>
      <w:r w:rsidRPr="00AA4EE1">
        <w:t>e</w:t>
      </w:r>
      <w:r w:rsidRPr="00AA4EE1">
        <w:t xml:space="preserve"> that </w:t>
      </w:r>
      <w:r w:rsidRPr="00AA4EE1">
        <w:t xml:space="preserve">there is a 360-degree review of </w:t>
      </w:r>
      <w:r w:rsidRPr="00AA4EE1">
        <w:t>existing evidence</w:t>
      </w:r>
      <w:r w:rsidRPr="00AA4EE1">
        <w:t>,</w:t>
      </w:r>
      <w:r w:rsidRPr="00AA4EE1">
        <w:t xml:space="preserve"> </w:t>
      </w:r>
      <w:r w:rsidRPr="00AA4EE1">
        <w:t>such as the rese</w:t>
      </w:r>
      <w:r w:rsidRPr="00AA4EE1">
        <w:t>arch</w:t>
      </w:r>
      <w:r w:rsidRPr="00AA4EE1">
        <w:t xml:space="preserve"> carried out by Dr </w:t>
      </w:r>
      <w:r w:rsidRPr="00AA4EE1">
        <w:t xml:space="preserve">Andreas Heinemeyer </w:t>
      </w:r>
      <w:r w:rsidRPr="00AA4EE1">
        <w:t>and other</w:t>
      </w:r>
      <w:r w:rsidRPr="00AA4EE1">
        <w:t>s</w:t>
      </w:r>
      <w:r w:rsidRPr="00AA4EE1">
        <w:t>,</w:t>
      </w:r>
      <w:r w:rsidRPr="00AA4EE1">
        <w:t xml:space="preserve"> </w:t>
      </w:r>
      <w:r w:rsidRPr="00AA4EE1">
        <w:t>so decisions can be made on an unbiased, transparent basis.</w:t>
      </w:r>
      <w:r w:rsidRPr="00AA4EE1">
        <w:t xml:space="preserve"> This should happen before (or in tandem with) other evidence gaps are addressed.</w:t>
      </w:r>
    </w:p>
    <w:p w:rsidR="003773C7" w:rsidP="00867565">
      <w:pPr>
        <w:numPr>
          <w:ilvl w:val="1"/>
          <w:numId w:val="7"/>
        </w:numPr>
      </w:pPr>
      <w:r>
        <w:t>Evidence gaps:</w:t>
      </w:r>
    </w:p>
    <w:p w:rsidR="003773C7" w:rsidP="00547101">
      <w:pPr>
        <w:numPr>
          <w:ilvl w:val="2"/>
          <w:numId w:val="7"/>
        </w:numPr>
      </w:pPr>
      <w:r w:rsidRPr="00547101">
        <w:t>Socio</w:t>
      </w:r>
      <w:r w:rsidRPr="00547101">
        <w:noBreakHyphen/>
        <w:t>economic comparisons of wildfire damage versus preventive land management costs</w:t>
      </w:r>
    </w:p>
    <w:p w:rsidR="003773C7" w:rsidP="00547101">
      <w:pPr>
        <w:numPr>
          <w:ilvl w:val="2"/>
          <w:numId w:val="7"/>
        </w:numPr>
      </w:pPr>
      <w:r>
        <w:t>Long-term impacts of cutting/mowing on fuel load/fire behaviour, biodiversity, pest species (e.g. tick, heather beetle)</w:t>
      </w:r>
    </w:p>
    <w:p w:rsidR="003773C7" w:rsidP="00867565">
      <w:pPr>
        <w:numPr>
          <w:ilvl w:val="0"/>
          <w:numId w:val="7"/>
        </w:numPr>
      </w:pPr>
      <w:r w:rsidRPr="00867565">
        <w:t>What role do nature-based solutions, such as improving biodiversity and more resilient landscapes, have in the prevention and control of wildfires?</w:t>
      </w:r>
    </w:p>
    <w:p w:rsidR="003773C7" w:rsidP="009736C5">
      <w:pPr>
        <w:numPr>
          <w:ilvl w:val="1"/>
          <w:numId w:val="7"/>
        </w:numPr>
      </w:pPr>
      <w:r>
        <w:t>The Heather Trust promotes “healthy, functioning ecosystems” as natural firebreaks - diverse age structures in vegetation, buffer wetlands, and native woodland corridors.</w:t>
      </w:r>
    </w:p>
    <w:p w:rsidR="003773C7" w:rsidP="009736C5">
      <w:pPr>
        <w:numPr>
          <w:ilvl w:val="1"/>
          <w:numId w:val="7"/>
        </w:numPr>
      </w:pPr>
      <w:r>
        <w:t>Supporting habitat management for species such as red grouse, wading birds and sheep/cattle grazing – and ensuring that scrub or tree expansion does not inadvertently increase fuel continuity – can be beneficial in mitigating wildfire risk.</w:t>
      </w:r>
    </w:p>
    <w:p w:rsidR="003773C7" w:rsidRPr="00867565" w:rsidP="009736C5">
      <w:pPr>
        <w:numPr>
          <w:ilvl w:val="1"/>
          <w:numId w:val="7"/>
        </w:numPr>
      </w:pPr>
      <w:r>
        <w:t>Integrating biodiversity targets with active vegetation control should be viewed as essential rather than conflicting and thus supported and incentivised.</w:t>
      </w:r>
    </w:p>
    <w:p w:rsidR="003773C7" w:rsidP="00867565">
      <w:pPr>
        <w:numPr>
          <w:ilvl w:val="0"/>
          <w:numId w:val="7"/>
        </w:numPr>
      </w:pPr>
      <w:r w:rsidRPr="00867565">
        <w:t>How best can Defra funding schemes be used to support land managers to adapt to the increased risk of wildfires?</w:t>
      </w:r>
    </w:p>
    <w:p w:rsidR="003773C7" w:rsidP="009736C5">
      <w:pPr>
        <w:numPr>
          <w:ilvl w:val="1"/>
          <w:numId w:val="7"/>
        </w:numPr>
      </w:pPr>
      <w:r>
        <w:t>Proactive fuel management (e.g.</w:t>
      </w:r>
      <w:r>
        <w:t xml:space="preserve"> </w:t>
      </w:r>
      <w:r>
        <w:t>cutting, managed burning, grazing) as eligible wildfire</w:t>
      </w:r>
      <w:r>
        <w:rPr>
          <w:rFonts w:ascii="Cambria Math" w:hAnsi="Cambria Math" w:cs="Cambria Math"/>
        </w:rPr>
        <w:t>‑</w:t>
      </w:r>
      <w:r>
        <w:t>resilience actions</w:t>
      </w:r>
    </w:p>
    <w:p w:rsidR="003773C7" w:rsidP="009736C5">
      <w:pPr>
        <w:numPr>
          <w:ilvl w:val="1"/>
          <w:numId w:val="7"/>
        </w:numPr>
      </w:pPr>
      <w:r>
        <w:t>Wildfire management plans as part of farm or estate resilience plans</w:t>
      </w:r>
    </w:p>
    <w:p w:rsidR="003773C7" w:rsidP="009736C5">
      <w:pPr>
        <w:numPr>
          <w:ilvl w:val="1"/>
          <w:numId w:val="7"/>
        </w:numPr>
      </w:pPr>
      <w:r>
        <w:t>Collaborative landscape</w:t>
      </w:r>
      <w:r>
        <w:rPr>
          <w:rFonts w:ascii="Cambria Math" w:hAnsi="Cambria Math" w:cs="Cambria Math"/>
        </w:rPr>
        <w:t>‑</w:t>
      </w:r>
      <w:r>
        <w:t>scale projects among neighbouring holdings</w:t>
      </w:r>
    </w:p>
    <w:p w:rsidR="003773C7" w:rsidRPr="00867565" w:rsidP="009736C5">
      <w:pPr>
        <w:numPr>
          <w:ilvl w:val="1"/>
          <w:numId w:val="7"/>
        </w:numPr>
      </w:pPr>
      <w:r>
        <w:t xml:space="preserve">In general, </w:t>
      </w:r>
      <w:r w:rsidRPr="009736C5">
        <w:t>clearer guidance and incentives for participation by landowner</w:t>
      </w:r>
      <w:r>
        <w:t>s; perhaps</w:t>
      </w:r>
      <w:r w:rsidRPr="009736C5">
        <w:t xml:space="preserve"> pilot schemes demonstrating multi</w:t>
      </w:r>
      <w:r w:rsidRPr="009736C5">
        <w:rPr>
          <w:rFonts w:ascii="Cambria Math" w:hAnsi="Cambria Math" w:cs="Cambria Math"/>
        </w:rPr>
        <w:t>‑</w:t>
      </w:r>
      <w:r w:rsidRPr="009736C5">
        <w:t>benefit wildfire prevention alongside biodiversity and carbon targets</w:t>
      </w:r>
    </w:p>
    <w:p w:rsidR="003773C7" w:rsidP="00867565">
      <w:pPr>
        <w:numPr>
          <w:ilvl w:val="0"/>
          <w:numId w:val="7"/>
        </w:numPr>
      </w:pPr>
      <w:r w:rsidRPr="00867565">
        <w:t>What impact does the monitoring of wildfires have on our understanding of the causes and risks of these events in the UK, and how can this be improved? Are there international examples or best practices that can be used in a UK context?</w:t>
      </w:r>
    </w:p>
    <w:p w:rsidR="003773C7" w:rsidP="00790FE5">
      <w:pPr>
        <w:numPr>
          <w:ilvl w:val="1"/>
          <w:numId w:val="7"/>
        </w:numPr>
      </w:pPr>
      <w:r>
        <w:t>Monitoring</w:t>
      </w:r>
      <w:r>
        <w:t xml:space="preserve"> of wildfires is key to</w:t>
      </w:r>
      <w:r>
        <w:t xml:space="preserve"> better preparedness for wildfires but, at present there is inconsistency, or lack of robust data, across the UK</w:t>
      </w:r>
    </w:p>
    <w:p w:rsidR="003773C7" w:rsidP="00790FE5">
      <w:pPr>
        <w:numPr>
          <w:ilvl w:val="1"/>
          <w:numId w:val="7"/>
        </w:numPr>
      </w:pPr>
      <w:r>
        <w:t>A national wildfire database would be beneficial</w:t>
      </w:r>
      <w:r>
        <w:t xml:space="preserve"> and could draw in Government, Fire &amp; Rescue Services as well as research institutions</w:t>
      </w:r>
    </w:p>
    <w:p w:rsidR="003773C7" w:rsidP="00790FE5">
      <w:pPr>
        <w:numPr>
          <w:ilvl w:val="1"/>
          <w:numId w:val="7"/>
        </w:numPr>
      </w:pPr>
      <w:r>
        <w:t xml:space="preserve">Closer connections with our </w:t>
      </w:r>
      <w:r>
        <w:t>European</w:t>
      </w:r>
      <w:r>
        <w:t xml:space="preserve"> neighbours (and further afield) is </w:t>
      </w:r>
      <w:r>
        <w:t>important</w:t>
      </w:r>
      <w:r>
        <w:t xml:space="preserve"> so we can </w:t>
      </w:r>
      <w:r>
        <w:t>properly</w:t>
      </w:r>
      <w:r>
        <w:t xml:space="preserve"> prepare for the </w:t>
      </w:r>
      <w:r>
        <w:t>growing</w:t>
      </w:r>
      <w:r>
        <w:t xml:space="preserve"> wildfire threat. Their system</w:t>
      </w:r>
      <w:r>
        <w:t xml:space="preserve">s are </w:t>
      </w:r>
      <w:r>
        <w:t xml:space="preserve">ahead of </w:t>
      </w:r>
      <w:r>
        <w:t>ours</w:t>
      </w:r>
      <w:r>
        <w:t xml:space="preserve"> and </w:t>
      </w:r>
      <w:r>
        <w:t>t</w:t>
      </w:r>
      <w:r>
        <w:t xml:space="preserve">hey have lived </w:t>
      </w:r>
      <w:r>
        <w:t>experience</w:t>
      </w:r>
    </w:p>
    <w:p w:rsidR="003773C7" w:rsidRPr="00867565" w:rsidP="00790FE5">
      <w:pPr>
        <w:numPr>
          <w:ilvl w:val="1"/>
          <w:numId w:val="7"/>
        </w:numPr>
      </w:pPr>
      <w:r>
        <w:t>Suggest closers links with the likes of the Pau Costa Foundation, IAWF and others.</w:t>
      </w:r>
      <w:r>
        <w:t xml:space="preserve"> The UK Wildfire Conference will be held this year in Leeds on 10 and 11 November and is the largest wildfire event in the UK – an excellent opportunity to knowledge-share and build connections</w:t>
      </w:r>
    </w:p>
    <w:p w:rsidR="003773C7" w:rsidP="00867565">
      <w:pPr>
        <w:numPr>
          <w:ilvl w:val="0"/>
          <w:numId w:val="7"/>
        </w:numPr>
      </w:pPr>
      <w:r w:rsidRPr="00867565">
        <w:t>What resources and training do emergency services and local authorities need to respond to the increasing number of wildfires, particularly in rural and hard-to-reach areas?</w:t>
      </w:r>
    </w:p>
    <w:p w:rsidR="003773C7" w:rsidP="0081431B">
      <w:pPr>
        <w:numPr>
          <w:ilvl w:val="1"/>
          <w:numId w:val="7"/>
        </w:numPr>
      </w:pPr>
      <w:r w:rsidRPr="00191593">
        <w:t>Rural Fire &amp; Rescue teams often lack off</w:t>
      </w:r>
      <w:r w:rsidRPr="00191593">
        <w:rPr>
          <w:rFonts w:ascii="Cambria Math" w:hAnsi="Cambria Math" w:cs="Cambria Math"/>
        </w:rPr>
        <w:t>‑</w:t>
      </w:r>
      <w:r w:rsidRPr="00191593">
        <w:t>road vehicles, helicopter support funding, and upland</w:t>
      </w:r>
      <w:r w:rsidRPr="00191593">
        <w:rPr>
          <w:rFonts w:ascii="Cambria Math" w:hAnsi="Cambria Math" w:cs="Cambria Math"/>
        </w:rPr>
        <w:t>‑</w:t>
      </w:r>
      <w:r w:rsidRPr="00191593">
        <w:t>specific training</w:t>
      </w:r>
    </w:p>
    <w:p w:rsidR="003773C7" w:rsidP="0081431B">
      <w:pPr>
        <w:numPr>
          <w:ilvl w:val="1"/>
          <w:numId w:val="7"/>
        </w:numPr>
      </w:pPr>
      <w:r>
        <w:t xml:space="preserve">Shared training exercises between </w:t>
      </w:r>
      <w:r w:rsidRPr="001E439D">
        <w:t>land managers and firefighters to improve response coordination and communication</w:t>
      </w:r>
    </w:p>
    <w:p w:rsidR="003773C7" w:rsidP="0081431B">
      <w:pPr>
        <w:numPr>
          <w:ilvl w:val="1"/>
          <w:numId w:val="7"/>
        </w:numPr>
      </w:pPr>
      <w:r>
        <w:t>L</w:t>
      </w:r>
      <w:r w:rsidRPr="00B23D4A">
        <w:t>and</w:t>
      </w:r>
      <w:r w:rsidRPr="00B23D4A">
        <w:noBreakHyphen/>
        <w:t>based fire groups that combine estate staff, farmers and volunteers using pre</w:t>
      </w:r>
      <w:r w:rsidRPr="00B23D4A">
        <w:noBreakHyphen/>
        <w:t>positioned portable fire units</w:t>
      </w:r>
      <w:r>
        <w:t xml:space="preserve"> alongside a</w:t>
      </w:r>
      <w:r>
        <w:t>n asset register</w:t>
      </w:r>
    </w:p>
    <w:p w:rsidR="003773C7" w:rsidRPr="00867565" w:rsidP="00E82BED">
      <w:pPr>
        <w:numPr>
          <w:ilvl w:val="1"/>
          <w:numId w:val="7"/>
        </w:numPr>
      </w:pPr>
      <w:r>
        <w:t>Involvement with catchment-scale wildfire management planning and community engagement</w:t>
      </w:r>
      <w:r>
        <w:t xml:space="preserve"> to understand landholdings, access, water sources and establishing chain</w:t>
      </w:r>
      <w:r>
        <w:t>s</w:t>
      </w:r>
      <w:r>
        <w:t xml:space="preserve"> of command during an incident</w:t>
      </w:r>
    </w:p>
    <w:p w:rsidR="003773C7" w:rsidP="00867565">
      <w:pPr>
        <w:numPr>
          <w:ilvl w:val="0"/>
          <w:numId w:val="7"/>
        </w:numPr>
      </w:pPr>
      <w:r w:rsidRPr="00867565">
        <w:t>What are the most effective activities for tackling the human causes of wildfire ignition, for example public engagement and campaigns? How can the UK Government best support the delivery of these activities at both a local and national scale?</w:t>
      </w:r>
    </w:p>
    <w:p w:rsidR="003773C7" w:rsidP="00904165">
      <w:pPr>
        <w:numPr>
          <w:ilvl w:val="1"/>
          <w:numId w:val="7"/>
        </w:numPr>
      </w:pPr>
      <w:r>
        <w:t xml:space="preserve">Public </w:t>
      </w:r>
      <w:r>
        <w:t>awareness</w:t>
      </w:r>
      <w:r>
        <w:t xml:space="preserve"> campaigns. Targeting tourists, walkers and campers</w:t>
      </w:r>
    </w:p>
    <w:p w:rsidR="003773C7" w:rsidP="00904165">
      <w:pPr>
        <w:numPr>
          <w:ilvl w:val="1"/>
          <w:numId w:val="7"/>
        </w:numPr>
      </w:pPr>
      <w:r>
        <w:t xml:space="preserve">Seasonal warnings systems through local councils and countryside </w:t>
      </w:r>
      <w:r>
        <w:t>partnerships</w:t>
      </w:r>
    </w:p>
    <w:p w:rsidR="003773C7" w:rsidP="00904165">
      <w:pPr>
        <w:numPr>
          <w:ilvl w:val="1"/>
          <w:numId w:val="7"/>
        </w:numPr>
      </w:pPr>
      <w:r w:rsidRPr="00FF36C1">
        <w:t>Community</w:t>
      </w:r>
      <w:r w:rsidRPr="00FF36C1">
        <w:rPr>
          <w:rFonts w:ascii="Cambria Math" w:hAnsi="Cambria Math" w:cs="Cambria Math"/>
        </w:rPr>
        <w:t>‑</w:t>
      </w:r>
      <w:r w:rsidRPr="00FF36C1">
        <w:t>based initiatives that frame prevention as a shared responsibility</w:t>
      </w:r>
    </w:p>
    <w:p w:rsidR="003773C7" w:rsidP="00904165">
      <w:pPr>
        <w:numPr>
          <w:ilvl w:val="1"/>
          <w:numId w:val="7"/>
        </w:numPr>
      </w:pPr>
      <w:r>
        <w:t>Promoting early years resources such as The Heather Trust book ‘Heather Munro’s Race Against the Flames’ through funded school workshops</w:t>
      </w:r>
      <w:r>
        <w:t xml:space="preserve"> and other educational outreach</w:t>
      </w:r>
    </w:p>
    <w:p w:rsidR="003773C7" w:rsidP="00904165">
      <w:pPr>
        <w:numPr>
          <w:ilvl w:val="1"/>
          <w:numId w:val="7"/>
        </w:numPr>
      </w:pPr>
      <w:r>
        <w:t>Stronger penalties for</w:t>
      </w:r>
      <w:r>
        <w:t xml:space="preserve"> deliberate fire </w:t>
      </w:r>
      <w:r>
        <w:t>starting</w:t>
      </w:r>
      <w:r>
        <w:t xml:space="preserve"> and resources to</w:t>
      </w:r>
      <w:r>
        <w:t xml:space="preserve"> </w:t>
      </w:r>
      <w:r>
        <w:t>police it</w:t>
      </w:r>
    </w:p>
    <w:p w:rsidR="003773C7" w:rsidRPr="00867565" w:rsidP="00904165">
      <w:pPr>
        <w:numPr>
          <w:ilvl w:val="1"/>
          <w:numId w:val="7"/>
        </w:numPr>
      </w:pPr>
      <w:r w:rsidRPr="00E21F50">
        <w:t>Governments can back this through consistent national messaging, linking Defra, Fire Service</w:t>
      </w:r>
      <w:r>
        <w:t xml:space="preserve"> </w:t>
      </w:r>
      <w:r w:rsidRPr="00E21F50">
        <w:t>and National Parks, and funding regional wildfire liaison officers.</w:t>
      </w:r>
    </w:p>
    <w:p w:rsidR="003773C7" w:rsidP="00867565">
      <w:pPr>
        <w:numPr>
          <w:ilvl w:val="0"/>
          <w:numId w:val="7"/>
        </w:numPr>
      </w:pPr>
      <w:r w:rsidRPr="00867565">
        <w:t>What policies are in place, or are needed, to reduce the severity of wildfires and their socio-economic impacts on both agricultural land and at rural-urban boundaries?</w:t>
      </w:r>
    </w:p>
    <w:p w:rsidR="003773C7" w:rsidP="000E4B10">
      <w:pPr>
        <w:numPr>
          <w:ilvl w:val="1"/>
          <w:numId w:val="7"/>
        </w:numPr>
      </w:pPr>
      <w:r w:rsidRPr="000E4B10">
        <w:t>Recognition of wildfire prevention as a key outcome in Agri</w:t>
      </w:r>
      <w:r w:rsidRPr="000E4B10">
        <w:rPr>
          <w:rFonts w:ascii="Cambria Math" w:hAnsi="Cambria Math" w:cs="Cambria Math"/>
        </w:rPr>
        <w:t>‑</w:t>
      </w:r>
      <w:r w:rsidRPr="000E4B10">
        <w:t>Environment Schemes</w:t>
      </w:r>
    </w:p>
    <w:p w:rsidR="003773C7" w:rsidP="000E4B10">
      <w:pPr>
        <w:numPr>
          <w:ilvl w:val="1"/>
          <w:numId w:val="7"/>
        </w:numPr>
      </w:pPr>
      <w:r w:rsidRPr="00D9478A">
        <w:t>Long</w:t>
      </w:r>
      <w:r w:rsidRPr="00D9478A">
        <w:rPr>
          <w:rFonts w:ascii="Cambria Math" w:hAnsi="Cambria Math" w:cs="Cambria Math"/>
        </w:rPr>
        <w:t>‑</w:t>
      </w:r>
      <w:r w:rsidRPr="00D9478A">
        <w:t>term funding for moorland infrastructure (tracks, water storage points, communication systems)</w:t>
      </w:r>
    </w:p>
    <w:p w:rsidR="003773C7" w:rsidRPr="00867565" w:rsidP="000E4B10">
      <w:pPr>
        <w:numPr>
          <w:ilvl w:val="1"/>
          <w:numId w:val="7"/>
        </w:numPr>
      </w:pPr>
      <w:r w:rsidRPr="00FA2851">
        <w:t>Mechanisms to insure or compensate for wildfire losses in high</w:t>
      </w:r>
      <w:r w:rsidRPr="00FA2851">
        <w:rPr>
          <w:rFonts w:ascii="Cambria Math" w:hAnsi="Cambria Math" w:cs="Cambria Math"/>
        </w:rPr>
        <w:t>‑</w:t>
      </w:r>
      <w:r w:rsidRPr="00FA2851">
        <w:t>risk areas at the rural</w:t>
      </w:r>
      <w:r w:rsidRPr="00FA2851">
        <w:rPr>
          <w:rFonts w:ascii="Cambria Math" w:hAnsi="Cambria Math" w:cs="Cambria Math"/>
        </w:rPr>
        <w:t>‑</w:t>
      </w:r>
      <w:r w:rsidRPr="00FA2851">
        <w:t>urban fringe</w:t>
      </w:r>
    </w:p>
    <w:p w:rsidR="003773C7" w:rsidP="00867565">
      <w:pPr>
        <w:numPr>
          <w:ilvl w:val="0"/>
          <w:numId w:val="7"/>
        </w:numPr>
      </w:pPr>
      <w:r w:rsidRPr="00867565">
        <w:t>Given that responsibility is spread across government departments and bodies (e.g. Defra, Forestry Commission, MHCLG), how should the government coordinate a cross-departmental approach to tackle the increasing risk of wildfires?</w:t>
      </w:r>
    </w:p>
    <w:p w:rsidR="003773C7" w:rsidP="00982901">
      <w:pPr>
        <w:numPr>
          <w:ilvl w:val="1"/>
          <w:numId w:val="7"/>
        </w:numPr>
      </w:pPr>
      <w:r>
        <w:t xml:space="preserve">A National Wildfire Board </w:t>
      </w:r>
      <w:r>
        <w:t>or</w:t>
      </w:r>
      <w:r>
        <w:t xml:space="preserve"> </w:t>
      </w:r>
      <w:r>
        <w:t>Taskforce</w:t>
      </w:r>
      <w:r>
        <w:t xml:space="preserve"> – whether a new body or integrated into an existing organisation/forum</w:t>
      </w:r>
      <w:r>
        <w:t>, chaired by one of the government departments</w:t>
      </w:r>
      <w:r>
        <w:t>, to align:</w:t>
      </w:r>
    </w:p>
    <w:p w:rsidR="003773C7" w:rsidP="00554E61">
      <w:pPr>
        <w:numPr>
          <w:ilvl w:val="2"/>
          <w:numId w:val="7"/>
        </w:numPr>
      </w:pPr>
      <w:r>
        <w:t>Land</w:t>
      </w:r>
      <w:r>
        <w:rPr>
          <w:rFonts w:ascii="Cambria Math" w:hAnsi="Cambria Math" w:cs="Cambria Math"/>
        </w:rPr>
        <w:t>‑</w:t>
      </w:r>
      <w:r>
        <w:t>use policy</w:t>
      </w:r>
    </w:p>
    <w:p w:rsidR="003773C7" w:rsidP="00554E61">
      <w:pPr>
        <w:numPr>
          <w:ilvl w:val="2"/>
          <w:numId w:val="7"/>
        </w:numPr>
      </w:pPr>
      <w:r>
        <w:t>Emergency response planning</w:t>
      </w:r>
    </w:p>
    <w:p w:rsidR="003773C7" w:rsidP="00554E61">
      <w:pPr>
        <w:numPr>
          <w:ilvl w:val="2"/>
          <w:numId w:val="7"/>
        </w:numPr>
      </w:pPr>
      <w:r>
        <w:t>Climate adaptation frameworks</w:t>
      </w:r>
    </w:p>
    <w:p w:rsidR="003773C7" w:rsidP="00554E61">
      <w:pPr>
        <w:numPr>
          <w:ilvl w:val="2"/>
          <w:numId w:val="7"/>
        </w:numPr>
      </w:pPr>
      <w:r>
        <w:t>Public engagement</w:t>
      </w:r>
    </w:p>
    <w:p w:rsidR="003773C7" w:rsidP="007C5144">
      <w:pPr>
        <w:numPr>
          <w:ilvl w:val="1"/>
          <w:numId w:val="7"/>
        </w:numPr>
      </w:pPr>
      <w:r>
        <w:t>This body should link t</w:t>
      </w:r>
      <w:r>
        <w:t>o</w:t>
      </w:r>
      <w:r>
        <w:t xml:space="preserve"> devolved </w:t>
      </w:r>
      <w:r>
        <w:t>administrations</w:t>
      </w:r>
      <w:r>
        <w:t xml:space="preserve"> to ensure consistency – wildfire doesn’t have borders</w:t>
      </w:r>
      <w:r>
        <w:t xml:space="preserve"> – and </w:t>
      </w:r>
      <w:r>
        <w:t>involve the existing Wildfire For</w:t>
      </w:r>
      <w:r>
        <w:t>ums.</w:t>
      </w:r>
    </w:p>
    <w:p w:rsidR="003773C7" w:rsidRPr="00867565" w:rsidP="007C5144">
      <w:pPr>
        <w:numPr>
          <w:ilvl w:val="1"/>
          <w:numId w:val="7"/>
        </w:numPr>
      </w:pPr>
      <w:r>
        <w:t>Regular cross-departmental reviews</w:t>
      </w:r>
      <w:r>
        <w:t xml:space="preserve"> to ensure consistency</w:t>
      </w:r>
      <w:r>
        <w:t xml:space="preserve"> in policy delivery and joint funding for practical application.</w:t>
      </w:r>
    </w:p>
    <w:p w:rsidR="003773C7">
      <w:pPr>
        <w:rPr>
          <w:b/>
          <w:bCs/>
        </w:rPr>
      </w:pPr>
    </w:p>
    <w:p w:rsidR="00A2350E" w:rsidRPr="00A2350E">
      <w:pPr>
        <w:rPr>
          <w:i/>
          <w:iCs/>
        </w:rPr>
      </w:pPr>
      <w:r w:rsidRPr="00A2350E">
        <w:rPr>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337A6A"/>
    <w:multiLevelType w:val="multilevel"/>
    <w:tmpl w:val="E5F0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FA0BA1"/>
    <w:multiLevelType w:val="multilevel"/>
    <w:tmpl w:val="96FC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D34D32"/>
    <w:multiLevelType w:val="multilevel"/>
    <w:tmpl w:val="86C6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4B09D6"/>
    <w:multiLevelType w:val="multilevel"/>
    <w:tmpl w:val="11EC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E59F0"/>
    <w:multiLevelType w:val="multilevel"/>
    <w:tmpl w:val="16E4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616A5C"/>
    <w:multiLevelType w:val="multilevel"/>
    <w:tmpl w:val="1B08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EE4E62"/>
    <w:multiLevelType w:val="hybridMultilevel"/>
    <w:tmpl w:val="BCAEF6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4"/>
  </w:num>
  <w:num w:numId="3">
    <w:abstractNumId w:val="5"/>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67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565"/>
    <w:rPr>
      <w:rFonts w:eastAsiaTheme="majorEastAsia" w:cstheme="majorBidi"/>
      <w:color w:val="272727" w:themeColor="text1" w:themeTint="D8"/>
    </w:rPr>
  </w:style>
  <w:style w:type="paragraph" w:styleId="Title">
    <w:name w:val="Title"/>
    <w:basedOn w:val="Normal"/>
    <w:next w:val="Normal"/>
    <w:link w:val="TitleChar"/>
    <w:uiPriority w:val="10"/>
    <w:qFormat/>
    <w:rsid w:val="00867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565"/>
    <w:pPr>
      <w:spacing w:before="160"/>
      <w:jc w:val="center"/>
    </w:pPr>
    <w:rPr>
      <w:i/>
      <w:iCs/>
      <w:color w:val="404040" w:themeColor="text1" w:themeTint="BF"/>
    </w:rPr>
  </w:style>
  <w:style w:type="character" w:customStyle="1" w:styleId="QuoteChar">
    <w:name w:val="Quote Char"/>
    <w:basedOn w:val="DefaultParagraphFont"/>
    <w:link w:val="Quote"/>
    <w:uiPriority w:val="29"/>
    <w:rsid w:val="00867565"/>
    <w:rPr>
      <w:i/>
      <w:iCs/>
      <w:color w:val="404040" w:themeColor="text1" w:themeTint="BF"/>
    </w:rPr>
  </w:style>
  <w:style w:type="paragraph" w:styleId="ListParagraph">
    <w:name w:val="List Paragraph"/>
    <w:basedOn w:val="Normal"/>
    <w:uiPriority w:val="34"/>
    <w:qFormat/>
    <w:rsid w:val="00867565"/>
    <w:pPr>
      <w:ind w:left="720"/>
      <w:contextualSpacing/>
    </w:pPr>
  </w:style>
  <w:style w:type="character" w:styleId="IntenseEmphasis">
    <w:name w:val="Intense Emphasis"/>
    <w:basedOn w:val="DefaultParagraphFont"/>
    <w:uiPriority w:val="21"/>
    <w:qFormat/>
    <w:rsid w:val="00867565"/>
    <w:rPr>
      <w:i/>
      <w:iCs/>
      <w:color w:val="0F4761" w:themeColor="accent1" w:themeShade="BF"/>
    </w:rPr>
  </w:style>
  <w:style w:type="paragraph" w:styleId="IntenseQuote">
    <w:name w:val="Intense Quote"/>
    <w:basedOn w:val="Normal"/>
    <w:next w:val="Normal"/>
    <w:link w:val="IntenseQuoteChar"/>
    <w:uiPriority w:val="30"/>
    <w:qFormat/>
    <w:rsid w:val="00867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565"/>
    <w:rPr>
      <w:i/>
      <w:iCs/>
      <w:color w:val="0F4761" w:themeColor="accent1" w:themeShade="BF"/>
    </w:rPr>
  </w:style>
  <w:style w:type="character" w:styleId="IntenseReference">
    <w:name w:val="Intense Reference"/>
    <w:basedOn w:val="DefaultParagraphFont"/>
    <w:uiPriority w:val="32"/>
    <w:qFormat/>
    <w:rsid w:val="00867565"/>
    <w:rPr>
      <w:b/>
      <w:bCs/>
      <w:smallCaps/>
      <w:color w:val="0F4761" w:themeColor="accent1" w:themeShade="BF"/>
      <w:spacing w:val="5"/>
    </w:rPr>
  </w:style>
  <w:style w:type="paragraph" w:styleId="Header">
    <w:name w:val="header"/>
    <w:basedOn w:val="Normal"/>
    <w:link w:val="HeaderChar"/>
    <w:uiPriority w:val="99"/>
    <w:unhideWhenUsed/>
    <w:rsid w:val="008675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565"/>
  </w:style>
  <w:style w:type="paragraph" w:styleId="Footer">
    <w:name w:val="footer"/>
    <w:basedOn w:val="Normal"/>
    <w:link w:val="FooterChar"/>
    <w:uiPriority w:val="99"/>
    <w:unhideWhenUsed/>
    <w:rsid w:val="008675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8A84499E98A458FB4495EC67203E2" ma:contentTypeVersion="19" ma:contentTypeDescription="Create a new document." ma:contentTypeScope="" ma:versionID="8378525ca83d583fc11766891b56318b">
  <xsd:schema xmlns:xsd="http://www.w3.org/2001/XMLSchema" xmlns:xs="http://www.w3.org/2001/XMLSchema" xmlns:p="http://schemas.microsoft.com/office/2006/metadata/properties" xmlns:ns2="ec2e2cfa-f0de-4888-b019-a016ce456428" xmlns:ns3="fe076725-85e7-48e9-813e-d5fe78d7dd73" targetNamespace="http://schemas.microsoft.com/office/2006/metadata/properties" ma:root="true" ma:fieldsID="c7b2d3a8b9468336f7ebda17899d94e6" ns2:_="" ns3:_="">
    <xsd:import namespace="ec2e2cfa-f0de-4888-b019-a016ce456428"/>
    <xsd:import namespace="fe076725-85e7-48e9-813e-d5fe78d7dd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e2cfa-f0de-4888-b019-a016ce456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b5071c-dcde-42ec-985a-1fb1c76d8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076725-85e7-48e9-813e-d5fe78d7dd7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af3206-6419-4313-846f-928a72aa1725}" ma:internalName="TaxCatchAll" ma:showField="CatchAllData" ma:web="fe076725-85e7-48e9-813e-d5fe78d7d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076725-85e7-48e9-813e-d5fe78d7dd73" xsi:nil="true"/>
    <lcf76f155ced4ddcb4097134ff3c332f xmlns="ec2e2cfa-f0de-4888-b019-a016ce4564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203F23-B24B-4950-902A-5A7D7AD24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e2cfa-f0de-4888-b019-a016ce456428"/>
    <ds:schemaRef ds:uri="fe076725-85e7-48e9-813e-d5fe78d7d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C52A4-61AC-495B-A2BE-DA62BC50EFDF}">
  <ds:schemaRefs>
    <ds:schemaRef ds:uri="http://schemas.microsoft.com/sharepoint/v3/contenttype/forms"/>
  </ds:schemaRefs>
</ds:datastoreItem>
</file>

<file path=customXml/itemProps3.xml><?xml version="1.0" encoding="utf-8"?>
<ds:datastoreItem xmlns:ds="http://schemas.openxmlformats.org/officeDocument/2006/customXml" ds:itemID="{A1AE001D-E593-46E4-B6EB-D7DE49FDA10B}">
  <ds:schemaRefs>
    <ds:schemaRef ds:uri="http://schemas.microsoft.com/office/2006/metadata/properties"/>
    <ds:schemaRef ds:uri="http://schemas.microsoft.com/office/infopath/2007/PartnerControls"/>
    <ds:schemaRef ds:uri="fe076725-85e7-48e9-813e-d5fe78d7dd73"/>
    <ds:schemaRef ds:uri="ec2e2cfa-f0de-4888-b019-a016ce456428"/>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CWR0209</dc:title>
  <cp:revision>0</cp:revision>
</cp:coreProperties>
</file>