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213B1" w:rsidRPr="00E213B1" w:rsidP="00E213B1">
      <w:pPr>
        <w:spacing w:after="160" w:line="278" w:lineRule="auto"/>
        <w:jc w:val="center"/>
        <w:rPr>
          <w:rFonts w:ascii="Calibri" w:eastAsia="Arial" w:hAnsi="Calibri" w:cs="Calibri"/>
          <w:b/>
          <w:kern w:val="2"/>
          <w:sz w:val="24"/>
          <w:szCs w:val="24"/>
        </w:rPr>
      </w:pPr>
      <w:r w:rsidRPr="00E213B1">
        <w:rPr>
          <w:rFonts w:ascii="Calibri" w:eastAsia="Arial" w:hAnsi="Calibri" w:cs="Calibri"/>
          <w:b/>
          <w:kern w:val="2"/>
          <w:sz w:val="24"/>
          <w:szCs w:val="24"/>
        </w:rPr>
        <w:t>WRITTEN EVIDENCE SUBMITTED BY THE HOME OFFICE</w:t>
      </w:r>
    </w:p>
    <w:p w:rsidR="00E213B1" w:rsidRPr="00E213B1" w:rsidP="00E213B1">
      <w:pPr>
        <w:spacing w:after="160" w:line="278" w:lineRule="auto"/>
        <w:jc w:val="center"/>
        <w:rPr>
          <w:rFonts w:ascii="Calibri" w:eastAsia="Arial" w:hAnsi="Calibri" w:cs="Calibri"/>
          <w:b/>
          <w:kern w:val="2"/>
          <w:sz w:val="24"/>
          <w:szCs w:val="24"/>
        </w:rPr>
      </w:pPr>
      <w:r w:rsidRPr="00E213B1">
        <w:rPr>
          <w:rFonts w:ascii="Calibri" w:eastAsia="Arial" w:hAnsi="Calibri" w:cs="Calibri"/>
          <w:b/>
          <w:kern w:val="2"/>
          <w:sz w:val="24"/>
          <w:szCs w:val="24"/>
        </w:rPr>
        <w:t>(SSP0050)</w:t>
      </w:r>
    </w:p>
    <w:p w:rsidR="00E213B1" w:rsidP="00E213B1">
      <w:pPr>
        <w:spacing w:after="160" w:line="278" w:lineRule="auto"/>
        <w:jc w:val="center"/>
        <w:rPr>
          <w:rFonts w:eastAsia="Arial" w:cs="Arial"/>
          <w:b/>
          <w:kern w:val="2"/>
          <w:sz w:val="24"/>
          <w:szCs w:val="24"/>
        </w:rPr>
      </w:pPr>
    </w:p>
    <w:p w:rsidR="003A34AE" w:rsidP="00967D20">
      <w:pPr>
        <w:spacing w:after="160" w:line="278" w:lineRule="auto"/>
        <w:rPr>
          <w:rFonts w:eastAsia="Arial" w:cs="Arial"/>
          <w:bCs/>
          <w:kern w:val="2"/>
          <w:sz w:val="24"/>
          <w:szCs w:val="24"/>
        </w:rPr>
      </w:pPr>
      <w:r w:rsidRPr="50ED2E70">
        <w:rPr>
          <w:rFonts w:eastAsia="Arial" w:cs="Arial"/>
          <w:sz w:val="24"/>
          <w:szCs w:val="24"/>
        </w:rPr>
        <w:t>This written evidence sets out the Government’s current position. The Home Secretary has commissioned an independent review of public order and hate crime legislation, led by Lord Ken Macdonald of River Glaven KC, which will report by the end of May 2026. The review will examine whether current legislation is fit for purpose in light of evolving protest tactics, community impacts, and the need to safeguard democracy. It will also consider how effectively police are using their powers and whether further mea</w:t>
      </w:r>
      <w:r w:rsidRPr="50ED2E70">
        <w:rPr>
          <w:rFonts w:eastAsia="Arial" w:cs="Arial"/>
          <w:sz w:val="24"/>
          <w:szCs w:val="24"/>
        </w:rPr>
        <w:t xml:space="preserve">sures are needed to reassure communities most affected by current tensions. The Home Secretary will carefully consider recommendations arising from the review. </w:t>
      </w:r>
    </w:p>
    <w:p w:rsidR="003A34AE" w:rsidRPr="00F3544E" w:rsidP="00967D20">
      <w:pPr>
        <w:spacing w:after="160" w:line="278" w:lineRule="auto"/>
        <w:rPr>
          <w:rFonts w:eastAsia="Arial" w:cs="Arial"/>
          <w:bCs/>
          <w:kern w:val="2"/>
          <w:sz w:val="24"/>
          <w:szCs w:val="24"/>
        </w:rPr>
      </w:pPr>
      <w:r w:rsidRPr="00F3544E">
        <w:rPr>
          <w:rFonts w:eastAsia="Arial" w:cs="Arial"/>
          <w:bCs/>
          <w:kern w:val="2"/>
          <w:sz w:val="24"/>
          <w:szCs w:val="24"/>
        </w:rPr>
        <w:t xml:space="preserve">This written evidence responds to each of the Joint Committee on Human Rights’ questions in turn.  It sets out the current legal framework governing protest, the safeguards that apply to the exercise of police powers, and the Government’s approach to balancing protest rights with public safety and the rights of others. </w:t>
      </w:r>
    </w:p>
    <w:p w:rsidR="003A34AE" w:rsidRPr="00F3544E" w:rsidP="00967D20">
      <w:pPr>
        <w:spacing w:after="160" w:line="278" w:lineRule="auto"/>
        <w:rPr>
          <w:rFonts w:eastAsia="Arial" w:cs="Arial"/>
          <w:b/>
          <w:kern w:val="2"/>
          <w:sz w:val="24"/>
          <w:szCs w:val="24"/>
        </w:rPr>
      </w:pPr>
      <w:r w:rsidRPr="00F3544E">
        <w:rPr>
          <w:rFonts w:eastAsia="Arial" w:cs="Arial"/>
          <w:b/>
          <w:kern w:val="2"/>
          <w:sz w:val="24"/>
          <w:szCs w:val="24"/>
        </w:rPr>
        <w:t xml:space="preserve">The right to protest </w:t>
      </w:r>
    </w:p>
    <w:p w:rsidR="003A34AE" w:rsidRPr="00F3544E" w:rsidP="00967D20">
      <w:pPr>
        <w:spacing w:after="160" w:line="278" w:lineRule="auto"/>
        <w:rPr>
          <w:rFonts w:eastAsia="Arial" w:cs="Arial"/>
          <w:bCs/>
          <w:kern w:val="2"/>
          <w:sz w:val="24"/>
          <w:szCs w:val="24"/>
        </w:rPr>
      </w:pPr>
      <w:r w:rsidRPr="00F3544E">
        <w:rPr>
          <w:rFonts w:eastAsia="Arial" w:cs="Arial"/>
          <w:bCs/>
          <w:kern w:val="2"/>
          <w:sz w:val="24"/>
          <w:szCs w:val="24"/>
        </w:rPr>
        <w:t>The right to protest is a vital part of the United Kingdom’s democracy and a long</w:t>
      </w:r>
      <w:r w:rsidRPr="00F3544E">
        <w:rPr>
          <w:rFonts w:eastAsia="Arial" w:cs="Arial"/>
          <w:bCs/>
          <w:kern w:val="2"/>
          <w:sz w:val="24"/>
          <w:szCs w:val="24"/>
        </w:rPr>
        <w:noBreakHyphen/>
        <w:t>standing tradition. People are free to gather and express their views, provided they do so within the law. Articles 10 (freedom of expression) and 11 (freedom of assembly) of the European Convention on Human Rights (ECHR) safeguard these freedoms, which are given effect in domestic law through the Human Rights Act 1998.</w:t>
      </w:r>
    </w:p>
    <w:p w:rsidR="003A34AE" w:rsidRPr="00F3544E" w:rsidP="00967D20">
      <w:pPr>
        <w:spacing w:after="160" w:line="278" w:lineRule="auto"/>
        <w:rPr>
          <w:rFonts w:eastAsia="Arial" w:cs="Arial"/>
          <w:bCs/>
          <w:kern w:val="2"/>
          <w:sz w:val="24"/>
          <w:szCs w:val="24"/>
        </w:rPr>
      </w:pPr>
      <w:r w:rsidRPr="00F3544E">
        <w:rPr>
          <w:rFonts w:eastAsia="Arial" w:cs="Arial"/>
          <w:bCs/>
          <w:kern w:val="2"/>
          <w:sz w:val="24"/>
          <w:szCs w:val="24"/>
        </w:rPr>
        <w:t xml:space="preserve">Articles 10 and 11 are qualified rights. While the Government recognises the importance of these rights, peaceful protest does not extend to unlawful behaviour. The police have a range of powers under existing public order legislation, including the Public Order Act 1986, the Police, Crime, Sentencing and Courts Act 2022 and the Public Order Act 2023. Together, these Acts provide the legislative framework for the effective management of protests. </w:t>
      </w:r>
    </w:p>
    <w:p w:rsidR="003A34AE" w:rsidRPr="00F3544E" w:rsidP="00967D20">
      <w:pPr>
        <w:spacing w:after="160" w:line="278" w:lineRule="auto"/>
        <w:rPr>
          <w:rFonts w:ascii="Aptos" w:eastAsia="Yu Mincho" w:hAnsi="Aptos" w:cs="Arial"/>
          <w:kern w:val="2"/>
          <w:sz w:val="24"/>
          <w:szCs w:val="24"/>
        </w:rPr>
      </w:pPr>
      <w:r w:rsidRPr="00F3544E">
        <w:rPr>
          <w:rFonts w:eastAsia="Arial" w:cs="Arial"/>
          <w:bCs/>
          <w:kern w:val="2"/>
          <w:sz w:val="24"/>
          <w:szCs w:val="24"/>
        </w:rPr>
        <w:t xml:space="preserve">The Government remains committed to upholding freedom of speech but is clear it is a qualified right which does not extend to language or behaviour that incites violence, hatred or </w:t>
      </w:r>
      <w:r w:rsidRPr="00F3544E">
        <w:rPr>
          <w:rFonts w:ascii="Aptos" w:eastAsia="Yu Mincho" w:hAnsi="Aptos" w:cs="Arial"/>
          <w:kern w:val="2"/>
          <w:sz w:val="24"/>
          <w:szCs w:val="24"/>
        </w:rPr>
        <w:t>c</w:t>
      </w:r>
      <w:r w:rsidRPr="00F3544E">
        <w:rPr>
          <w:rFonts w:eastAsia="Arial" w:cs="Arial"/>
          <w:bCs/>
          <w:kern w:val="2"/>
          <w:sz w:val="24"/>
          <w:szCs w:val="24"/>
        </w:rPr>
        <w:t>riminality. Offences set out in sections 4, 4A and 5 of the Public Order Act 1986 enable the police to address conduct that causes harassment, alarm or distress, in order to protect individuals and maintain public order.</w:t>
      </w:r>
      <w:r w:rsidRPr="00F3544E">
        <w:rPr>
          <w:rFonts w:ascii="Aptos" w:eastAsia="Yu Mincho" w:hAnsi="Aptos" w:cs="Arial"/>
          <w:kern w:val="2"/>
          <w:sz w:val="24"/>
          <w:szCs w:val="24"/>
        </w:rPr>
        <w:t xml:space="preserve"> </w:t>
      </w:r>
    </w:p>
    <w:p w:rsidR="003A34AE" w:rsidRPr="00F3544E" w:rsidP="00967D20">
      <w:pPr>
        <w:spacing w:after="160" w:line="278" w:lineRule="auto"/>
        <w:rPr>
          <w:rFonts w:eastAsia="Arial" w:cs="Arial"/>
          <w:bCs/>
          <w:kern w:val="2"/>
          <w:sz w:val="24"/>
          <w:szCs w:val="24"/>
        </w:rPr>
      </w:pPr>
      <w:r w:rsidRPr="00F3544E">
        <w:rPr>
          <w:rFonts w:eastAsia="Arial" w:cs="Arial"/>
          <w:bCs/>
          <w:kern w:val="2"/>
          <w:sz w:val="24"/>
          <w:szCs w:val="24"/>
        </w:rPr>
        <w:t xml:space="preserve">The Home Secretary sets national priorities for policing, but the exercise of police powers is a matter for the police. In exercising their powers, police forces act independently and are required to do so lawfully and proportionately, in line with ECHR rights. </w:t>
      </w:r>
    </w:p>
    <w:p w:rsidR="003A34AE" w:rsidRPr="00F3544E" w:rsidP="00967D20">
      <w:pPr>
        <w:spacing w:after="160" w:line="278" w:lineRule="auto"/>
        <w:rPr>
          <w:rFonts w:ascii="Aptos" w:eastAsia="Yu Mincho" w:hAnsi="Aptos" w:cs="Arial"/>
          <w:kern w:val="2"/>
          <w:sz w:val="24"/>
          <w:szCs w:val="24"/>
        </w:rPr>
      </w:pPr>
      <w:r w:rsidRPr="00F3544E">
        <w:rPr>
          <w:rFonts w:eastAsia="Arial" w:cs="Arial"/>
          <w:b/>
          <w:kern w:val="2"/>
          <w:sz w:val="24"/>
          <w:szCs w:val="24"/>
        </w:rPr>
        <w:t xml:space="preserve">New Public Order Powers Introduced by The Crime and Policing Act 2026 </w:t>
      </w:r>
    </w:p>
    <w:p w:rsidR="003A34AE" w:rsidRPr="00F3544E" w:rsidP="00967D20">
      <w:pPr>
        <w:spacing w:after="160" w:line="278" w:lineRule="auto"/>
        <w:rPr>
          <w:rFonts w:eastAsia="Arial" w:cs="Arial"/>
          <w:kern w:val="2"/>
          <w:sz w:val="24"/>
          <w:szCs w:val="24"/>
        </w:rPr>
      </w:pPr>
      <w:r w:rsidRPr="00F3544E">
        <w:rPr>
          <w:rFonts w:eastAsia="Arial" w:cs="Arial"/>
          <w:b/>
          <w:bCs/>
          <w:i/>
          <w:iCs/>
          <w:kern w:val="2"/>
          <w:sz w:val="24"/>
          <w:szCs w:val="24"/>
        </w:rPr>
        <w:t xml:space="preserve">Concealing identity at protests </w:t>
      </w:r>
      <w:r w:rsidRPr="00F3544E">
        <w:rPr>
          <w:rFonts w:eastAsia="Arial" w:cs="Arial"/>
          <w:i/>
          <w:iCs/>
          <w:kern w:val="2"/>
          <w:sz w:val="24"/>
          <w:szCs w:val="24"/>
        </w:rPr>
        <w:t xml:space="preserve">- </w:t>
      </w:r>
      <w:r w:rsidRPr="00F3544E">
        <w:rPr>
          <w:rFonts w:eastAsia="Arial" w:cs="Arial"/>
          <w:kern w:val="2"/>
          <w:sz w:val="24"/>
          <w:szCs w:val="24"/>
        </w:rPr>
        <w:t xml:space="preserve">This measure makes it a criminal offence for an individual to conceal their identity in a public place within a designated area. It has been introduced in response to concerns that some protesters have been using face coverings to evade identification when committing criminal offences. It provides that the police may designate an area if they reasonably believe that a protest may take place and is likely to involve the commission of offences. </w:t>
      </w:r>
      <w:r w:rsidRPr="00F3544E">
        <w:rPr>
          <w:rFonts w:eastAsia="Aptos" w:cs="Arial"/>
          <w:kern w:val="2"/>
          <w:sz w:val="24"/>
          <w:szCs w:val="24"/>
        </w:rPr>
        <w:t xml:space="preserve">A locality will only be designated where criminality has or is </w:t>
      </w:r>
      <w:r w:rsidRPr="00F3544E">
        <w:rPr>
          <w:rFonts w:eastAsia="Aptos" w:cs="Arial"/>
          <w:kern w:val="2"/>
          <w:sz w:val="24"/>
          <w:szCs w:val="24"/>
        </w:rPr>
        <w:t>likely to take place, and under this new measure, the police will be expected to take action</w:t>
      </w:r>
      <w:r w:rsidRPr="00F3544E">
        <w:rPr>
          <w:rFonts w:eastAsia="Aptos" w:cs="Arial"/>
          <w:kern w:val="2"/>
          <w:sz w:val="24"/>
          <w:szCs w:val="24"/>
        </w:rPr>
        <w:t xml:space="preserve"> only against persons who are wearing or using items to conceal their identity at protests in a designated locality, without a legitimate purpose. </w:t>
      </w:r>
      <w:r w:rsidRPr="00F3544E">
        <w:rPr>
          <w:rFonts w:eastAsia="Arial" w:cs="Arial"/>
          <w:kern w:val="2"/>
          <w:sz w:val="24"/>
          <w:szCs w:val="24"/>
        </w:rPr>
        <w:t xml:space="preserve">  The measure sets out clear statutory defences for a person charged with the concealing identity offence, specifically the person was wearing or using the item for a purpose relating to health, religious observance or their work.</w:t>
      </w:r>
    </w:p>
    <w:p w:rsidR="003A34AE" w:rsidRPr="00F3544E" w:rsidP="00967D20">
      <w:pPr>
        <w:spacing w:after="160" w:line="278" w:lineRule="auto"/>
        <w:rPr>
          <w:rFonts w:eastAsia="Arial" w:cs="Arial"/>
          <w:kern w:val="2"/>
          <w:sz w:val="24"/>
          <w:szCs w:val="24"/>
        </w:rPr>
      </w:pPr>
      <w:r w:rsidRPr="00F3544E">
        <w:rPr>
          <w:rFonts w:eastAsia="Arial" w:cs="Arial"/>
          <w:b/>
          <w:bCs/>
          <w:i/>
          <w:iCs/>
          <w:kern w:val="2"/>
          <w:sz w:val="24"/>
          <w:szCs w:val="24"/>
        </w:rPr>
        <w:t>Possession of Pyrotechnics</w:t>
      </w:r>
      <w:r w:rsidRPr="00F3544E">
        <w:rPr>
          <w:rFonts w:eastAsia="Arial" w:cs="Arial"/>
          <w:b/>
          <w:bCs/>
          <w:kern w:val="2"/>
          <w:sz w:val="24"/>
          <w:szCs w:val="24"/>
        </w:rPr>
        <w:t xml:space="preserve"> </w:t>
      </w:r>
      <w:r w:rsidRPr="00F3544E">
        <w:rPr>
          <w:rFonts w:eastAsia="Arial" w:cs="Arial"/>
          <w:kern w:val="2"/>
          <w:sz w:val="24"/>
          <w:szCs w:val="24"/>
        </w:rPr>
        <w:t>- The new measure on the possession of a pyrotechnic at protests makes it an offence for a person to possess flares and fireworks when taking part in a protest. This measure is intended to close a legislative gap that has allowed some protesters to misuse flares and fireworks to endanger themselves or others at a protest.</w:t>
      </w:r>
      <w:r w:rsidRPr="003767C0">
        <w:rPr>
          <w:rFonts w:eastAsia="Arial" w:cs="Arial"/>
          <w:sz w:val="24"/>
          <w:szCs w:val="22"/>
        </w:rPr>
        <w:t xml:space="preserve"> It is a defence for a person charged with an offence under this section to show that they had a reasonable excuse for having the pyrotechnic.</w:t>
      </w:r>
    </w:p>
    <w:p w:rsidR="003A34AE" w:rsidRPr="00F3544E" w:rsidP="00967D20">
      <w:pPr>
        <w:spacing w:after="160" w:line="278" w:lineRule="auto"/>
        <w:rPr>
          <w:rFonts w:eastAsia="Arial" w:cs="Arial"/>
          <w:kern w:val="2"/>
          <w:sz w:val="24"/>
          <w:szCs w:val="24"/>
        </w:rPr>
      </w:pPr>
      <w:r w:rsidRPr="00F3544E">
        <w:rPr>
          <w:rFonts w:eastAsia="Arial" w:cs="Arial"/>
          <w:b/>
          <w:bCs/>
          <w:i/>
          <w:iCs/>
          <w:kern w:val="2"/>
          <w:sz w:val="24"/>
          <w:szCs w:val="24"/>
        </w:rPr>
        <w:t>Climbing on memorials</w:t>
      </w:r>
      <w:r w:rsidRPr="00F3544E">
        <w:rPr>
          <w:rFonts w:eastAsia="Arial" w:cs="Arial"/>
          <w:i/>
          <w:iCs/>
          <w:kern w:val="2"/>
          <w:sz w:val="24"/>
          <w:szCs w:val="24"/>
        </w:rPr>
        <w:t xml:space="preserve"> – </w:t>
      </w:r>
      <w:r w:rsidRPr="00F3544E">
        <w:rPr>
          <w:rFonts w:eastAsia="Arial" w:cs="Arial"/>
          <w:kern w:val="2"/>
          <w:sz w:val="24"/>
          <w:szCs w:val="24"/>
        </w:rPr>
        <w:t>This measure creates a new criminal offence of climbing on specific memorials at a protest. It ensures that memorials, agreed by Parliament to be of national significance, are protected from physical damage.</w:t>
      </w:r>
      <w:r w:rsidRPr="003767C0">
        <w:rPr>
          <w:rFonts w:eastAsia="Arial" w:cs="Arial"/>
          <w:sz w:val="24"/>
          <w:szCs w:val="22"/>
        </w:rPr>
        <w:t xml:space="preserve"> It is a defence where a person has a good reason to climb on the memorial or is the owner or has their consent to climb on the memorial.</w:t>
      </w:r>
    </w:p>
    <w:p w:rsidR="003A34AE" w:rsidRPr="00F3544E" w:rsidP="00967D20">
      <w:pPr>
        <w:spacing w:after="160" w:line="278" w:lineRule="auto"/>
        <w:rPr>
          <w:rFonts w:eastAsia="Arial" w:cs="Arial"/>
          <w:i/>
          <w:iCs/>
          <w:kern w:val="2"/>
          <w:sz w:val="24"/>
          <w:szCs w:val="24"/>
        </w:rPr>
      </w:pPr>
      <w:r w:rsidRPr="00F3544E">
        <w:rPr>
          <w:rFonts w:eastAsia="Arial" w:cs="Arial"/>
          <w:b/>
          <w:bCs/>
          <w:i/>
          <w:iCs/>
          <w:kern w:val="2"/>
          <w:sz w:val="24"/>
          <w:szCs w:val="24"/>
        </w:rPr>
        <w:t>Places of Worship</w:t>
      </w:r>
      <w:r w:rsidRPr="00F3544E">
        <w:rPr>
          <w:rFonts w:eastAsia="Arial" w:cs="Arial"/>
          <w:i/>
          <w:iCs/>
          <w:kern w:val="2"/>
          <w:sz w:val="24"/>
          <w:szCs w:val="24"/>
        </w:rPr>
        <w:t xml:space="preserve"> – </w:t>
      </w:r>
      <w:r w:rsidRPr="00F3544E">
        <w:rPr>
          <w:rFonts w:eastAsia="Arial" w:cs="Arial"/>
          <w:kern w:val="2"/>
          <w:sz w:val="24"/>
          <w:szCs w:val="24"/>
        </w:rPr>
        <w:t>This measure allows police to impose conditions on protests near places of worship where a senior officer reasonably believes the protest may intimidate and deter people from accessing or participating in religious worship. It is intended to better protect freedom of religion whilst balancing this with the right to peaceful protest by enabling police to intervene earlier where protest activity creates an intimidatory atmosphere.</w:t>
      </w:r>
    </w:p>
    <w:p w:rsidR="003A34AE" w:rsidRPr="00F3544E" w:rsidP="00967D20">
      <w:pPr>
        <w:spacing w:line="278" w:lineRule="auto"/>
        <w:rPr>
          <w:rFonts w:ascii="Aptos" w:eastAsia="Aptos" w:hAnsi="Aptos" w:cs="Aptos"/>
          <w:kern w:val="2"/>
          <w:szCs w:val="22"/>
        </w:rPr>
      </w:pPr>
      <w:r w:rsidRPr="00F3544E">
        <w:rPr>
          <w:rFonts w:eastAsia="Arial" w:cs="Arial"/>
          <w:b/>
          <w:bCs/>
          <w:i/>
          <w:iCs/>
          <w:kern w:val="2"/>
          <w:sz w:val="24"/>
          <w:szCs w:val="24"/>
        </w:rPr>
        <w:t>Cumulative disruption</w:t>
      </w:r>
      <w:r w:rsidRPr="00F3544E">
        <w:rPr>
          <w:rFonts w:eastAsia="Arial" w:cs="Arial"/>
          <w:kern w:val="2"/>
          <w:sz w:val="24"/>
          <w:szCs w:val="24"/>
        </w:rPr>
        <w:t xml:space="preserve"> – This provision places a duty on senior officers to consider the cumulative impact of repeated protest activity when determining whether to impose conditions on protests. </w:t>
      </w:r>
      <w:r w:rsidRPr="003767C0">
        <w:rPr>
          <w:rFonts w:eastAsia="Arial" w:cs="Arial"/>
          <w:sz w:val="24"/>
          <w:szCs w:val="22"/>
        </w:rPr>
        <w:t xml:space="preserve">The provision amends sections 12 and 14 of the 1986 Act to make it explicit that the police must take into account any relevant cumulative disruption when considering whether a public procession or public assembly in England and Wales may require conditions. </w:t>
      </w:r>
      <w:r w:rsidRPr="00F3544E">
        <w:rPr>
          <w:rFonts w:eastAsia="Arial" w:cs="Arial"/>
          <w:kern w:val="2"/>
          <w:sz w:val="24"/>
          <w:szCs w:val="24"/>
        </w:rPr>
        <w:t>This provision has been introduced in response to sustained calls from some comm</w:t>
      </w:r>
      <w:r w:rsidRPr="00F3544E">
        <w:rPr>
          <w:rFonts w:eastAsia="Arial" w:cs="Arial"/>
          <w:kern w:val="2"/>
          <w:sz w:val="24"/>
          <w:szCs w:val="24"/>
        </w:rPr>
        <w:t xml:space="preserve">unities that have felt unsafe and intimidated by protest activity repeatedly taking place in the same geographical location or repeatedly targeting the same community. </w:t>
      </w:r>
    </w:p>
    <w:p w:rsidR="003A34AE" w:rsidRPr="00F3544E" w:rsidP="00967D20">
      <w:pPr>
        <w:spacing w:line="278" w:lineRule="auto"/>
        <w:rPr>
          <w:rFonts w:eastAsia="Arial" w:cs="Arial"/>
          <w:kern w:val="2"/>
          <w:sz w:val="24"/>
          <w:szCs w:val="24"/>
        </w:rPr>
      </w:pPr>
    </w:p>
    <w:p w:rsidR="003A34AE" w:rsidRPr="00F3544E" w:rsidP="00967D20">
      <w:pPr>
        <w:spacing w:line="278" w:lineRule="auto"/>
        <w:rPr>
          <w:rFonts w:eastAsia="Arial" w:cs="Arial"/>
          <w:kern w:val="2"/>
          <w:sz w:val="24"/>
          <w:szCs w:val="24"/>
        </w:rPr>
      </w:pPr>
      <w:r w:rsidRPr="00F3544E">
        <w:rPr>
          <w:rFonts w:eastAsia="Arial" w:cs="Arial"/>
          <w:kern w:val="2"/>
          <w:sz w:val="24"/>
          <w:szCs w:val="24"/>
        </w:rPr>
        <w:t xml:space="preserve">At present senior police officers have the discretion to consider cumulative disruption when considering whether to apply conditions to a protest under sections 12 and 14 </w:t>
      </w:r>
    </w:p>
    <w:p w:rsidR="003A34AE" w:rsidRPr="00F3544E" w:rsidP="00967D20">
      <w:pPr>
        <w:spacing w:line="278" w:lineRule="auto"/>
        <w:rPr>
          <w:rFonts w:eastAsia="Arial" w:cs="Arial"/>
          <w:kern w:val="2"/>
          <w:sz w:val="24"/>
          <w:szCs w:val="24"/>
        </w:rPr>
      </w:pPr>
      <w:r w:rsidRPr="00F3544E">
        <w:rPr>
          <w:rFonts w:eastAsia="Arial" w:cs="Arial"/>
          <w:kern w:val="2"/>
          <w:sz w:val="24"/>
          <w:szCs w:val="24"/>
        </w:rPr>
        <w:t>of the 1986 Act. This is because senior police officers are required to have regard to the circumstances in which the protest is held when considering whether the statutory thresholds are met. As such this is not an entirely new change to the law, but provides the public with greater clarity and foreseeability in terms of what the police will take into account when considering whether to exercise their powers under sections 12 and 14 of the 1986 Act. The threshold</w:t>
      </w:r>
      <w:r>
        <w:rPr>
          <w:rFonts w:eastAsia="Arial" w:cs="Arial"/>
          <w:kern w:val="2"/>
          <w:sz w:val="24"/>
          <w:szCs w:val="24"/>
        </w:rPr>
        <w:t>s</w:t>
      </w:r>
      <w:r w:rsidRPr="00F3544E">
        <w:rPr>
          <w:rFonts w:eastAsia="Arial" w:cs="Arial"/>
          <w:kern w:val="2"/>
          <w:sz w:val="24"/>
          <w:szCs w:val="24"/>
        </w:rPr>
        <w:t xml:space="preserve"> for imposing conditions on protests ha</w:t>
      </w:r>
      <w:r>
        <w:rPr>
          <w:rFonts w:eastAsia="Arial" w:cs="Arial"/>
          <w:kern w:val="2"/>
          <w:sz w:val="24"/>
          <w:szCs w:val="24"/>
        </w:rPr>
        <w:t>ve</w:t>
      </w:r>
      <w:r w:rsidRPr="00F3544E">
        <w:rPr>
          <w:rFonts w:eastAsia="Arial" w:cs="Arial"/>
          <w:kern w:val="2"/>
          <w:sz w:val="24"/>
          <w:szCs w:val="24"/>
        </w:rPr>
        <w:t xml:space="preserve"> not changed, and if met, the police may only impose conditions that are necessary to prevent the disruption. </w:t>
      </w:r>
    </w:p>
    <w:p w:rsidR="003A34AE" w:rsidRPr="00F3544E" w:rsidP="00967D20">
      <w:pPr>
        <w:spacing w:line="278" w:lineRule="auto"/>
        <w:rPr>
          <w:rFonts w:eastAsia="Arial" w:cs="Arial"/>
          <w:kern w:val="2"/>
          <w:sz w:val="24"/>
          <w:szCs w:val="24"/>
        </w:rPr>
      </w:pPr>
    </w:p>
    <w:p w:rsidR="003A34AE" w:rsidRPr="00F3544E" w:rsidP="00967D20">
      <w:pPr>
        <w:spacing w:after="160" w:line="278" w:lineRule="auto"/>
        <w:rPr>
          <w:rFonts w:eastAsia="Arial" w:cs="Arial"/>
          <w:kern w:val="2"/>
          <w:sz w:val="24"/>
          <w:szCs w:val="24"/>
        </w:rPr>
      </w:pPr>
      <w:r w:rsidRPr="00F3544E">
        <w:rPr>
          <w:rFonts w:eastAsia="Arial" w:cs="Arial"/>
          <w:b/>
          <w:bCs/>
          <w:i/>
          <w:iCs/>
          <w:kern w:val="2"/>
          <w:sz w:val="24"/>
          <w:szCs w:val="24"/>
        </w:rPr>
        <w:t>Senior Officer Amendment</w:t>
      </w:r>
      <w:r w:rsidRPr="00F3544E">
        <w:rPr>
          <w:rFonts w:eastAsia="Arial" w:cs="Arial"/>
          <w:kern w:val="2"/>
          <w:sz w:val="24"/>
          <w:szCs w:val="24"/>
        </w:rPr>
        <w:t xml:space="preserve"> - The Crime and Policing Act also amends the 1986 Act to enable police commanders to impose conditions on live protests even if not physically present. Currently only the most senior officer physically at the scene can impose conditions. This change is expected to improve timeliness and effectiveness in the way the police manage protests. It will allow officers who, for example, are in a police control room who may be better placed to understand the full impact of a protest over a wider geographical area t</w:t>
      </w:r>
      <w:r w:rsidRPr="00F3544E">
        <w:rPr>
          <w:rFonts w:eastAsia="Arial" w:cs="Arial"/>
          <w:kern w:val="2"/>
          <w:sz w:val="24"/>
          <w:szCs w:val="24"/>
        </w:rPr>
        <w:t xml:space="preserve">han those on the ground, to make quick decisions to manage public safety and avoid disorder. </w:t>
      </w:r>
    </w:p>
    <w:p w:rsidR="003A34AE" w:rsidRPr="00F3544E" w:rsidP="00967D20">
      <w:pPr>
        <w:spacing w:after="160" w:line="278" w:lineRule="auto"/>
        <w:rPr>
          <w:rFonts w:eastAsia="Arial" w:cs="Arial"/>
          <w:kern w:val="2"/>
          <w:sz w:val="24"/>
          <w:szCs w:val="24"/>
        </w:rPr>
      </w:pPr>
      <w:r w:rsidRPr="00F3544E">
        <w:rPr>
          <w:rFonts w:eastAsia="Arial" w:cs="Arial"/>
          <w:b/>
          <w:bCs/>
          <w:i/>
          <w:iCs/>
          <w:kern w:val="2"/>
          <w:sz w:val="24"/>
          <w:szCs w:val="24"/>
        </w:rPr>
        <w:t>British Transport Police/ Ministry of Defence Police</w:t>
      </w:r>
      <w:r w:rsidRPr="00F3544E">
        <w:rPr>
          <w:rFonts w:eastAsia="Arial" w:cs="Arial"/>
          <w:i/>
          <w:iCs/>
          <w:kern w:val="2"/>
          <w:sz w:val="24"/>
          <w:szCs w:val="24"/>
        </w:rPr>
        <w:t xml:space="preserve"> -</w:t>
      </w:r>
      <w:r w:rsidRPr="00F3544E">
        <w:rPr>
          <w:rFonts w:eastAsia="Arial" w:cs="Arial"/>
          <w:kern w:val="2"/>
          <w:sz w:val="24"/>
          <w:szCs w:val="24"/>
        </w:rPr>
        <w:t xml:space="preserve"> The Act also extends existing public order powers to the British Transport Police and Ministry of Defence Police to help manage public disorder around railway stations and defence estate jurisdictions. </w:t>
      </w:r>
    </w:p>
    <w:p w:rsidR="003A34AE" w:rsidRPr="00F3544E" w:rsidP="00967D20">
      <w:pPr>
        <w:spacing w:after="160" w:line="278" w:lineRule="auto"/>
        <w:rPr>
          <w:rFonts w:eastAsia="Arial" w:cs="Arial"/>
          <w:b/>
          <w:bCs/>
          <w:i/>
          <w:iCs/>
          <w:kern w:val="2"/>
          <w:sz w:val="24"/>
          <w:szCs w:val="24"/>
          <w:u w:val="single"/>
        </w:rPr>
      </w:pPr>
    </w:p>
    <w:p w:rsidR="003A34AE" w:rsidRPr="00F3544E" w:rsidP="00967D20">
      <w:pPr>
        <w:spacing w:after="160" w:line="278" w:lineRule="auto"/>
        <w:rPr>
          <w:rFonts w:eastAsia="Arial" w:cs="Arial"/>
          <w:i/>
          <w:iCs/>
          <w:kern w:val="2"/>
          <w:sz w:val="24"/>
          <w:szCs w:val="24"/>
          <w:u w:val="single"/>
        </w:rPr>
      </w:pPr>
      <w:r w:rsidRPr="00F3544E">
        <w:rPr>
          <w:rFonts w:eastAsia="Arial" w:cs="Arial"/>
          <w:b/>
          <w:bCs/>
          <w:i/>
          <w:iCs/>
          <w:kern w:val="2"/>
          <w:sz w:val="24"/>
          <w:szCs w:val="24"/>
          <w:u w:val="single"/>
        </w:rPr>
        <w:t>Questions:</w:t>
      </w:r>
    </w:p>
    <w:p w:rsidR="003A34AE" w:rsidRPr="00F3544E" w:rsidP="00967D20">
      <w:pPr>
        <w:spacing w:after="160" w:line="278" w:lineRule="auto"/>
        <w:rPr>
          <w:rFonts w:eastAsia="Arial" w:cs="Arial"/>
          <w:b/>
          <w:bCs/>
          <w:kern w:val="2"/>
          <w:sz w:val="24"/>
          <w:szCs w:val="24"/>
          <w:u w:val="single"/>
        </w:rPr>
      </w:pPr>
      <w:r w:rsidRPr="00F3544E">
        <w:rPr>
          <w:rFonts w:eastAsia="Arial" w:cs="Arial"/>
          <w:b/>
          <w:bCs/>
          <w:kern w:val="2"/>
          <w:sz w:val="24"/>
          <w:szCs w:val="24"/>
          <w:u w:val="single"/>
        </w:rPr>
        <w:t>Legal framework and existing legislation</w:t>
      </w:r>
    </w:p>
    <w:p w:rsidR="003A34AE" w:rsidRPr="00F3544E" w:rsidP="00967D20">
      <w:pPr>
        <w:numPr>
          <w:ilvl w:val="0"/>
          <w:numId w:val="2"/>
        </w:numPr>
        <w:spacing w:after="160" w:line="278" w:lineRule="auto"/>
        <w:contextualSpacing/>
        <w:rPr>
          <w:rFonts w:eastAsia="Arial" w:cs="Arial"/>
          <w:b/>
          <w:kern w:val="2"/>
          <w:sz w:val="24"/>
          <w:szCs w:val="24"/>
        </w:rPr>
      </w:pPr>
      <w:r w:rsidRPr="00F3544E">
        <w:rPr>
          <w:rFonts w:eastAsia="Arial" w:cs="Arial"/>
          <w:b/>
          <w:kern w:val="2"/>
          <w:sz w:val="24"/>
          <w:szCs w:val="24"/>
        </w:rPr>
        <w:t>Recent legislation such as the Police, Crime, Sentencing and Courts Act 2022 and the Public Order Act 2023 have strengthened police powers to restrict protests and expanded the criminalisation of protest related activities. What has been the impact of recent legislation on the right to protest? </w:t>
      </w:r>
    </w:p>
    <w:p w:rsidR="003A34AE" w:rsidP="00967D20">
      <w:pPr>
        <w:spacing w:after="160" w:line="278" w:lineRule="auto"/>
        <w:rPr>
          <w:rFonts w:eastAsia="Arial" w:cs="Arial"/>
          <w:color w:val="000000"/>
          <w:kern w:val="2"/>
          <w:sz w:val="24"/>
          <w:szCs w:val="24"/>
        </w:rPr>
      </w:pPr>
    </w:p>
    <w:p w:rsidR="003A34AE" w:rsidRPr="00F3544E" w:rsidP="00967D20">
      <w:pPr>
        <w:spacing w:after="160" w:line="278" w:lineRule="auto"/>
        <w:rPr>
          <w:rFonts w:eastAsia="Arial" w:cs="Arial"/>
          <w:color w:val="000000"/>
          <w:kern w:val="2"/>
          <w:sz w:val="24"/>
          <w:szCs w:val="24"/>
        </w:rPr>
      </w:pPr>
      <w:r w:rsidRPr="00F3544E">
        <w:rPr>
          <w:rFonts w:eastAsia="Arial" w:cs="Arial"/>
          <w:color w:val="000000"/>
          <w:kern w:val="2"/>
          <w:sz w:val="24"/>
          <w:szCs w:val="24"/>
        </w:rPr>
        <w:t>The legal framework for the policing of protests is primarily set out in the Public Order Act 1986. It grants the police powers to manage protests by imposing conditions on public processions and assemblies to prevent serious disorder, disruption, or intimidation. More recent legislation, including the Police, Crime, Sentencing and Courts Act 2022 and the Public Order Act 2023 build on the provisions in the 1986 Act.</w:t>
      </w:r>
    </w:p>
    <w:p w:rsidR="003A34AE" w:rsidP="00967D20">
      <w:pPr>
        <w:spacing w:after="160" w:line="278" w:lineRule="auto"/>
        <w:rPr>
          <w:rFonts w:eastAsia="Arial" w:cs="Arial"/>
          <w:color w:val="000000"/>
          <w:kern w:val="2"/>
          <w:sz w:val="24"/>
          <w:szCs w:val="24"/>
        </w:rPr>
      </w:pPr>
      <w:r w:rsidRPr="00F3544E">
        <w:rPr>
          <w:rFonts w:eastAsia="Arial" w:cs="Arial"/>
          <w:bCs/>
          <w:kern w:val="2"/>
          <w:sz w:val="24"/>
          <w:szCs w:val="24"/>
        </w:rPr>
        <w:t>The Police, Crime, Sentencing and Courts Act 2022 and the Public Order Act 2023</w:t>
      </w:r>
      <w:r>
        <w:rPr>
          <w:rFonts w:eastAsia="Arial" w:cs="Arial"/>
          <w:bCs/>
          <w:kern w:val="2"/>
          <w:sz w:val="24"/>
          <w:szCs w:val="24"/>
        </w:rPr>
        <w:t>, both introduced by the previous Government,</w:t>
      </w:r>
      <w:r w:rsidRPr="00F3544E">
        <w:rPr>
          <w:rFonts w:eastAsia="Arial" w:cs="Arial"/>
          <w:bCs/>
          <w:kern w:val="2"/>
          <w:sz w:val="24"/>
          <w:szCs w:val="24"/>
        </w:rPr>
        <w:t xml:space="preserve"> updated the legal framework in </w:t>
      </w:r>
      <w:r w:rsidRPr="00F3544E">
        <w:rPr>
          <w:rFonts w:eastAsia="Arial" w:cs="Arial"/>
          <w:bCs/>
          <w:kern w:val="2"/>
          <w:sz w:val="24"/>
          <w:szCs w:val="24"/>
        </w:rPr>
        <w:t xml:space="preserve">response to evolving protest tactics. The legislation provides police with additional powers to manage protests that cause serious disruption or pose risks to public safety, while maintaining the requirement that any interference with rights under Articles 10 and 11 of the European Convention on Human </w:t>
      </w:r>
      <w:r w:rsidRPr="000B63C0">
        <w:rPr>
          <w:rFonts w:eastAsia="Arial" w:cs="Arial"/>
          <w:color w:val="000000"/>
          <w:kern w:val="2"/>
          <w:sz w:val="24"/>
          <w:szCs w:val="24"/>
        </w:rPr>
        <w:t xml:space="preserve">Rights must be lawful, necessary and proportionate. </w:t>
      </w:r>
    </w:p>
    <w:p w:rsidR="003A34AE" w:rsidRPr="00F3544E" w:rsidP="00967D20">
      <w:pPr>
        <w:spacing w:after="160" w:line="278" w:lineRule="auto"/>
        <w:rPr>
          <w:rFonts w:eastAsia="Arial" w:cs="Arial"/>
          <w:color w:val="000000"/>
          <w:kern w:val="2"/>
          <w:sz w:val="24"/>
          <w:szCs w:val="24"/>
        </w:rPr>
      </w:pPr>
      <w:r w:rsidRPr="00F3544E">
        <w:rPr>
          <w:rFonts w:eastAsia="Arial" w:cs="Arial"/>
          <w:color w:val="000000"/>
          <w:kern w:val="2"/>
          <w:sz w:val="24"/>
          <w:szCs w:val="24"/>
        </w:rPr>
        <w:t>The Police, Crime, Sentencing and Courts Act 2022 introduced measures to address disruptive protest tactics, including powers for the police to impose conditions on protests on noise-related grounds and conditions on one-man protests. It also included: an offence of intentionally or recklessly causing a public nuisance; expedited public spaces protection orders; and enforcement powers related to unauthorised encampments.</w:t>
      </w:r>
    </w:p>
    <w:p w:rsidR="003A34AE" w:rsidRPr="00F3544E" w:rsidP="00967D20">
      <w:pPr>
        <w:spacing w:after="160" w:line="278" w:lineRule="auto"/>
        <w:rPr>
          <w:rFonts w:eastAsia="Arial" w:cs="Arial"/>
          <w:color w:val="000000"/>
          <w:kern w:val="2"/>
          <w:sz w:val="24"/>
          <w:szCs w:val="24"/>
        </w:rPr>
      </w:pPr>
      <w:r w:rsidRPr="00F3544E">
        <w:rPr>
          <w:rFonts w:eastAsia="Arial" w:cs="Arial"/>
          <w:color w:val="000000"/>
          <w:kern w:val="2"/>
          <w:sz w:val="24"/>
          <w:szCs w:val="24"/>
        </w:rPr>
        <w:t>The Public Order Act 2023 introduced several new offences to strengthen police powers to tackle evolving disruptive protest tactics and tactics perceived as dangerous</w:t>
      </w:r>
      <w:r>
        <w:rPr>
          <w:rFonts w:eastAsia="Arial" w:cs="Arial"/>
          <w:color w:val="000000"/>
          <w:kern w:val="2"/>
          <w:sz w:val="24"/>
          <w:szCs w:val="24"/>
        </w:rPr>
        <w:t xml:space="preserve">. </w:t>
      </w:r>
      <w:r w:rsidRPr="00F3544E">
        <w:rPr>
          <w:rFonts w:eastAsia="Arial" w:cs="Arial"/>
          <w:color w:val="000000"/>
          <w:kern w:val="2"/>
          <w:sz w:val="24"/>
          <w:szCs w:val="24"/>
        </w:rPr>
        <w:t>Prior to the 2023 Act, protest tactics included protesters gluing themselves to buildings or vehicles, blocking roads, tunnelling under land being developed, and obstructing access to buildings such as oil refineries and newspaper printing works. These tactics caused significant disruption to the public on major road networks, prevented the distribution of goods such as fuel and caused costly delays to construction projects. The Act also introduced Serious Disruption Prevention Orders which allow the cour</w:t>
      </w:r>
      <w:r w:rsidRPr="00F3544E">
        <w:rPr>
          <w:rFonts w:eastAsia="Arial" w:cs="Arial"/>
          <w:color w:val="000000"/>
          <w:kern w:val="2"/>
          <w:sz w:val="24"/>
          <w:szCs w:val="24"/>
        </w:rPr>
        <w:t>ts to impose prohibitions and/or</w:t>
      </w:r>
      <w:r w:rsidRPr="00F3544E">
        <w:rPr>
          <w:rFonts w:ascii="Aptos" w:eastAsia="Yu Mincho" w:hAnsi="Aptos" w:cs="Arial"/>
          <w:kern w:val="2"/>
          <w:sz w:val="24"/>
          <w:szCs w:val="24"/>
        </w:rPr>
        <w:t xml:space="preserve"> </w:t>
      </w:r>
      <w:r w:rsidRPr="00F3544E">
        <w:rPr>
          <w:rFonts w:eastAsia="Arial" w:cs="Arial"/>
          <w:color w:val="000000"/>
          <w:kern w:val="2"/>
          <w:sz w:val="24"/>
          <w:szCs w:val="24"/>
        </w:rPr>
        <w:t>requirements on individuals aged 18 or over where it is deemed necessary and proportionate to prevent them from engaging in protest</w:t>
      </w:r>
      <w:r w:rsidRPr="00F3544E">
        <w:rPr>
          <w:rFonts w:ascii="Cambria Math" w:eastAsia="Arial" w:hAnsi="Cambria Math" w:cs="Cambria Math"/>
          <w:color w:val="000000"/>
          <w:kern w:val="2"/>
          <w:sz w:val="24"/>
          <w:szCs w:val="24"/>
        </w:rPr>
        <w:t>‑</w:t>
      </w:r>
      <w:r w:rsidRPr="00F3544E">
        <w:rPr>
          <w:rFonts w:eastAsia="Arial" w:cs="Arial"/>
          <w:color w:val="000000"/>
          <w:kern w:val="2"/>
          <w:sz w:val="24"/>
          <w:szCs w:val="24"/>
        </w:rPr>
        <w:t xml:space="preserve">related activity that causes, or is likely to cause, serious disruption. </w:t>
      </w:r>
    </w:p>
    <w:p w:rsidR="003A34AE" w:rsidRPr="00F3544E" w:rsidP="00967D20">
      <w:pPr>
        <w:spacing w:after="160" w:line="278" w:lineRule="auto"/>
        <w:rPr>
          <w:rFonts w:eastAsia="Arial" w:cs="Arial"/>
          <w:kern w:val="2"/>
          <w:sz w:val="24"/>
          <w:szCs w:val="24"/>
        </w:rPr>
      </w:pPr>
      <w:r w:rsidRPr="00F3544E">
        <w:rPr>
          <w:rFonts w:eastAsia="Arial" w:cs="Arial"/>
          <w:kern w:val="2"/>
          <w:sz w:val="24"/>
          <w:szCs w:val="24"/>
        </w:rPr>
        <w:t>The</w:t>
      </w:r>
      <w:r>
        <w:rPr>
          <w:rFonts w:eastAsia="Arial" w:cs="Arial"/>
          <w:kern w:val="2"/>
          <w:sz w:val="24"/>
          <w:szCs w:val="24"/>
        </w:rPr>
        <w:t xml:space="preserve"> previous</w:t>
      </w:r>
      <w:r w:rsidRPr="00F3544E">
        <w:rPr>
          <w:rFonts w:eastAsia="Arial" w:cs="Arial"/>
          <w:kern w:val="2"/>
          <w:sz w:val="24"/>
          <w:szCs w:val="24"/>
        </w:rPr>
        <w:t xml:space="preserve"> Government committed to undertake post legislative scrutiny of the 2023 Act. This will be submitted to the Home Affairs Select Committee shortly and will be copied to the Joint Committee on Human Rights. </w:t>
      </w:r>
    </w:p>
    <w:p w:rsidR="003A34AE" w:rsidRPr="00F3544E" w:rsidP="00967D20">
      <w:pPr>
        <w:spacing w:after="160" w:line="278" w:lineRule="auto"/>
        <w:rPr>
          <w:rFonts w:eastAsia="Arial" w:cs="Arial"/>
          <w:kern w:val="2"/>
          <w:sz w:val="24"/>
          <w:szCs w:val="24"/>
        </w:rPr>
      </w:pPr>
    </w:p>
    <w:p w:rsidR="003A34AE" w:rsidRPr="00F3544E" w:rsidP="00967D20">
      <w:pPr>
        <w:spacing w:after="160" w:line="278" w:lineRule="auto"/>
        <w:ind w:left="720"/>
        <w:rPr>
          <w:rFonts w:eastAsia="Arial" w:cs="Arial"/>
          <w:b/>
          <w:bCs/>
          <w:kern w:val="2"/>
          <w:sz w:val="24"/>
          <w:szCs w:val="24"/>
        </w:rPr>
      </w:pPr>
      <w:r w:rsidRPr="00F3544E">
        <w:rPr>
          <w:rFonts w:eastAsia="Arial" w:cs="Arial"/>
          <w:b/>
          <w:bCs/>
          <w:kern w:val="2"/>
          <w:sz w:val="24"/>
          <w:szCs w:val="24"/>
        </w:rPr>
        <w:t>2) How does the National Security Act 2023 operate in relation to protest at, or in the vicinity of, a “prohibited place”? Are the thresholds for police powers and offences related to prohibited places sufficiently precise and proportionate? </w:t>
      </w:r>
    </w:p>
    <w:p w:rsidR="003A34AE" w:rsidRPr="00F3544E" w:rsidP="00967D20">
      <w:pPr>
        <w:spacing w:after="160" w:line="278" w:lineRule="auto"/>
        <w:rPr>
          <w:rFonts w:eastAsia="Arial" w:cs="Arial"/>
          <w:kern w:val="2"/>
          <w:sz w:val="24"/>
          <w:szCs w:val="24"/>
        </w:rPr>
      </w:pPr>
      <w:r w:rsidRPr="00F3544E">
        <w:rPr>
          <w:rFonts w:eastAsia="Arial" w:cs="Arial"/>
          <w:kern w:val="2"/>
          <w:sz w:val="24"/>
          <w:szCs w:val="24"/>
        </w:rPr>
        <w:t>The National Security Act 2023 (the Act) creates a regime that captures harmful activity in and around sites designated as prohibited places. Prohibited places are inherently sensitive sites that are likely to be the target of state threat activity or other types of threats that do not have a state link. Should it be necessary, further sites vulnerable to state threat activity can be designated as prohibited places in the future. The Act also includes powers to protect any military aircraft crash sites in t</w:t>
      </w:r>
      <w:r w:rsidRPr="00F3544E">
        <w:rPr>
          <w:rFonts w:eastAsia="Arial" w:cs="Arial"/>
          <w:kern w:val="2"/>
          <w:sz w:val="24"/>
          <w:szCs w:val="24"/>
        </w:rPr>
        <w:t>he UK from interference or surveillance.</w:t>
      </w:r>
    </w:p>
    <w:p w:rsidR="003A34AE" w:rsidRPr="00F3544E" w:rsidP="00967D20">
      <w:pPr>
        <w:spacing w:after="160" w:line="278" w:lineRule="auto"/>
        <w:rPr>
          <w:rFonts w:eastAsia="Arial" w:cs="Arial"/>
          <w:kern w:val="2"/>
          <w:sz w:val="24"/>
          <w:szCs w:val="24"/>
        </w:rPr>
      </w:pPr>
      <w:r w:rsidRPr="00F3544E">
        <w:rPr>
          <w:rFonts w:eastAsia="Arial" w:cs="Arial"/>
          <w:kern w:val="2"/>
          <w:sz w:val="24"/>
          <w:szCs w:val="24"/>
        </w:rPr>
        <w:t>The Act provides new offences and police powers to deter, capture, and prosecute harmful activity in and around prohibited places. It covers a range of harmful activity including physically entering a site in person, causing unmanned devices or vehicles to enter or inspect these sites remotely and cyber methods to access the site electronically. These are powers that the police can exercise to protect a prohibited place and include ordering a person to cease their activity or move away from the site or arra</w:t>
      </w:r>
      <w:r w:rsidRPr="00F3544E">
        <w:rPr>
          <w:rFonts w:eastAsia="Arial" w:cs="Arial"/>
          <w:kern w:val="2"/>
          <w:sz w:val="24"/>
          <w:szCs w:val="24"/>
        </w:rPr>
        <w:t xml:space="preserve">nging for a vehicle to be removed. </w:t>
      </w:r>
    </w:p>
    <w:p w:rsidR="003A34AE" w:rsidRPr="00F3544E" w:rsidP="00967D20">
      <w:pPr>
        <w:spacing w:after="160" w:line="278" w:lineRule="auto"/>
        <w:rPr>
          <w:rFonts w:eastAsia="Arial" w:cs="Arial"/>
          <w:kern w:val="2"/>
          <w:sz w:val="24"/>
          <w:szCs w:val="24"/>
        </w:rPr>
      </w:pPr>
      <w:r w:rsidRPr="00F3544E">
        <w:rPr>
          <w:rFonts w:eastAsia="Arial" w:cs="Arial"/>
          <w:kern w:val="2"/>
          <w:sz w:val="24"/>
          <w:szCs w:val="24"/>
        </w:rPr>
        <w:t xml:space="preserve">The police powers and offences are aimed at catching and deterring activity in and around prohibited places which would be prejudicial to the safety or interests of the UK and there are a number of safeguards in place to ensure the powers are used proportionately. An offence is committed where activity is conducted with a purpose prejudicial to the safety or interests of the UK, or where the conduct in question is unauthorised. In addition, the police powers (i.e. requiring that a person leave a prohibited </w:t>
      </w:r>
      <w:r w:rsidRPr="00F3544E">
        <w:rPr>
          <w:rFonts w:eastAsia="Arial" w:cs="Arial"/>
          <w:kern w:val="2"/>
          <w:sz w:val="24"/>
          <w:szCs w:val="24"/>
        </w:rPr>
        <w:t xml:space="preserve">place) may only be exercised if an officer reasonably believes that doing so is necessary to protect the safety or interests of the UK. This ensures peaceful legitimate protest, for example, is not caught. The powers are not designed to impede peaceful protest, but they may be exercised if protest is harmful and disrupts or impedes the functioning or operations of prohibited places in a way that could jeopardise the safety or interests of the UK (for example, scaling fences, blocking access points or wider </w:t>
      </w:r>
      <w:r w:rsidRPr="00F3544E">
        <w:rPr>
          <w:rFonts w:eastAsia="Arial" w:cs="Arial"/>
          <w:kern w:val="2"/>
          <w:sz w:val="24"/>
          <w:szCs w:val="24"/>
        </w:rPr>
        <w:t>disruption of the work being conducted at these sensitive sites). </w:t>
      </w:r>
    </w:p>
    <w:p w:rsidR="003A34AE" w:rsidRPr="00F3544E" w:rsidP="00967D20">
      <w:pPr>
        <w:spacing w:after="160" w:line="278" w:lineRule="auto"/>
        <w:rPr>
          <w:rFonts w:eastAsia="Arial" w:cs="Arial"/>
          <w:kern w:val="2"/>
          <w:sz w:val="24"/>
          <w:szCs w:val="24"/>
        </w:rPr>
      </w:pPr>
    </w:p>
    <w:p w:rsidR="003A34AE" w:rsidRPr="00F3544E" w:rsidP="00967D20">
      <w:pPr>
        <w:spacing w:after="160" w:line="278" w:lineRule="auto"/>
        <w:ind w:left="720"/>
        <w:rPr>
          <w:rFonts w:eastAsia="Arial" w:cs="Arial"/>
          <w:b/>
          <w:bCs/>
          <w:kern w:val="2"/>
          <w:sz w:val="24"/>
          <w:szCs w:val="24"/>
        </w:rPr>
      </w:pPr>
      <w:r w:rsidRPr="00F3544E">
        <w:rPr>
          <w:rFonts w:eastAsia="Arial" w:cs="Arial"/>
          <w:b/>
          <w:bCs/>
          <w:kern w:val="2"/>
          <w:sz w:val="24"/>
          <w:szCs w:val="24"/>
        </w:rPr>
        <w:t>3) To what extent are restrictions on individuals taking part in protest, for example Serious Disruption Prevention Orders, compatible with Articles 10 and 11 in design and in practice?</w:t>
      </w:r>
    </w:p>
    <w:p w:rsidR="003A34AE" w:rsidRPr="00F3544E" w:rsidP="00967D20">
      <w:pPr>
        <w:spacing w:after="160" w:line="278" w:lineRule="auto"/>
        <w:rPr>
          <w:rFonts w:eastAsia="Arial" w:cs="Arial"/>
          <w:color w:val="000000"/>
          <w:kern w:val="2"/>
          <w:sz w:val="24"/>
          <w:szCs w:val="24"/>
        </w:rPr>
      </w:pPr>
      <w:r w:rsidRPr="00F3544E">
        <w:rPr>
          <w:rFonts w:eastAsia="Arial" w:cs="Arial"/>
          <w:color w:val="000000"/>
          <w:kern w:val="2"/>
          <w:sz w:val="24"/>
          <w:szCs w:val="24"/>
        </w:rPr>
        <w:t xml:space="preserve">The Public Order Act 1986 allows police to impose conditions on protests to prevent serious public disorder, serious damage to property or serious disruption to the life of the community. This may include where noise generated by a protest may result in serious disruption to the activities of an organisation in the vicinity of a protest, or where the purpose of those organising the protest is to intimidate others with a view to affecting their lawful activity. </w:t>
      </w:r>
    </w:p>
    <w:p w:rsidR="003A34AE" w:rsidRPr="00F3544E" w:rsidP="00967D20">
      <w:pPr>
        <w:spacing w:after="160" w:line="278" w:lineRule="auto"/>
        <w:rPr>
          <w:rFonts w:eastAsia="Arial" w:cs="Arial"/>
          <w:color w:val="000000"/>
          <w:kern w:val="2"/>
          <w:sz w:val="24"/>
          <w:szCs w:val="24"/>
        </w:rPr>
      </w:pPr>
      <w:r w:rsidRPr="00F3544E">
        <w:rPr>
          <w:rFonts w:eastAsia="Arial" w:cs="Arial"/>
          <w:color w:val="000000"/>
          <w:kern w:val="2"/>
          <w:sz w:val="24"/>
          <w:szCs w:val="24"/>
        </w:rPr>
        <w:t>Each police force must consider whether a protest meets the legal threshold set out in the 1986 Act.  If a force is content that a protest meets this threshold, it is their responsibility to assess the most appropriate conditions that should be placed on a protest under sections 12 and 14 of the 1986 Act.</w:t>
      </w:r>
    </w:p>
    <w:p w:rsidR="003A34AE" w:rsidRPr="00F3544E" w:rsidP="00967D20">
      <w:pPr>
        <w:spacing w:after="160" w:line="278" w:lineRule="auto"/>
        <w:rPr>
          <w:rFonts w:eastAsia="Arial" w:cs="Arial"/>
          <w:kern w:val="2"/>
          <w:sz w:val="24"/>
          <w:szCs w:val="24"/>
        </w:rPr>
      </w:pPr>
      <w:r w:rsidRPr="00F3544E">
        <w:rPr>
          <w:rFonts w:eastAsia="Arial" w:cs="Arial"/>
          <w:kern w:val="2"/>
          <w:sz w:val="24"/>
          <w:szCs w:val="24"/>
        </w:rPr>
        <w:t xml:space="preserve">An individual’s rights under Article 10 (freedom of expression) and Article 11 (freedom of assembly and association) ECHR are likely to be engaged when the police exercise their public order powers.  </w:t>
      </w:r>
    </w:p>
    <w:p w:rsidR="003A34AE" w:rsidRPr="00F3544E" w:rsidP="00967D20">
      <w:pPr>
        <w:spacing w:after="160" w:line="278" w:lineRule="auto"/>
        <w:rPr>
          <w:rFonts w:eastAsia="Arial" w:cs="Arial"/>
          <w:kern w:val="2"/>
          <w:sz w:val="24"/>
          <w:szCs w:val="24"/>
        </w:rPr>
      </w:pPr>
      <w:r w:rsidRPr="00F3544E">
        <w:rPr>
          <w:rFonts w:eastAsia="Arial" w:cs="Arial"/>
          <w:kern w:val="2"/>
          <w:sz w:val="24"/>
          <w:szCs w:val="24"/>
        </w:rPr>
        <w:t xml:space="preserve">Articles 10 and 11 are qualified rights. Therefore, interference with these rights is considered to be lawful where that interference is justified as proportionate and necessary interference in the pursuit of a legitimate aim. </w:t>
      </w:r>
    </w:p>
    <w:p w:rsidR="003A34AE" w:rsidRPr="00F3544E" w:rsidP="00967D20">
      <w:pPr>
        <w:spacing w:after="160" w:line="278" w:lineRule="auto"/>
        <w:rPr>
          <w:rFonts w:eastAsia="Arial" w:cs="Arial"/>
          <w:kern w:val="2"/>
          <w:sz w:val="24"/>
          <w:szCs w:val="24"/>
        </w:rPr>
      </w:pPr>
      <w:r w:rsidRPr="00F3544E">
        <w:rPr>
          <w:rFonts w:eastAsia="Arial" w:cs="Arial"/>
          <w:kern w:val="2"/>
          <w:sz w:val="24"/>
          <w:szCs w:val="24"/>
        </w:rPr>
        <w:t>Interference will be considered “necessary in a democratic society” if it is proportionate to the legitimate aim pursued and if the reasons adduced by the authorities to justify it are “relevant and sufficient”.  The proportionality principle demands that a balance be struck between the requirements of the purposes listed in Articles 10(2) and 11(2), on the one hand, and those of the free expression of opinions on the other.</w:t>
      </w:r>
    </w:p>
    <w:p w:rsidR="003A34AE" w:rsidRPr="00F3544E" w:rsidP="00967D20">
      <w:pPr>
        <w:spacing w:after="160" w:line="278" w:lineRule="auto"/>
        <w:rPr>
          <w:rFonts w:eastAsia="Arial" w:cs="Arial"/>
          <w:kern w:val="2"/>
          <w:sz w:val="24"/>
          <w:szCs w:val="24"/>
        </w:rPr>
      </w:pPr>
      <w:r w:rsidRPr="00F3544E">
        <w:rPr>
          <w:rFonts w:eastAsia="Arial" w:cs="Arial"/>
          <w:kern w:val="2"/>
          <w:sz w:val="24"/>
          <w:szCs w:val="24"/>
        </w:rPr>
        <w:t>The legitimate aim pursued by the use of public order powers are public safety, the prevention of disorder and crime, and the protection of the rights of others. By the introduction of these measures in primary legislation, it has been deemed by this and previous governments that these measures strike the required balance.</w:t>
      </w:r>
    </w:p>
    <w:p w:rsidR="003A34AE" w:rsidRPr="00F3544E" w:rsidP="00967D20">
      <w:pPr>
        <w:spacing w:after="160" w:line="278" w:lineRule="auto"/>
        <w:rPr>
          <w:rFonts w:eastAsia="Arial" w:cs="Arial"/>
          <w:kern w:val="2"/>
          <w:sz w:val="24"/>
          <w:szCs w:val="24"/>
        </w:rPr>
      </w:pPr>
    </w:p>
    <w:p w:rsidR="003A34AE" w:rsidRPr="00F3544E" w:rsidP="00967D20">
      <w:pPr>
        <w:spacing w:after="160" w:line="278" w:lineRule="auto"/>
        <w:ind w:left="720"/>
        <w:rPr>
          <w:rFonts w:eastAsia="Arial" w:cs="Arial"/>
          <w:b/>
          <w:bCs/>
          <w:kern w:val="2"/>
          <w:sz w:val="24"/>
          <w:szCs w:val="24"/>
        </w:rPr>
      </w:pPr>
      <w:r w:rsidRPr="00F3544E">
        <w:rPr>
          <w:rFonts w:eastAsia="Arial" w:cs="Arial"/>
          <w:b/>
          <w:bCs/>
          <w:kern w:val="2"/>
          <w:sz w:val="24"/>
          <w:szCs w:val="24"/>
        </w:rPr>
        <w:t>4) Does the current legal framework adequately balance protest rights against the rights of others? Do further changes to the law proposed in the Crime and Policing Bill affect that balance? </w:t>
      </w:r>
    </w:p>
    <w:p w:rsidR="003A34AE" w:rsidRPr="00F3544E" w:rsidP="00967D20">
      <w:pPr>
        <w:spacing w:after="160" w:line="278" w:lineRule="auto"/>
        <w:rPr>
          <w:rFonts w:eastAsia="Arial" w:cs="Arial"/>
          <w:kern w:val="2"/>
          <w:sz w:val="24"/>
          <w:szCs w:val="24"/>
        </w:rPr>
      </w:pPr>
      <w:r w:rsidRPr="00F3544E">
        <w:rPr>
          <w:rFonts w:eastAsia="Arial" w:cs="Arial"/>
          <w:kern w:val="2"/>
          <w:sz w:val="24"/>
          <w:szCs w:val="24"/>
        </w:rPr>
        <w:t>As set out above, the public order framework is designed to balance the right to peaceful protest with the rights and freedoms of others. Public order legislation is kept under regular review, including through post</w:t>
      </w:r>
      <w:r w:rsidRPr="00F3544E">
        <w:rPr>
          <w:rFonts w:ascii="Cambria Math" w:eastAsia="Arial" w:hAnsi="Cambria Math" w:cs="Cambria Math"/>
          <w:kern w:val="2"/>
          <w:sz w:val="24"/>
          <w:szCs w:val="24"/>
        </w:rPr>
        <w:t>‑</w:t>
      </w:r>
      <w:r w:rsidRPr="00F3544E">
        <w:rPr>
          <w:rFonts w:eastAsia="Arial" w:cs="Arial"/>
          <w:kern w:val="2"/>
          <w:sz w:val="24"/>
          <w:szCs w:val="24"/>
        </w:rPr>
        <w:t>legislative scrutiny, and there is ongoing independent consideration of the wider framework through the review of public order and hate crime legislation currently being led by Lord Macdonald of River Glaven KC.</w:t>
      </w:r>
    </w:p>
    <w:p w:rsidR="003A34AE" w:rsidRPr="00F3544E" w:rsidP="00967D20">
      <w:pPr>
        <w:spacing w:after="160" w:line="278" w:lineRule="auto"/>
        <w:rPr>
          <w:rFonts w:eastAsia="Arial" w:cs="Arial"/>
          <w:kern w:val="2"/>
          <w:sz w:val="24"/>
          <w:szCs w:val="24"/>
        </w:rPr>
      </w:pPr>
      <w:r w:rsidRPr="00F3544E">
        <w:rPr>
          <w:rFonts w:eastAsia="Arial" w:cs="Arial"/>
          <w:kern w:val="2"/>
          <w:sz w:val="24"/>
          <w:szCs w:val="24"/>
        </w:rPr>
        <w:t xml:space="preserve">The Crime and Policing Act 2026 introduces targeted public order measures as listed above including: new offences for concealing identity in designated protest areas; prohibition on possessing pyrotechnics at protests; prohibition on climbing on certain memorials; strengthened police powers to impose conditions on protests near places of worship; a duty for the police to consider the cumulative impact of protest activity when deciding whether the serious disruption to the life of the community threshold is </w:t>
      </w:r>
      <w:r w:rsidRPr="00F3544E">
        <w:rPr>
          <w:rFonts w:eastAsia="Arial" w:cs="Arial"/>
          <w:kern w:val="2"/>
          <w:sz w:val="24"/>
          <w:szCs w:val="24"/>
        </w:rPr>
        <w:t>met, and whether to impose conditions on a planned protest; and enables senior officers not present at the scene of a protest to impose conditions where it is appropriate for them to do so.</w:t>
      </w:r>
      <w:r w:rsidRPr="00F3544E">
        <w:rPr>
          <w:rFonts w:eastAsia="Arial" w:cs="Arial"/>
          <w:i/>
          <w:iCs/>
          <w:kern w:val="2"/>
          <w:sz w:val="24"/>
          <w:szCs w:val="24"/>
        </w:rPr>
        <w:t xml:space="preserve"> </w:t>
      </w:r>
      <w:r w:rsidRPr="00F3544E">
        <w:rPr>
          <w:rFonts w:eastAsia="Arial" w:cs="Arial"/>
          <w:kern w:val="2"/>
          <w:sz w:val="24"/>
          <w:szCs w:val="24"/>
        </w:rPr>
        <w:t>The Act also extends public order powers to the British Transport Police and Ministry of Defence Police.</w:t>
      </w:r>
    </w:p>
    <w:p w:rsidR="003A34AE" w:rsidRPr="00F3544E" w:rsidP="00967D20">
      <w:pPr>
        <w:spacing w:after="160" w:line="278" w:lineRule="auto"/>
        <w:rPr>
          <w:rFonts w:eastAsia="Arial" w:cs="Arial"/>
          <w:kern w:val="2"/>
          <w:sz w:val="24"/>
          <w:szCs w:val="24"/>
        </w:rPr>
      </w:pPr>
      <w:r w:rsidRPr="00F3544E">
        <w:rPr>
          <w:rFonts w:eastAsia="Arial" w:cs="Arial"/>
          <w:kern w:val="2"/>
          <w:sz w:val="24"/>
          <w:szCs w:val="24"/>
        </w:rPr>
        <w:t>These measures will operate within the existing public order framework. In particular, the statutory threshold for imposing conditions on protests has not changed, and where that threshold is met, the police may impose only such conditions as are necessary to prevent disorder or disruption. The cumulative disruption provision makes explicit a factor that senior police officers already have discretion to consider, providing greater clarity and foreseeability as to how decisions are made. The exercise of thes</w:t>
      </w:r>
      <w:r w:rsidRPr="00F3544E">
        <w:rPr>
          <w:rFonts w:eastAsia="Arial" w:cs="Arial"/>
          <w:kern w:val="2"/>
          <w:sz w:val="24"/>
          <w:szCs w:val="24"/>
        </w:rPr>
        <w:t>e po</w:t>
      </w:r>
      <w:r w:rsidRPr="00F3544E">
        <w:rPr>
          <w:rFonts w:ascii="Aptos" w:eastAsia="Yu Mincho" w:hAnsi="Aptos" w:cs="Arial"/>
          <w:kern w:val="2"/>
          <w:sz w:val="24"/>
          <w:szCs w:val="24"/>
        </w:rPr>
        <w:t>w</w:t>
      </w:r>
      <w:r w:rsidRPr="00F3544E">
        <w:rPr>
          <w:rFonts w:eastAsia="Arial" w:cs="Arial"/>
          <w:kern w:val="2"/>
          <w:sz w:val="24"/>
          <w:szCs w:val="24"/>
        </w:rPr>
        <w:t xml:space="preserve">ers remains subject to police operational independence, </w:t>
      </w:r>
      <w:r w:rsidRPr="00F3544E">
        <w:rPr>
          <w:rFonts w:eastAsia="Arial" w:cs="Arial"/>
          <w:kern w:val="2"/>
          <w:sz w:val="24"/>
          <w:szCs w:val="24"/>
        </w:rPr>
        <w:t xml:space="preserve">statutory safeguards and judicial oversight, and must be carried out lawfully and proportionately. </w:t>
      </w:r>
    </w:p>
    <w:p w:rsidR="003A34AE" w:rsidRPr="00F3544E" w:rsidP="00967D20">
      <w:pPr>
        <w:spacing w:after="160" w:line="278" w:lineRule="auto"/>
        <w:rPr>
          <w:rFonts w:eastAsia="Arial" w:cs="Arial"/>
          <w:kern w:val="2"/>
          <w:sz w:val="24"/>
          <w:szCs w:val="24"/>
        </w:rPr>
      </w:pPr>
    </w:p>
    <w:p w:rsidR="003A34AE" w:rsidP="00967D20">
      <w:pPr>
        <w:spacing w:after="160" w:line="278" w:lineRule="auto"/>
        <w:rPr>
          <w:rFonts w:eastAsia="Arial" w:cs="Arial"/>
          <w:b/>
          <w:bCs/>
          <w:kern w:val="2"/>
          <w:sz w:val="24"/>
          <w:szCs w:val="24"/>
          <w:u w:val="single"/>
        </w:rPr>
      </w:pPr>
    </w:p>
    <w:p w:rsidR="003A34AE" w:rsidRPr="00F3544E" w:rsidP="00967D20">
      <w:pPr>
        <w:spacing w:after="160" w:line="278" w:lineRule="auto"/>
        <w:rPr>
          <w:rFonts w:ascii="Aptos" w:eastAsia="Yu Mincho" w:hAnsi="Aptos" w:cs="Arial"/>
          <w:kern w:val="2"/>
          <w:sz w:val="24"/>
          <w:szCs w:val="24"/>
        </w:rPr>
      </w:pPr>
      <w:r w:rsidRPr="00F3544E">
        <w:rPr>
          <w:rFonts w:eastAsia="Arial" w:cs="Arial"/>
          <w:b/>
          <w:bCs/>
          <w:kern w:val="2"/>
          <w:sz w:val="24"/>
          <w:szCs w:val="24"/>
          <w:u w:val="single"/>
        </w:rPr>
        <w:t>Protest rights and community safety/disruption</w:t>
      </w:r>
    </w:p>
    <w:p w:rsidR="003A34AE" w:rsidRPr="00F3544E" w:rsidP="00967D20">
      <w:pPr>
        <w:spacing w:after="160" w:line="278" w:lineRule="auto"/>
        <w:ind w:left="720"/>
        <w:rPr>
          <w:rFonts w:eastAsia="Arial" w:cs="Arial"/>
          <w:kern w:val="2"/>
          <w:sz w:val="24"/>
          <w:szCs w:val="24"/>
        </w:rPr>
      </w:pPr>
      <w:r w:rsidRPr="00F3544E">
        <w:rPr>
          <w:rFonts w:eastAsia="Arial" w:cs="Arial"/>
          <w:b/>
          <w:bCs/>
          <w:kern w:val="2"/>
          <w:sz w:val="24"/>
          <w:szCs w:val="24"/>
        </w:rPr>
        <w:t>5) To what extent is the assessment that protest activity ‘has become faster, more decentralised and more disruptive’ accurate? What are the main issues police and public authorities face when managing protest? </w:t>
      </w:r>
    </w:p>
    <w:p w:rsidR="003A34AE" w:rsidRPr="00F3544E" w:rsidP="00967D20">
      <w:pPr>
        <w:spacing w:after="160" w:line="278" w:lineRule="auto"/>
        <w:rPr>
          <w:rFonts w:eastAsia="Arial" w:cs="Arial"/>
          <w:kern w:val="2"/>
          <w:sz w:val="24"/>
          <w:szCs w:val="24"/>
        </w:rPr>
      </w:pPr>
      <w:r w:rsidRPr="00F3544E">
        <w:rPr>
          <w:rFonts w:eastAsia="Arial" w:cs="Arial"/>
          <w:kern w:val="2"/>
          <w:sz w:val="24"/>
          <w:szCs w:val="24"/>
        </w:rPr>
        <w:t>In recent years, there have been periods of increased protest activity, including protests that have taken place at scale, occurred frequently, or been repeated in the same locations over extended periods, including following international events in late 2023. While the majority of those attending demonstrations have exercised their rights peacefully and within the law, some protest activity has involved large numbers of people, taken place frequently, or occurred across multiple locations over short period</w:t>
      </w:r>
      <w:r w:rsidRPr="00F3544E">
        <w:rPr>
          <w:rFonts w:eastAsia="Arial" w:cs="Arial"/>
          <w:kern w:val="2"/>
          <w:sz w:val="24"/>
          <w:szCs w:val="24"/>
        </w:rPr>
        <w:t>s of time.</w:t>
      </w:r>
    </w:p>
    <w:p w:rsidR="003A34AE" w:rsidRPr="00F3544E" w:rsidP="00967D20">
      <w:pPr>
        <w:spacing w:after="160" w:line="278" w:lineRule="auto"/>
        <w:rPr>
          <w:rFonts w:eastAsia="Arial" w:cs="Arial"/>
          <w:kern w:val="2"/>
          <w:sz w:val="24"/>
          <w:szCs w:val="24"/>
        </w:rPr>
      </w:pPr>
      <w:r w:rsidRPr="00F3544E">
        <w:rPr>
          <w:rFonts w:eastAsia="Arial" w:cs="Arial"/>
          <w:kern w:val="2"/>
          <w:sz w:val="24"/>
          <w:szCs w:val="24"/>
        </w:rPr>
        <w:t>In these circumstances, protest activity may involve a combination of planned and unplanned elements, changes to location or timing at short notice, or multiple gatherings taking place simultaneously. This can make protest activity more complex to manage overall, particularly where events develop rapidly or are dispersed across different locations.</w:t>
      </w:r>
    </w:p>
    <w:p w:rsidR="003A34AE" w:rsidRPr="00F3544E" w:rsidP="00967D20">
      <w:pPr>
        <w:spacing w:after="160" w:line="278" w:lineRule="auto"/>
        <w:rPr>
          <w:rFonts w:eastAsia="Arial" w:cs="Arial"/>
          <w:kern w:val="2"/>
          <w:sz w:val="24"/>
          <w:szCs w:val="24"/>
        </w:rPr>
      </w:pPr>
      <w:r w:rsidRPr="00F3544E">
        <w:rPr>
          <w:rFonts w:eastAsia="Arial" w:cs="Arial"/>
          <w:kern w:val="2"/>
          <w:sz w:val="24"/>
          <w:szCs w:val="24"/>
        </w:rPr>
        <w:t>Due to the impact of repeated protest activity on communities and public spaces, there have been instances where the cumulative effect of protest activity has disrupted normal life in particular areas, resulted in people feeling unsafe or intimidated. This has been particularly evident where protests have taken place repeatedly in close proximity to sensitive sites, including places of worship.</w:t>
      </w:r>
    </w:p>
    <w:p w:rsidR="003A34AE" w:rsidRPr="00F3544E" w:rsidP="00967D20">
      <w:pPr>
        <w:spacing w:after="160" w:line="278" w:lineRule="auto"/>
        <w:rPr>
          <w:rFonts w:eastAsia="Arial" w:cs="Arial"/>
          <w:kern w:val="2"/>
          <w:sz w:val="24"/>
          <w:szCs w:val="24"/>
        </w:rPr>
      </w:pPr>
      <w:r w:rsidRPr="00F3544E">
        <w:rPr>
          <w:rFonts w:eastAsia="Arial" w:cs="Arial"/>
          <w:kern w:val="2"/>
          <w:sz w:val="24"/>
          <w:szCs w:val="24"/>
        </w:rPr>
        <w:t>The Government has considered whether the existing public order framework continues to provide a sufficient and effective legal basis for managing protest related disruption, while continuing to protect the right to peaceful protest. This has informed the decision to bring forward targeted measures in the Crime and Policing Bill.</w:t>
      </w:r>
    </w:p>
    <w:p w:rsidR="003A34AE" w:rsidRPr="00F3544E" w:rsidP="00967D20">
      <w:pPr>
        <w:spacing w:after="160" w:line="278" w:lineRule="auto"/>
        <w:rPr>
          <w:rFonts w:eastAsia="Arial" w:cs="Arial"/>
          <w:kern w:val="2"/>
          <w:sz w:val="24"/>
          <w:szCs w:val="24"/>
        </w:rPr>
      </w:pPr>
      <w:r w:rsidRPr="00F3544E">
        <w:rPr>
          <w:rFonts w:eastAsia="Arial" w:cs="Arial"/>
          <w:kern w:val="2"/>
          <w:sz w:val="24"/>
          <w:szCs w:val="24"/>
        </w:rPr>
        <w:t>These measures are intended to help ensure the public order framework continues to balance the right to peaceful protest with the rights of others to go about their daily lives, alongside the potential for disruption to communities or risks of disorder. They are designed to provide a clear and targeted legal basis for managing protest</w:t>
      </w:r>
      <w:r w:rsidRPr="00F3544E">
        <w:rPr>
          <w:rFonts w:ascii="Cambria Math" w:eastAsia="Arial" w:hAnsi="Cambria Math" w:cs="Cambria Math"/>
          <w:kern w:val="2"/>
          <w:sz w:val="24"/>
          <w:szCs w:val="24"/>
        </w:rPr>
        <w:t>‑</w:t>
      </w:r>
      <w:r w:rsidRPr="00F3544E">
        <w:rPr>
          <w:rFonts w:eastAsia="Arial" w:cs="Arial"/>
          <w:kern w:val="2"/>
          <w:sz w:val="24"/>
          <w:szCs w:val="24"/>
        </w:rPr>
        <w:t>related disruption where it occurs, while continuing to uphold the right to lawful protest.</w:t>
      </w:r>
    </w:p>
    <w:p w:rsidR="003A34AE" w:rsidRPr="00F3544E" w:rsidP="00967D20">
      <w:pPr>
        <w:spacing w:after="160" w:line="278" w:lineRule="auto"/>
        <w:rPr>
          <w:rFonts w:eastAsia="Arial" w:cs="Arial"/>
          <w:kern w:val="2"/>
          <w:sz w:val="24"/>
          <w:szCs w:val="24"/>
        </w:rPr>
      </w:pPr>
      <w:r w:rsidRPr="00F3544E">
        <w:rPr>
          <w:rFonts w:eastAsia="Arial" w:cs="Arial"/>
          <w:kern w:val="2"/>
          <w:sz w:val="24"/>
          <w:szCs w:val="24"/>
        </w:rPr>
        <w:t xml:space="preserve">The Government keeps the operation of public order legislation under regular review to ensure that it remains fit for purpose. </w:t>
      </w:r>
      <w:r w:rsidRPr="00F3544E">
        <w:rPr>
          <w:rFonts w:cs="Arial"/>
          <w:sz w:val="24"/>
          <w:szCs w:val="24"/>
        </w:rPr>
        <w:t xml:space="preserve">Despite the introduction of the Crime and </w:t>
      </w:r>
      <w:r w:rsidRPr="00F3544E">
        <w:rPr>
          <w:rFonts w:cs="Arial"/>
          <w:sz w:val="24"/>
          <w:szCs w:val="24"/>
        </w:rPr>
        <w:t xml:space="preserve">Policing Bill, the Government recognises that a wider conversation is needed about how best to equip the police with powers that can be exercised proportionately and consistently with the right to peaceful protest. </w:t>
      </w:r>
    </w:p>
    <w:p w:rsidR="003A34AE" w:rsidRPr="00F3544E" w:rsidP="00967D20">
      <w:pPr>
        <w:spacing w:line="300" w:lineRule="atLeast"/>
        <w:rPr>
          <w:rFonts w:cs="Arial"/>
          <w:sz w:val="24"/>
          <w:szCs w:val="24"/>
        </w:rPr>
      </w:pPr>
      <w:r w:rsidRPr="00F3544E">
        <w:rPr>
          <w:rFonts w:cs="Arial"/>
          <w:sz w:val="24"/>
          <w:szCs w:val="24"/>
        </w:rPr>
        <w:t>Lord Macdonald of River Glaven KC’s independent review of public order and hate crime legislation is due to conclude by the end of May 2026. Once the review has reported, the Government will carefully consider its recommendations.</w:t>
      </w:r>
    </w:p>
    <w:p w:rsidR="003A34AE" w:rsidRPr="00F3544E" w:rsidP="00967D20">
      <w:pPr>
        <w:spacing w:line="300" w:lineRule="atLeast"/>
        <w:rPr>
          <w:rFonts w:cs="Arial"/>
          <w:sz w:val="24"/>
          <w:szCs w:val="24"/>
        </w:rPr>
      </w:pPr>
    </w:p>
    <w:p w:rsidR="003A34AE" w:rsidP="00967D20">
      <w:pPr>
        <w:spacing w:line="300" w:lineRule="atLeast"/>
        <w:rPr>
          <w:rFonts w:cs="Arial"/>
          <w:sz w:val="24"/>
          <w:szCs w:val="24"/>
        </w:rPr>
      </w:pPr>
    </w:p>
    <w:p w:rsidR="003A34AE" w:rsidP="00967D20">
      <w:pPr>
        <w:spacing w:line="300" w:lineRule="atLeast"/>
        <w:rPr>
          <w:rFonts w:cs="Arial"/>
          <w:sz w:val="24"/>
          <w:szCs w:val="24"/>
        </w:rPr>
      </w:pPr>
    </w:p>
    <w:p w:rsidR="003A34AE" w:rsidP="00967D20">
      <w:pPr>
        <w:spacing w:line="300" w:lineRule="atLeast"/>
        <w:rPr>
          <w:rFonts w:cs="Arial"/>
          <w:sz w:val="24"/>
          <w:szCs w:val="24"/>
        </w:rPr>
      </w:pPr>
    </w:p>
    <w:p w:rsidR="003A34AE" w:rsidP="00967D20">
      <w:pPr>
        <w:spacing w:line="300" w:lineRule="atLeast"/>
        <w:rPr>
          <w:rFonts w:cs="Arial"/>
          <w:sz w:val="24"/>
          <w:szCs w:val="24"/>
        </w:rPr>
      </w:pPr>
    </w:p>
    <w:p w:rsidR="003A34AE" w:rsidRPr="00F3544E" w:rsidP="00967D20">
      <w:pPr>
        <w:spacing w:line="300" w:lineRule="atLeast"/>
        <w:rPr>
          <w:rFonts w:cs="Arial"/>
          <w:sz w:val="24"/>
          <w:szCs w:val="24"/>
        </w:rPr>
      </w:pPr>
    </w:p>
    <w:p w:rsidR="003A34AE" w:rsidRPr="00F3544E" w:rsidP="00967D20">
      <w:pPr>
        <w:spacing w:after="160" w:line="278" w:lineRule="auto"/>
        <w:ind w:left="720"/>
        <w:rPr>
          <w:rFonts w:eastAsia="Arial" w:cs="Arial"/>
          <w:b/>
          <w:bCs/>
          <w:kern w:val="2"/>
          <w:sz w:val="24"/>
          <w:szCs w:val="24"/>
        </w:rPr>
      </w:pPr>
      <w:r w:rsidRPr="00F3544E">
        <w:rPr>
          <w:rFonts w:eastAsia="Arial" w:cs="Arial"/>
          <w:b/>
          <w:bCs/>
          <w:kern w:val="2"/>
          <w:sz w:val="24"/>
          <w:szCs w:val="24"/>
        </w:rPr>
        <w:t>6) Much of the legal framework for controlling public protest focuses on whether it causes serious disruption. Is some disruption a necessary feature of protest? How serious must disruption be to justify restrictions on protest? </w:t>
      </w:r>
    </w:p>
    <w:p w:rsidR="003A34AE" w:rsidRPr="00F3544E" w:rsidP="00967D20">
      <w:pPr>
        <w:spacing w:after="160" w:line="278" w:lineRule="auto"/>
        <w:rPr>
          <w:rFonts w:eastAsia="Arial" w:cs="Arial"/>
          <w:kern w:val="2"/>
          <w:sz w:val="24"/>
          <w:szCs w:val="24"/>
        </w:rPr>
      </w:pPr>
      <w:r w:rsidRPr="00F3544E">
        <w:rPr>
          <w:rFonts w:eastAsia="Arial" w:cs="Arial"/>
          <w:kern w:val="2"/>
          <w:sz w:val="24"/>
          <w:szCs w:val="24"/>
        </w:rPr>
        <w:t xml:space="preserve">As set out above, the Government has no intention to infringe on the right to peaceful protest. It is a fundamental right to the UK democracy, and this will not change. However, this is a qualified right, and it does not extend to conduct that infringes on the rights and freedoms of others or causes serious harm. </w:t>
      </w:r>
    </w:p>
    <w:p w:rsidR="003A34AE" w:rsidRPr="00F3544E" w:rsidP="00967D20">
      <w:pPr>
        <w:spacing w:after="160" w:line="278" w:lineRule="auto"/>
        <w:rPr>
          <w:rFonts w:eastAsia="Arial" w:cs="Arial"/>
          <w:kern w:val="2"/>
          <w:sz w:val="24"/>
          <w:szCs w:val="24"/>
        </w:rPr>
      </w:pPr>
      <w:r w:rsidRPr="00F3544E">
        <w:rPr>
          <w:rFonts w:eastAsia="Arial" w:cs="Arial"/>
          <w:kern w:val="2"/>
          <w:sz w:val="24"/>
          <w:szCs w:val="24"/>
        </w:rPr>
        <w:t>Restrictions on protests may be imposed by the police.  Where it is proportionate, the police can take necessary action according to the legal framework set out in the Public Order Act 1986. Under this Act, serious disruption can be understood as including serious public disorder, serious damage to property, or serious disruption to the life of the community. The legislation also provides that serious disruption may arise where noise generated by a protest causes serious disruption to the activities of an o</w:t>
      </w:r>
      <w:r w:rsidRPr="00F3544E">
        <w:rPr>
          <w:rFonts w:eastAsia="Arial" w:cs="Arial"/>
          <w:kern w:val="2"/>
          <w:sz w:val="24"/>
          <w:szCs w:val="24"/>
        </w:rPr>
        <w:t xml:space="preserve">rganisation in the vicinity, or where the purpose of those organising the protest is to intimidate others with a view to affecting their lawful activities. </w:t>
      </w:r>
    </w:p>
    <w:p w:rsidR="003A34AE" w:rsidRPr="00F3544E" w:rsidP="00967D20">
      <w:pPr>
        <w:spacing w:after="160" w:line="278" w:lineRule="auto"/>
        <w:rPr>
          <w:rFonts w:eastAsia="Arial" w:cs="Arial"/>
          <w:kern w:val="2"/>
          <w:sz w:val="24"/>
          <w:szCs w:val="24"/>
        </w:rPr>
      </w:pPr>
      <w:r w:rsidRPr="00F3544E">
        <w:rPr>
          <w:rFonts w:eastAsia="Arial" w:cs="Arial"/>
          <w:kern w:val="2"/>
          <w:sz w:val="24"/>
          <w:szCs w:val="24"/>
        </w:rPr>
        <w:t xml:space="preserve">In applying these powers, the police must assess the specific circumstances of each protest and may impose conditions where necessary to prevent disruption. The police have a duty under section 6 of the Human rights Act 1998 to act compatibly with Convection rights. This also requires police to take account of Articles 10 and 11 of the ECHR to ensure any conditions imposed does not unnecessary interfere with the rights to peaceful protest. </w:t>
      </w:r>
    </w:p>
    <w:p w:rsidR="003A34AE" w:rsidRPr="00F3544E" w:rsidP="00967D20">
      <w:pPr>
        <w:spacing w:after="160" w:line="278" w:lineRule="auto"/>
        <w:rPr>
          <w:rFonts w:eastAsia="Arial" w:cs="Arial"/>
          <w:kern w:val="2"/>
          <w:sz w:val="24"/>
          <w:szCs w:val="24"/>
        </w:rPr>
      </w:pPr>
    </w:p>
    <w:p w:rsidR="003A34AE" w:rsidRPr="00F3544E" w:rsidP="00967D20">
      <w:pPr>
        <w:spacing w:after="160" w:line="278" w:lineRule="auto"/>
        <w:ind w:left="720"/>
        <w:rPr>
          <w:rFonts w:eastAsia="Arial" w:cs="Arial"/>
          <w:b/>
          <w:bCs/>
          <w:kern w:val="2"/>
          <w:sz w:val="24"/>
          <w:szCs w:val="24"/>
        </w:rPr>
      </w:pPr>
      <w:r w:rsidRPr="00F3544E">
        <w:rPr>
          <w:rFonts w:eastAsia="Arial" w:cs="Arial"/>
          <w:b/>
          <w:bCs/>
          <w:kern w:val="2"/>
          <w:sz w:val="24"/>
          <w:szCs w:val="24"/>
        </w:rPr>
        <w:t>7) What issues have been encountered by the police when protecting people from intimidation, harassment and hate at or around protests? Do the law and law enforcement do enough to provide this protection while safeguarding Article 10 and 11 rights for participants and counter protesters? </w:t>
      </w:r>
    </w:p>
    <w:p w:rsidR="003A34AE" w:rsidRPr="00F3544E" w:rsidP="00967D20">
      <w:pPr>
        <w:spacing w:after="160" w:line="278" w:lineRule="auto"/>
        <w:rPr>
          <w:rFonts w:eastAsia="Arial" w:cs="Arial"/>
          <w:kern w:val="2"/>
          <w:sz w:val="24"/>
          <w:szCs w:val="24"/>
        </w:rPr>
      </w:pPr>
      <w:r w:rsidRPr="00F3544E">
        <w:rPr>
          <w:rFonts w:eastAsia="Arial" w:cs="Arial"/>
          <w:kern w:val="2"/>
          <w:sz w:val="24"/>
          <w:szCs w:val="24"/>
        </w:rPr>
        <w:t>As a qualified right, freedom of expression can be restricted in certain situations, including where it is threatening, abusive or insulting and intended to provoke immediate use of violence. Offences set out in sections 4, 4A and 5 of the Public Order Act 1986 enable the police to address this conduct. Use of these offences is a careful balance between protecting individuals from intimidation and hate, while allowing freedom to express lawful views. Recent protests using inflammatory chants and slogans hav</w:t>
      </w:r>
      <w:r w:rsidRPr="00F3544E">
        <w:rPr>
          <w:rFonts w:eastAsia="Arial" w:cs="Arial"/>
          <w:kern w:val="2"/>
          <w:sz w:val="24"/>
          <w:szCs w:val="24"/>
        </w:rPr>
        <w:t>e affected religious communities, particularly Jewish communities, and placed considerable pressure on police to prevent disruption. Lord Macdonald of River Glaven KC’s review will consider whether the existing legislation is fit for purpose and consistently applied by police forces.</w:t>
      </w:r>
    </w:p>
    <w:p w:rsidR="003A34AE" w:rsidRPr="00F3544E" w:rsidP="00967D20">
      <w:pPr>
        <w:spacing w:after="160" w:line="278" w:lineRule="auto"/>
        <w:rPr>
          <w:rFonts w:eastAsia="Arial" w:cs="Arial"/>
          <w:kern w:val="2"/>
          <w:sz w:val="24"/>
          <w:szCs w:val="24"/>
        </w:rPr>
      </w:pPr>
      <w:r w:rsidRPr="00F3544E">
        <w:rPr>
          <w:rFonts w:eastAsia="Arial" w:cs="Arial"/>
          <w:kern w:val="2"/>
          <w:sz w:val="24"/>
          <w:szCs w:val="24"/>
        </w:rPr>
        <w:t>The police have a duty pursuant to section 6 of the Human Rights Act 1998 to act compatibly with convention rights when exercising their powers and duties and to adhere to detailed  guidance in exercising their public order powers. The court must do the same when carrying out its functions, such as around sentencing. These duties provide a safeguard against disproportionate interference with ECHR rights, including Article 10 and 11 rights.</w:t>
      </w:r>
    </w:p>
    <w:p w:rsidR="003A34AE" w:rsidP="00967D20">
      <w:pPr>
        <w:spacing w:after="160" w:line="278" w:lineRule="auto"/>
        <w:rPr>
          <w:rFonts w:eastAsia="Arial" w:cs="Arial"/>
          <w:kern w:val="2"/>
          <w:sz w:val="24"/>
          <w:szCs w:val="24"/>
        </w:rPr>
      </w:pPr>
    </w:p>
    <w:p w:rsidR="003A34AE" w:rsidP="00967D20">
      <w:pPr>
        <w:spacing w:after="160" w:line="278" w:lineRule="auto"/>
        <w:rPr>
          <w:rFonts w:eastAsia="Arial" w:cs="Arial"/>
          <w:kern w:val="2"/>
          <w:sz w:val="24"/>
          <w:szCs w:val="24"/>
        </w:rPr>
      </w:pPr>
    </w:p>
    <w:p w:rsidR="003A34AE" w:rsidRPr="00F3544E" w:rsidP="00967D20">
      <w:pPr>
        <w:spacing w:after="160" w:line="278" w:lineRule="auto"/>
        <w:rPr>
          <w:rFonts w:eastAsia="Arial" w:cs="Arial"/>
          <w:kern w:val="2"/>
          <w:sz w:val="24"/>
          <w:szCs w:val="24"/>
        </w:rPr>
      </w:pPr>
    </w:p>
    <w:p w:rsidR="003A34AE" w:rsidRPr="00F3544E" w:rsidP="00967D20">
      <w:pPr>
        <w:spacing w:after="160" w:line="278" w:lineRule="auto"/>
        <w:ind w:left="720"/>
        <w:rPr>
          <w:rFonts w:eastAsia="Arial" w:cs="Arial"/>
          <w:b/>
          <w:bCs/>
          <w:kern w:val="2"/>
          <w:sz w:val="24"/>
          <w:szCs w:val="24"/>
        </w:rPr>
      </w:pPr>
      <w:r w:rsidRPr="00F3544E">
        <w:rPr>
          <w:rFonts w:eastAsia="Arial" w:cs="Arial"/>
          <w:b/>
          <w:bCs/>
          <w:kern w:val="2"/>
          <w:sz w:val="24"/>
          <w:szCs w:val="24"/>
        </w:rPr>
        <w:t>8) Are the thresholds and processes for proscription of groups concerned in terrorism sufficiently clear? To what extent do offences that concern encouraging support or creating a reasonable suspicion of support for proscribed groups interact with free expression and peaceful assembly? </w:t>
      </w:r>
    </w:p>
    <w:p w:rsidR="003A34AE" w:rsidRPr="00F3544E" w:rsidP="00967D20">
      <w:pPr>
        <w:spacing w:after="80" w:line="278" w:lineRule="auto"/>
        <w:rPr>
          <w:rFonts w:eastAsia="Arial" w:cs="Arial"/>
          <w:kern w:val="2"/>
          <w:sz w:val="24"/>
          <w:szCs w:val="24"/>
        </w:rPr>
      </w:pPr>
      <w:r w:rsidRPr="00F3544E">
        <w:rPr>
          <w:rFonts w:eastAsia="Arial" w:cs="Arial"/>
          <w:color w:val="000000"/>
          <w:kern w:val="2"/>
          <w:sz w:val="24"/>
          <w:szCs w:val="24"/>
        </w:rPr>
        <w:t>The UK’s proscription regime was established through the Terrorism Act (TACT) 2000 and provides a well-established and clear statutory process for outlawing terrorist organisations. As set out under TACT 2000, the Home Secretary may proscribe an organisation if she believes it is concerned in terrorism, and it is proportionate to do. An organisation may be concerned in terrorism if it commits or participates in terrorism, prepares for terrorism, promotes or encourages terrorism, or is otherwise concerned in</w:t>
      </w:r>
      <w:r w:rsidRPr="00F3544E">
        <w:rPr>
          <w:rFonts w:eastAsia="Arial" w:cs="Arial"/>
          <w:color w:val="000000"/>
          <w:kern w:val="2"/>
          <w:sz w:val="24"/>
          <w:szCs w:val="24"/>
        </w:rPr>
        <w:t xml:space="preserve"> terrorism.  Proscription is, rightly, ideologically neutral. It judges an organisation on its actions, and the actions it is willing to deploy in pursuit of its cause.  </w:t>
      </w:r>
    </w:p>
    <w:p w:rsidR="003A34AE" w:rsidRPr="00F3544E" w:rsidP="00967D20">
      <w:pPr>
        <w:spacing w:after="80" w:line="278" w:lineRule="auto"/>
        <w:rPr>
          <w:rFonts w:eastAsia="Arial" w:cs="Arial"/>
          <w:color w:val="000000"/>
          <w:kern w:val="2"/>
          <w:sz w:val="24"/>
          <w:szCs w:val="24"/>
        </w:rPr>
      </w:pPr>
      <w:r w:rsidRPr="00F3544E">
        <w:rPr>
          <w:rFonts w:eastAsia="Arial" w:cs="Arial"/>
          <w:color w:val="000000"/>
          <w:kern w:val="2"/>
          <w:sz w:val="24"/>
          <w:szCs w:val="24"/>
        </w:rPr>
        <w:t xml:space="preserve">Decisions on proscription are not taken lightly. They are informed by a robust evidence-based process, with contributions from a wide range of experts from across government, the police and the Security Service. Any decision to proscribe is taken with great care and following rigorous consideration, as noted by the Independent Reviewer of Terrorism Legislation Jonathan Hall KC in his report on the operation of the Terrorism Acts in 2022.  And of course, any decision to proscribe an organisation </w:t>
      </w:r>
      <w:r w:rsidRPr="00F3544E">
        <w:rPr>
          <w:rFonts w:eastAsia="Arial" w:cs="Arial"/>
          <w:color w:val="000000"/>
          <w:kern w:val="2"/>
          <w:sz w:val="24"/>
          <w:szCs w:val="24"/>
        </w:rPr>
        <w:t>must be agreed by both Houses of Parliament through the affirmative resolution procedure.</w:t>
      </w:r>
    </w:p>
    <w:p w:rsidR="003A34AE" w:rsidRPr="00F3544E" w:rsidP="00967D20">
      <w:pPr>
        <w:spacing w:after="160" w:line="259" w:lineRule="auto"/>
        <w:rPr>
          <w:rFonts w:eastAsia="Arial" w:cs="Arial"/>
          <w:kern w:val="2"/>
          <w:sz w:val="24"/>
          <w:szCs w:val="24"/>
        </w:rPr>
      </w:pPr>
      <w:r w:rsidRPr="00F3544E">
        <w:rPr>
          <w:rFonts w:eastAsia="Arial" w:cs="Arial"/>
          <w:color w:val="000000"/>
          <w:kern w:val="2"/>
          <w:sz w:val="24"/>
          <w:szCs w:val="24"/>
        </w:rPr>
        <w:t>Once an organisation is proscribed, it is a criminal offence to belong to; invite support for; recklessly express support for; or arrange a meeting in support of that organisation. It is also an offence to wear clothing or carry articles in public, or publish an image of clothing or any article, in a way which arouses reasonable suspicion that an individual is a member or supporter of a proscribed organisation. This includes flags and logos.</w:t>
      </w:r>
    </w:p>
    <w:p w:rsidR="003A34AE" w:rsidRPr="00F3544E" w:rsidP="00967D20">
      <w:pPr>
        <w:spacing w:after="80" w:line="278" w:lineRule="auto"/>
        <w:rPr>
          <w:rFonts w:ascii="Aptos" w:eastAsia="Yu Mincho" w:hAnsi="Aptos" w:cs="Arial"/>
          <w:kern w:val="2"/>
          <w:sz w:val="24"/>
          <w:szCs w:val="24"/>
        </w:rPr>
      </w:pPr>
      <w:r w:rsidRPr="00F3544E">
        <w:rPr>
          <w:rFonts w:eastAsia="Arial" w:cs="Arial"/>
          <w:color w:val="000000"/>
          <w:kern w:val="2"/>
          <w:sz w:val="24"/>
          <w:szCs w:val="24"/>
        </w:rPr>
        <w:t xml:space="preserve">The Government is satisfied that the UK’s counter-terrorism legislation strikes the right balance between protecting national security and individual freedoms, including the right to freedom of expression under Article 10 of the European Convention on Human Rights. The framework and its use in practice is subject to important safeguards, including independent, statutory oversight by the Independent Reviewer of Terrorism Legislation.  </w:t>
      </w:r>
    </w:p>
    <w:p w:rsidR="003A34AE" w:rsidRPr="00F3544E" w:rsidP="00967D20">
      <w:pPr>
        <w:spacing w:after="160" w:line="278" w:lineRule="auto"/>
        <w:rPr>
          <w:rFonts w:eastAsia="Arial" w:cs="Arial"/>
          <w:color w:val="000000"/>
          <w:kern w:val="2"/>
          <w:sz w:val="24"/>
          <w:szCs w:val="24"/>
        </w:rPr>
      </w:pPr>
      <w:r w:rsidRPr="00F3544E">
        <w:rPr>
          <w:rFonts w:eastAsia="Arial" w:cs="Arial"/>
          <w:color w:val="000000"/>
          <w:kern w:val="2"/>
          <w:sz w:val="24"/>
          <w:szCs w:val="24"/>
        </w:rPr>
        <w:t>These provisions do not undermine the right to peaceful protest.  An offence under TACT 2000 only takes place when protests are focused on showing support for an organisation that has been proscribed. It is a matter for the operationally independent Police, Crown Prosecution Service and courts to decide if a crime has been committed.</w:t>
      </w:r>
    </w:p>
    <w:p w:rsidR="003A34AE" w:rsidRPr="00F3544E" w:rsidP="00967D20">
      <w:pPr>
        <w:spacing w:after="80" w:line="278" w:lineRule="auto"/>
        <w:rPr>
          <w:rFonts w:eastAsia="Arial" w:cs="Arial"/>
          <w:kern w:val="2"/>
          <w:sz w:val="24"/>
          <w:szCs w:val="24"/>
        </w:rPr>
      </w:pPr>
    </w:p>
    <w:p w:rsidR="003A34AE" w:rsidRPr="00F3544E" w:rsidP="00967D20">
      <w:pPr>
        <w:spacing w:after="160" w:line="278" w:lineRule="auto"/>
        <w:ind w:left="720"/>
        <w:rPr>
          <w:rFonts w:eastAsia="Arial" w:cs="Arial"/>
          <w:b/>
          <w:bCs/>
          <w:kern w:val="2"/>
          <w:sz w:val="24"/>
          <w:szCs w:val="24"/>
        </w:rPr>
      </w:pPr>
      <w:r w:rsidRPr="00F3544E">
        <w:rPr>
          <w:rFonts w:eastAsia="Arial" w:cs="Arial"/>
          <w:b/>
          <w:bCs/>
          <w:kern w:val="2"/>
          <w:sz w:val="24"/>
          <w:szCs w:val="24"/>
        </w:rPr>
        <w:t>9) How is the right to protest recognised and protected during prosecution and trial? Do “reasonable excuse” defences ensure the right to peaceful protest can be taken into account or create unacceptable uncertainty? Should sentencing be affected by a defendant’s involvement in protest?</w:t>
      </w:r>
    </w:p>
    <w:p w:rsidR="003A34AE" w:rsidRPr="00F3544E" w:rsidP="00967D20">
      <w:pPr>
        <w:spacing w:after="160" w:line="278" w:lineRule="auto"/>
        <w:rPr>
          <w:rFonts w:eastAsia="Arial" w:cs="Arial"/>
          <w:kern w:val="2"/>
          <w:sz w:val="24"/>
          <w:szCs w:val="24"/>
          <w:u w:val="single"/>
        </w:rPr>
      </w:pPr>
      <w:r w:rsidRPr="00F3544E">
        <w:rPr>
          <w:rFonts w:eastAsia="Arial" w:cs="Arial"/>
          <w:kern w:val="2"/>
          <w:sz w:val="24"/>
          <w:szCs w:val="24"/>
        </w:rPr>
        <w:t>A reasonable excuse defence enables fact</w:t>
      </w:r>
      <w:r w:rsidRPr="00F3544E">
        <w:rPr>
          <w:rFonts w:ascii="Cambria Math" w:eastAsia="Arial" w:hAnsi="Cambria Math" w:cs="Cambria Math"/>
          <w:kern w:val="2"/>
          <w:sz w:val="24"/>
          <w:szCs w:val="24"/>
        </w:rPr>
        <w:t>‑</w:t>
      </w:r>
      <w:r w:rsidRPr="00F3544E">
        <w:rPr>
          <w:rFonts w:eastAsia="Arial" w:cs="Arial"/>
          <w:kern w:val="2"/>
          <w:sz w:val="24"/>
          <w:szCs w:val="24"/>
        </w:rPr>
        <w:t>specific proportionality review by the court, particularly where Articles 10 and 11 are engaged, and this is deliberate in the design of the legislative framework. It allows ECHR infringements to be considered and balanced against the proscribed conduct by the court.</w:t>
      </w:r>
    </w:p>
    <w:p w:rsidR="003A34AE" w:rsidRPr="00F3544E" w:rsidP="00967D20">
      <w:pPr>
        <w:spacing w:after="160" w:line="278" w:lineRule="auto"/>
        <w:rPr>
          <w:rFonts w:eastAsia="Arial" w:cs="Arial"/>
          <w:kern w:val="2"/>
          <w:sz w:val="24"/>
          <w:szCs w:val="24"/>
        </w:rPr>
      </w:pPr>
      <w:r w:rsidRPr="00F3544E">
        <w:rPr>
          <w:rFonts w:eastAsia="Arial" w:cs="Arial"/>
          <w:kern w:val="2"/>
          <w:sz w:val="24"/>
          <w:szCs w:val="24"/>
        </w:rPr>
        <w:t xml:space="preserve">The Crime and Policing Act 2026 includes various statutory defences, considered to be appropriate in the context of each offence.  The Government is responsible for ensuring that all legislation meets ECHR standards and maintains proportionality and fairness.  However, applying additional statutory defences risks blurring the boundaries of operational independence for both the police and the courts. It is the responsibility of the police to apply the law using intelligence from the pre-engagement stages of </w:t>
      </w:r>
      <w:r w:rsidRPr="00F3544E">
        <w:rPr>
          <w:rFonts w:eastAsia="Arial" w:cs="Arial"/>
          <w:kern w:val="2"/>
          <w:sz w:val="24"/>
          <w:szCs w:val="24"/>
        </w:rPr>
        <w:t>a protest to help determine the most suitable action to take when managing a protest. The current list of statutory defences for each measure aims to preserve an appropriate degree of flexibility to allow the police to balance the need to maintain public order whilst upholding an individual’s right to peaceful protest.</w:t>
      </w:r>
    </w:p>
    <w:p w:rsidR="003A34AE" w:rsidRPr="00F3544E" w:rsidP="00967D20">
      <w:pPr>
        <w:spacing w:after="160" w:line="278" w:lineRule="auto"/>
        <w:rPr>
          <w:rFonts w:eastAsia="Arial" w:cs="Arial"/>
          <w:kern w:val="2"/>
          <w:sz w:val="24"/>
          <w:szCs w:val="24"/>
        </w:rPr>
      </w:pPr>
      <w:r w:rsidRPr="00F3544E">
        <w:rPr>
          <w:rFonts w:eastAsia="Arial" w:cs="Arial"/>
          <w:kern w:val="2"/>
          <w:sz w:val="24"/>
          <w:szCs w:val="24"/>
        </w:rPr>
        <w:t xml:space="preserve">Equally the courts are responsible for independently assessing the facts of a case, determining whether a statutory defence applies, and ensuring that any conviction is fair, proportionate and compatible with human rights. </w:t>
      </w:r>
    </w:p>
    <w:p w:rsidR="003A34AE" w:rsidRPr="00F3544E" w:rsidP="00967D20">
      <w:pPr>
        <w:spacing w:after="160" w:line="278" w:lineRule="auto"/>
        <w:rPr>
          <w:rFonts w:eastAsia="Arial" w:cs="Arial"/>
          <w:kern w:val="2"/>
          <w:sz w:val="24"/>
          <w:szCs w:val="24"/>
        </w:rPr>
      </w:pPr>
    </w:p>
    <w:p w:rsidR="003A34AE" w:rsidRPr="00F3544E" w:rsidP="00967D20">
      <w:pPr>
        <w:spacing w:after="160" w:line="278" w:lineRule="auto"/>
        <w:rPr>
          <w:rFonts w:eastAsia="Arial" w:cs="Arial"/>
          <w:b/>
          <w:bCs/>
          <w:kern w:val="2"/>
          <w:sz w:val="24"/>
          <w:szCs w:val="24"/>
          <w:u w:val="single"/>
        </w:rPr>
      </w:pPr>
      <w:r w:rsidRPr="00F3544E">
        <w:rPr>
          <w:rFonts w:eastAsia="Arial" w:cs="Arial"/>
          <w:b/>
          <w:bCs/>
          <w:kern w:val="2"/>
          <w:sz w:val="24"/>
          <w:szCs w:val="24"/>
          <w:u w:val="single"/>
        </w:rPr>
        <w:t>Surveillance</w:t>
      </w:r>
    </w:p>
    <w:p w:rsidR="003A34AE" w:rsidRPr="00F3544E" w:rsidP="00967D20">
      <w:pPr>
        <w:spacing w:after="160" w:line="278" w:lineRule="auto"/>
        <w:ind w:left="720"/>
        <w:rPr>
          <w:rFonts w:eastAsia="Arial" w:cs="Arial"/>
          <w:b/>
          <w:bCs/>
          <w:kern w:val="2"/>
          <w:sz w:val="24"/>
          <w:szCs w:val="24"/>
        </w:rPr>
      </w:pPr>
      <w:r w:rsidRPr="00F3544E">
        <w:rPr>
          <w:rFonts w:eastAsia="Arial" w:cs="Arial"/>
          <w:b/>
          <w:bCs/>
          <w:kern w:val="2"/>
          <w:sz w:val="24"/>
          <w:szCs w:val="24"/>
        </w:rPr>
        <w:t>10) How important is police surveillance of protestors in ensuring public safety? How does it affect engagement in protest and comply with the right to respect for private life?</w:t>
      </w:r>
    </w:p>
    <w:p w:rsidR="003A34AE" w:rsidRPr="00F3544E" w:rsidP="00967D20">
      <w:pPr>
        <w:spacing w:after="160" w:line="278" w:lineRule="auto"/>
        <w:ind w:left="720"/>
        <w:rPr>
          <w:rFonts w:eastAsia="Arial" w:cs="Arial"/>
          <w:b/>
          <w:bCs/>
          <w:kern w:val="2"/>
          <w:sz w:val="24"/>
          <w:szCs w:val="24"/>
        </w:rPr>
      </w:pPr>
      <w:r w:rsidRPr="00F3544E">
        <w:rPr>
          <w:rFonts w:eastAsia="Arial" w:cs="Arial"/>
          <w:b/>
          <w:bCs/>
          <w:kern w:val="2"/>
          <w:sz w:val="24"/>
          <w:szCs w:val="24"/>
        </w:rPr>
        <w:t>11) The Government is currently consulting on “a new legal framework for law enforcement use of biometrics, facial recognition and similar technologies”. Does the use of these technologies in respect of protest raise distinct human rights concerns and how best can they be addressed?</w:t>
      </w:r>
    </w:p>
    <w:p w:rsidR="003A34AE" w:rsidRPr="00F3544E" w:rsidP="00967D20">
      <w:pPr>
        <w:spacing w:after="160" w:line="278" w:lineRule="auto"/>
        <w:rPr>
          <w:rFonts w:eastAsia="Arial" w:cs="Arial"/>
          <w:color w:val="000000"/>
          <w:kern w:val="2"/>
          <w:sz w:val="24"/>
          <w:szCs w:val="24"/>
        </w:rPr>
      </w:pPr>
      <w:r w:rsidRPr="00F3544E">
        <w:rPr>
          <w:rFonts w:eastAsia="Arial" w:cs="Arial"/>
          <w:color w:val="000000"/>
          <w:kern w:val="2"/>
          <w:sz w:val="24"/>
          <w:szCs w:val="24"/>
        </w:rPr>
        <w:t>The Government recognises that facial recognition and similar technologies have the potential to interfere with other rights, such as the right to freedom of expression and the right to freedom of peaceful assembly. These rights may be engaged if facial recognition were to be used at a protest or other public gathering, or in relation to video footage obtained at such a gathering. In these cases, it is essential to ensure that any interference can be justified and is proportionate to the objective being sou</w:t>
      </w:r>
      <w:r w:rsidRPr="00F3544E">
        <w:rPr>
          <w:rFonts w:eastAsia="Arial" w:cs="Arial"/>
          <w:color w:val="000000"/>
          <w:kern w:val="2"/>
          <w:sz w:val="24"/>
          <w:szCs w:val="24"/>
        </w:rPr>
        <w:t>ght. The Home Office has published a guide on the different types of facial recognition technology, how it is used by police, and the existing legal framework governing its use.</w:t>
      </w:r>
      <w:r>
        <w:rPr>
          <w:rFonts w:eastAsia="Arial" w:cs="Arial"/>
          <w:color w:val="000000"/>
          <w:kern w:val="2"/>
          <w:sz w:val="24"/>
          <w:szCs w:val="24"/>
          <w:vertAlign w:val="superscript"/>
        </w:rPr>
        <w:footnoteReference w:id="2"/>
      </w:r>
      <w:r w:rsidRPr="00F3544E">
        <w:rPr>
          <w:rFonts w:eastAsia="Arial" w:cs="Arial"/>
          <w:color w:val="000000"/>
          <w:kern w:val="2"/>
          <w:sz w:val="24"/>
          <w:szCs w:val="24"/>
        </w:rPr>
        <w:t xml:space="preserve"> </w:t>
      </w:r>
    </w:p>
    <w:p w:rsidR="003A34AE" w:rsidRPr="00F3544E" w:rsidP="00967D20">
      <w:pPr>
        <w:spacing w:after="160" w:line="278" w:lineRule="auto"/>
        <w:rPr>
          <w:rFonts w:eastAsia="Arial" w:cs="Arial"/>
          <w:color w:val="000000"/>
          <w:kern w:val="2"/>
          <w:sz w:val="24"/>
          <w:szCs w:val="24"/>
        </w:rPr>
      </w:pPr>
      <w:r w:rsidRPr="00F3544E">
        <w:rPr>
          <w:rFonts w:eastAsia="Arial" w:cs="Arial"/>
          <w:color w:val="000000"/>
          <w:kern w:val="2"/>
          <w:sz w:val="24"/>
          <w:szCs w:val="24"/>
        </w:rPr>
        <w:t xml:space="preserve">There is an established legal framework governing police use of facial recognition, which derives from data protection, equality and human rights legislation, as well as the police’s common law powers and published guidance. Furthermore, any deployment of facial recognition technology must be in accordance with the law and comply with the European Convention on Human Rights, including the requirement that any interference with rights is necessary and proportionate. </w:t>
      </w:r>
    </w:p>
    <w:p w:rsidR="003A34AE" w:rsidRPr="00F3544E" w:rsidP="00967D20">
      <w:pPr>
        <w:spacing w:after="160" w:line="278" w:lineRule="auto"/>
        <w:rPr>
          <w:rFonts w:eastAsia="Arial" w:cs="Arial"/>
          <w:color w:val="000000"/>
          <w:kern w:val="2"/>
          <w:sz w:val="24"/>
          <w:szCs w:val="24"/>
        </w:rPr>
      </w:pPr>
      <w:r w:rsidRPr="00F3544E">
        <w:rPr>
          <w:rFonts w:eastAsia="Arial" w:cs="Arial"/>
          <w:color w:val="000000"/>
          <w:kern w:val="2"/>
          <w:sz w:val="24"/>
          <w:szCs w:val="24"/>
        </w:rPr>
        <w:t>The Government is focused on enabling more police forces to safely expand their use of facial recognition. However, the Government recognises the need for greater clarity and public confidence as the police make use of new and emerging technologies. As the committee noted, a public consultation on law enforcement use of biometrics, facial recognition and similar technologies has been launched, seeking views on the adequacy of the existing framework, current oversight arrangements and the safeguards that sho</w:t>
      </w:r>
      <w:r w:rsidRPr="00F3544E">
        <w:rPr>
          <w:rFonts w:eastAsia="Arial" w:cs="Arial"/>
          <w:color w:val="000000"/>
          <w:kern w:val="2"/>
          <w:sz w:val="24"/>
          <w:szCs w:val="24"/>
        </w:rPr>
        <w:t xml:space="preserve">uld apply to future use. This recognised that police use of facial recognition and similar technologies interferes with other rights of the public including the right to freedom of expression and freedom of assembly. The </w:t>
      </w:r>
      <w:r w:rsidRPr="00F3544E">
        <w:rPr>
          <w:rFonts w:eastAsia="Arial" w:cs="Arial"/>
          <w:color w:val="000000"/>
          <w:kern w:val="2"/>
          <w:sz w:val="24"/>
          <w:szCs w:val="24"/>
        </w:rPr>
        <w:t xml:space="preserve">consultation closed on 12 February 2026, and the Home Office is analysing the responses. </w:t>
      </w:r>
    </w:p>
    <w:p w:rsidR="003A34AE" w:rsidRPr="00F3544E" w:rsidP="00967D20">
      <w:pPr>
        <w:spacing w:line="240" w:lineRule="auto"/>
        <w:rPr>
          <w:rFonts w:eastAsia="Arial" w:cs="Arial"/>
          <w:color w:val="000000"/>
          <w:kern w:val="2"/>
          <w:sz w:val="24"/>
          <w:szCs w:val="24"/>
        </w:rPr>
      </w:pPr>
    </w:p>
    <w:p w:rsidR="003A34AE" w:rsidRPr="00F3544E" w:rsidP="00967D20">
      <w:pPr>
        <w:spacing w:after="160" w:line="278" w:lineRule="auto"/>
        <w:rPr>
          <w:rFonts w:eastAsia="Arial" w:cs="Arial"/>
          <w:color w:val="000000"/>
          <w:kern w:val="2"/>
          <w:sz w:val="24"/>
          <w:szCs w:val="24"/>
        </w:rPr>
      </w:pPr>
      <w:r w:rsidRPr="00F3544E">
        <w:rPr>
          <w:rFonts w:eastAsia="Arial" w:cs="Arial"/>
          <w:color w:val="000000"/>
          <w:kern w:val="2"/>
          <w:sz w:val="24"/>
          <w:szCs w:val="24"/>
        </w:rPr>
        <w:t>The consultation responses will inform the new legal framework, which will be introduced to Parliament when parliamentary time allows. Through this framework we will balance the need to respect and preserve individual human rights - ensuring facial recognition can only be used when demonstrably necessary and proportionate - with the rights of the public to be safe in their communities. The framework will set out clear expectations on how the police must demonstrate necessity and proportionality, alongside r</w:t>
      </w:r>
      <w:r w:rsidRPr="00F3544E">
        <w:rPr>
          <w:rFonts w:eastAsia="Arial" w:cs="Arial"/>
          <w:color w:val="000000"/>
          <w:kern w:val="2"/>
          <w:sz w:val="24"/>
          <w:szCs w:val="24"/>
        </w:rPr>
        <w:t>obust safeguards and independent oversight.</w:t>
      </w:r>
    </w:p>
    <w:p w:rsidR="003A34AE" w:rsidRPr="00F3544E" w:rsidP="00967D20">
      <w:pPr>
        <w:spacing w:after="160" w:line="278" w:lineRule="auto"/>
        <w:rPr>
          <w:rFonts w:eastAsia="Arial" w:cs="Arial"/>
          <w:b/>
          <w:bCs/>
          <w:kern w:val="2"/>
          <w:sz w:val="24"/>
          <w:szCs w:val="24"/>
        </w:rPr>
      </w:pPr>
    </w:p>
    <w:p w:rsidR="003A34AE" w:rsidRPr="00F3544E" w:rsidP="00967D20">
      <w:pPr>
        <w:spacing w:after="160" w:line="278" w:lineRule="auto"/>
        <w:rPr>
          <w:rFonts w:eastAsia="Arial" w:cs="Arial"/>
          <w:b/>
          <w:kern w:val="2"/>
          <w:sz w:val="24"/>
          <w:szCs w:val="24"/>
        </w:rPr>
      </w:pPr>
      <w:r w:rsidRPr="00F3544E">
        <w:rPr>
          <w:rFonts w:eastAsia="Arial" w:cs="Arial"/>
          <w:b/>
          <w:kern w:val="2"/>
          <w:sz w:val="24"/>
          <w:szCs w:val="24"/>
        </w:rPr>
        <w:t xml:space="preserve">Public Scrutiny </w:t>
      </w:r>
    </w:p>
    <w:p w:rsidR="003A34AE" w:rsidRPr="00F3544E" w:rsidP="00967D20">
      <w:pPr>
        <w:spacing w:after="160" w:line="278" w:lineRule="auto"/>
        <w:ind w:left="720"/>
        <w:rPr>
          <w:rFonts w:eastAsia="Arial" w:cs="Arial"/>
          <w:b/>
          <w:bCs/>
          <w:kern w:val="2"/>
          <w:sz w:val="24"/>
          <w:szCs w:val="24"/>
        </w:rPr>
      </w:pPr>
      <w:r w:rsidRPr="00F3544E">
        <w:rPr>
          <w:rFonts w:eastAsia="Arial" w:cs="Arial"/>
          <w:b/>
          <w:kern w:val="2"/>
          <w:sz w:val="24"/>
          <w:szCs w:val="24"/>
        </w:rPr>
        <w:t>12) The Home Office recently published statistics on the use of police powers to impose conditions on protests under sections 12, 14 and 14ZA of the Public Order Act 1986. How useful is the available data on police powers and protest collected and published by the government?</w:t>
      </w:r>
    </w:p>
    <w:p w:rsidR="003A34AE" w:rsidRPr="00F3544E" w:rsidP="00967D20">
      <w:pPr>
        <w:spacing w:after="160" w:line="278" w:lineRule="auto"/>
        <w:ind w:left="720"/>
        <w:rPr>
          <w:rFonts w:eastAsia="Arial" w:cs="Arial"/>
          <w:b/>
          <w:kern w:val="2"/>
          <w:sz w:val="24"/>
          <w:szCs w:val="24"/>
        </w:rPr>
      </w:pPr>
      <w:r w:rsidRPr="00F3544E">
        <w:rPr>
          <w:rFonts w:eastAsia="Arial" w:cs="Arial"/>
          <w:b/>
          <w:kern w:val="2"/>
          <w:sz w:val="24"/>
          <w:szCs w:val="24"/>
        </w:rPr>
        <w:t>13) What data on the policing of protest should be collected and made public (for example use of specific powers, arrests, use of individual data, equality impacts) to enable effective scrutiny?</w:t>
      </w:r>
    </w:p>
    <w:p w:rsidR="003A34AE" w:rsidRPr="00F3544E" w:rsidP="00967D20">
      <w:pPr>
        <w:spacing w:after="160" w:line="278" w:lineRule="auto"/>
        <w:rPr>
          <w:rFonts w:eastAsia="Arial" w:cs="Arial"/>
          <w:kern w:val="2"/>
          <w:sz w:val="24"/>
          <w:szCs w:val="24"/>
        </w:rPr>
      </w:pPr>
      <w:r w:rsidRPr="00F3544E">
        <w:rPr>
          <w:rFonts w:eastAsia="Arial" w:cs="Arial"/>
          <w:kern w:val="2"/>
          <w:sz w:val="24"/>
          <w:szCs w:val="24"/>
        </w:rPr>
        <w:t>The Home Office published statistics on the use of police protest powers in February.</w:t>
      </w:r>
      <w:r>
        <w:rPr>
          <w:rFonts w:eastAsia="Arial" w:cs="Arial"/>
          <w:kern w:val="2"/>
          <w:sz w:val="24"/>
          <w:szCs w:val="24"/>
          <w:vertAlign w:val="superscript"/>
        </w:rPr>
        <w:footnoteReference w:id="3"/>
      </w:r>
      <w:r w:rsidRPr="00F3544E">
        <w:rPr>
          <w:rFonts w:eastAsia="Arial" w:cs="Arial"/>
          <w:kern w:val="2"/>
          <w:sz w:val="24"/>
          <w:szCs w:val="24"/>
        </w:rPr>
        <w:t xml:space="preserve">  The most recent published statistics cover the period from 22 June 2022 to 31 March 2025, and include details on:</w:t>
      </w:r>
    </w:p>
    <w:p w:rsidR="003A34AE" w:rsidRPr="00F3544E" w:rsidP="00967D20">
      <w:pPr>
        <w:numPr>
          <w:ilvl w:val="0"/>
          <w:numId w:val="1"/>
        </w:numPr>
        <w:spacing w:after="160" w:line="278" w:lineRule="auto"/>
        <w:contextualSpacing/>
        <w:rPr>
          <w:rFonts w:eastAsia="Arial" w:cs="Arial"/>
          <w:kern w:val="2"/>
          <w:sz w:val="24"/>
          <w:szCs w:val="24"/>
        </w:rPr>
      </w:pPr>
      <w:r w:rsidRPr="00F3544E">
        <w:rPr>
          <w:rFonts w:eastAsia="Arial" w:cs="Arial"/>
          <w:kern w:val="2"/>
          <w:sz w:val="24"/>
          <w:szCs w:val="24"/>
        </w:rPr>
        <w:t>The number of times the section 12, 14 and 14ZA powers have been used by each police force, and how usage has changed over time</w:t>
      </w:r>
    </w:p>
    <w:p w:rsidR="003A34AE" w:rsidRPr="00F3544E" w:rsidP="00967D20">
      <w:pPr>
        <w:numPr>
          <w:ilvl w:val="0"/>
          <w:numId w:val="1"/>
        </w:numPr>
        <w:spacing w:after="160" w:line="278" w:lineRule="auto"/>
        <w:contextualSpacing/>
        <w:rPr>
          <w:rFonts w:eastAsia="Arial" w:cs="Arial"/>
          <w:kern w:val="2"/>
          <w:sz w:val="24"/>
          <w:szCs w:val="24"/>
        </w:rPr>
      </w:pPr>
      <w:r w:rsidRPr="00F3544E">
        <w:rPr>
          <w:rFonts w:eastAsia="Arial" w:cs="Arial"/>
          <w:kern w:val="2"/>
          <w:sz w:val="24"/>
          <w:szCs w:val="24"/>
        </w:rPr>
        <w:t>The reasons why powers were used</w:t>
      </w:r>
    </w:p>
    <w:p w:rsidR="003A34AE" w:rsidRPr="00F3544E" w:rsidP="00967D20">
      <w:pPr>
        <w:numPr>
          <w:ilvl w:val="0"/>
          <w:numId w:val="1"/>
        </w:numPr>
        <w:spacing w:after="160" w:line="278" w:lineRule="auto"/>
        <w:contextualSpacing/>
        <w:rPr>
          <w:rFonts w:eastAsia="Arial" w:cs="Arial"/>
          <w:kern w:val="2"/>
          <w:sz w:val="24"/>
          <w:szCs w:val="24"/>
        </w:rPr>
      </w:pPr>
      <w:r w:rsidRPr="00F3544E">
        <w:rPr>
          <w:rFonts w:eastAsia="Arial" w:cs="Arial"/>
          <w:kern w:val="2"/>
          <w:sz w:val="24"/>
          <w:szCs w:val="24"/>
        </w:rPr>
        <w:t>The themes of protests for which powers were used</w:t>
      </w:r>
    </w:p>
    <w:p w:rsidR="003A34AE" w:rsidRPr="00F3544E" w:rsidP="00967D20">
      <w:pPr>
        <w:numPr>
          <w:ilvl w:val="0"/>
          <w:numId w:val="1"/>
        </w:numPr>
        <w:spacing w:after="160" w:line="278" w:lineRule="auto"/>
        <w:contextualSpacing/>
        <w:rPr>
          <w:rFonts w:eastAsia="Arial" w:cs="Arial"/>
          <w:kern w:val="2"/>
          <w:sz w:val="24"/>
          <w:szCs w:val="24"/>
        </w:rPr>
      </w:pPr>
      <w:r w:rsidRPr="00F3544E">
        <w:rPr>
          <w:rFonts w:eastAsia="Arial" w:cs="Arial"/>
          <w:kern w:val="2"/>
          <w:sz w:val="24"/>
          <w:szCs w:val="24"/>
        </w:rPr>
        <w:t>The conditions put in place on protests</w:t>
      </w:r>
    </w:p>
    <w:p w:rsidR="003A34AE" w:rsidRPr="00F3544E" w:rsidP="00967D20">
      <w:pPr>
        <w:numPr>
          <w:ilvl w:val="0"/>
          <w:numId w:val="1"/>
        </w:numPr>
        <w:spacing w:after="160" w:line="278" w:lineRule="auto"/>
        <w:contextualSpacing/>
        <w:rPr>
          <w:rFonts w:eastAsia="Arial" w:cs="Arial"/>
          <w:kern w:val="2"/>
          <w:sz w:val="24"/>
          <w:szCs w:val="24"/>
        </w:rPr>
      </w:pPr>
      <w:r w:rsidRPr="00F3544E">
        <w:rPr>
          <w:rFonts w:eastAsia="Arial" w:cs="Arial"/>
          <w:kern w:val="2"/>
          <w:sz w:val="24"/>
          <w:szCs w:val="24"/>
        </w:rPr>
        <w:t>The number of people arrested for breaching conditions imposed on protests, including details of their age, sex and ethnicity</w:t>
      </w:r>
    </w:p>
    <w:p w:rsidR="003A34AE" w:rsidP="00967D20">
      <w:pPr>
        <w:spacing w:after="160" w:line="278" w:lineRule="auto"/>
        <w:rPr>
          <w:rFonts w:eastAsia="Arial" w:cs="Arial"/>
          <w:kern w:val="2"/>
          <w:sz w:val="24"/>
          <w:szCs w:val="24"/>
        </w:rPr>
      </w:pPr>
    </w:p>
    <w:p w:rsidR="003A34AE" w:rsidRPr="00F3544E" w:rsidP="00967D20">
      <w:pPr>
        <w:spacing w:after="160" w:line="278" w:lineRule="auto"/>
        <w:rPr>
          <w:rFonts w:eastAsia="Arial" w:cs="Arial"/>
          <w:bCs/>
          <w:kern w:val="2"/>
          <w:sz w:val="24"/>
          <w:szCs w:val="24"/>
        </w:rPr>
      </w:pPr>
      <w:r w:rsidRPr="00F3544E">
        <w:rPr>
          <w:rFonts w:eastAsia="Arial" w:cs="Arial"/>
          <w:kern w:val="2"/>
          <w:sz w:val="24"/>
          <w:szCs w:val="24"/>
        </w:rPr>
        <w:t>Section 79(2) of the Police, Crime, Sentencing and Courts Act 2022 placed a requirement on the Home Secretary to lay in Parliament a report on the use of these powers. That obligation was fulfilled by a report published in December 2024,</w:t>
      </w:r>
      <w:r>
        <w:rPr>
          <w:rFonts w:eastAsia="Arial" w:cs="Arial"/>
          <w:kern w:val="2"/>
          <w:sz w:val="24"/>
          <w:szCs w:val="24"/>
          <w:vertAlign w:val="superscript"/>
        </w:rPr>
        <w:footnoteReference w:id="4"/>
      </w:r>
      <w:r w:rsidRPr="00F3544E">
        <w:rPr>
          <w:rFonts w:eastAsia="Arial" w:cs="Arial"/>
          <w:kern w:val="2"/>
          <w:sz w:val="24"/>
          <w:szCs w:val="24"/>
        </w:rPr>
        <w:t xml:space="preserve"> and the Home Office has continued to collect and publish the data. The statistics </w:t>
      </w:r>
      <w:r w:rsidRPr="00F3544E">
        <w:rPr>
          <w:rFonts w:eastAsia="Arial" w:cs="Arial"/>
          <w:bCs/>
          <w:kern w:val="2"/>
          <w:sz w:val="24"/>
          <w:szCs w:val="24"/>
        </w:rPr>
        <w:t xml:space="preserve">provide information about the use of these powers and support transparency. Recently the Home Office has used the statistics in the development of amendments to sections </w:t>
      </w:r>
      <w:r w:rsidRPr="00F3544E">
        <w:rPr>
          <w:rFonts w:eastAsia="Arial" w:cs="Arial"/>
          <w:bCs/>
          <w:kern w:val="2"/>
          <w:sz w:val="24"/>
          <w:szCs w:val="24"/>
        </w:rPr>
        <w:t xml:space="preserve">12 and 14 of the Public Order Act 1986 made through the Crime and Policing Act 2026, in particular the provisions on cumulative disruption and places of worship. </w:t>
      </w:r>
    </w:p>
    <w:p w:rsidR="003A34AE" w:rsidRPr="00F3544E" w:rsidP="00967D20">
      <w:pPr>
        <w:spacing w:after="160" w:line="278" w:lineRule="auto"/>
        <w:rPr>
          <w:rFonts w:eastAsia="Arial" w:cs="Arial"/>
          <w:kern w:val="2"/>
          <w:sz w:val="24"/>
          <w:szCs w:val="24"/>
        </w:rPr>
      </w:pPr>
      <w:r w:rsidRPr="00F3544E">
        <w:rPr>
          <w:rFonts w:eastAsia="Arial" w:cs="Arial"/>
          <w:kern w:val="2"/>
          <w:sz w:val="24"/>
          <w:szCs w:val="24"/>
        </w:rPr>
        <w:t>The statistics are labelled as ‘Official statistics in development’ to indicate they are new, and further development is ongoing. The Home Office is engaging with users of the statistics to gather feedback and improve the content of the publication.  That analysis will be helpful in understanding whether there is more that could be done to ensure the data collected allows for effective scrutiny.</w:t>
      </w:r>
    </w:p>
    <w:p w:rsidR="00E213B1" w:rsidRPr="00E213B1">
      <w:pPr>
        <w:rPr>
          <w:rFonts w:ascii="Calibri" w:hAnsi="Calibri" w:cs="Calibri"/>
          <w:b/>
          <w:bCs/>
          <w:i/>
          <w:iCs/>
          <w:sz w:val="24"/>
          <w:szCs w:val="24"/>
        </w:rPr>
      </w:pPr>
      <w:r w:rsidRPr="00E213B1">
        <w:rPr>
          <w:rFonts w:ascii="Calibri" w:hAnsi="Calibri" w:cs="Calibri"/>
          <w:b/>
          <w:bCs/>
          <w:i/>
          <w:iCs/>
          <w:sz w:val="24"/>
          <w:szCs w:val="24"/>
        </w:rPr>
        <w:t>(May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A34AE" w:rsidP="00967D20">
      <w:pPr>
        <w:spacing w:line="240" w:lineRule="auto"/>
      </w:pPr>
      <w:r>
        <w:separator/>
      </w:r>
    </w:p>
  </w:footnote>
  <w:footnote w:type="continuationSeparator" w:id="1">
    <w:p w:rsidR="003A34AE" w:rsidP="00967D20">
      <w:pPr>
        <w:spacing w:line="240" w:lineRule="auto"/>
      </w:pPr>
      <w:r>
        <w:continuationSeparator/>
      </w:r>
    </w:p>
  </w:footnote>
  <w:footnote w:id="2">
    <w:p w:rsidR="003A34AE" w:rsidP="00967D20">
      <w:pPr>
        <w:pStyle w:val="FootnoteText"/>
      </w:pPr>
      <w:r>
        <w:rPr>
          <w:rStyle w:val="FootnoteReference"/>
        </w:rPr>
        <w:footnoteRef/>
      </w:r>
      <w:r>
        <w:t xml:space="preserve"> </w:t>
      </w:r>
      <w:r>
        <w:fldChar w:fldCharType="begin"/>
      </w:r>
      <w:r>
        <w:instrText xml:space="preserve"> HYPERLINK "https://www.gov.uk/government/publications/police-use-of-facial-recognition" </w:instrText>
      </w:r>
      <w:r>
        <w:fldChar w:fldCharType="separate"/>
      </w:r>
      <w:r w:rsidRPr="00F22B60">
        <w:rPr>
          <w:rFonts w:ascii="Arial" w:eastAsia="Times New Roman" w:hAnsi="Arial" w:cs="Times New Roman"/>
          <w:color w:val="0000FF"/>
          <w:kern w:val="0"/>
          <w:sz w:val="22"/>
          <w:u w:val="single"/>
        </w:rPr>
        <w:t>Police use of facial recognition - GOV.UK</w:t>
      </w:r>
      <w:r>
        <w:fldChar w:fldCharType="end"/>
      </w:r>
    </w:p>
  </w:footnote>
  <w:footnote w:id="3">
    <w:p w:rsidR="003A34AE" w:rsidP="00967D20">
      <w:pPr>
        <w:pStyle w:val="FootnoteText"/>
      </w:pPr>
      <w:r>
        <w:rPr>
          <w:rStyle w:val="FootnoteReference"/>
        </w:rPr>
        <w:footnoteRef/>
      </w:r>
      <w:r>
        <w:t xml:space="preserve"> </w:t>
      </w:r>
      <w:r>
        <w:fldChar w:fldCharType="begin"/>
      </w:r>
      <w:r>
        <w:instrText xml:space="preserve"> HYPERLINK "https://www.gov.uk/government/statistics/police-protest-powers-june-2022-to-march-2025/police-protest-powers-june-2022-to-march-2025" </w:instrText>
      </w:r>
      <w:r>
        <w:fldChar w:fldCharType="separate"/>
      </w:r>
      <w:r w:rsidRPr="008F1D6D">
        <w:rPr>
          <w:color w:val="0000FF"/>
          <w:sz w:val="24"/>
          <w:szCs w:val="24"/>
          <w:u w:val="single"/>
        </w:rPr>
        <w:t>Police protest powers, June 2022 to March 2025 - GOV.UK</w:t>
      </w:r>
      <w:r>
        <w:fldChar w:fldCharType="end"/>
      </w:r>
    </w:p>
  </w:footnote>
  <w:footnote w:id="4">
    <w:p w:rsidR="003A34AE" w:rsidP="00967D20">
      <w:pPr>
        <w:pStyle w:val="FootnoteText"/>
      </w:pPr>
      <w:r>
        <w:rPr>
          <w:rStyle w:val="FootnoteReference"/>
        </w:rPr>
        <w:footnoteRef/>
      </w:r>
      <w:r>
        <w:t xml:space="preserve"> </w:t>
      </w:r>
      <w:r>
        <w:fldChar w:fldCharType="begin"/>
      </w:r>
      <w:r>
        <w:instrText xml:space="preserve"> HYPERLINK "C:\\Users\\Dawsona\\Downloads\\Police protest powers, June 2022 to March 2024 - GOV.UK (1).pdf" </w:instrText>
      </w:r>
      <w:r>
        <w:fldChar w:fldCharType="separate"/>
      </w:r>
      <w:r w:rsidRPr="00982944">
        <w:rPr>
          <w:color w:val="0000FF"/>
          <w:sz w:val="24"/>
          <w:szCs w:val="24"/>
          <w:u w:val="single"/>
        </w:rPr>
        <w:t>Police protest powers, June 2022 to March 2024 - GOV.UK (1).pdf</w:t>
      </w:r>
      <w: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4FCE356"/>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7AEE5292"/>
    <w:multiLevelType w:val="hybridMultilevel"/>
    <w:tmpl w:val="1478B77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67D20"/>
    <w:pPr>
      <w:spacing w:after="0" w:line="280" w:lineRule="exact"/>
    </w:pPr>
    <w:rPr>
      <w:rFonts w:ascii="Arial" w:eastAsia="Times New Roman" w:hAnsi="Arial" w:cs="Times New Roman"/>
      <w:kern w:val="0"/>
      <w:szCs w:val="20"/>
      <w:lang w:eastAsia="en-GB"/>
    </w:rPr>
  </w:style>
  <w:style w:type="paragraph" w:styleId="Heading1">
    <w:name w:val="heading 1"/>
    <w:basedOn w:val="Normal"/>
    <w:next w:val="Normal"/>
    <w:link w:val="Heading1Char"/>
    <w:uiPriority w:val="9"/>
    <w:qFormat/>
    <w:rsid w:val="00967D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7D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7D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7D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7D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7D2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7D2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7D2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7D2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7D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7D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7D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7D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7D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7D20"/>
    <w:rPr>
      <w:rFonts w:ascii="Arial" w:hAnsi="Arial" w:eastAsiaTheme="majorEastAsia" w:cstheme="majorBidi"/>
      <w:i/>
      <w:iCs/>
      <w:color w:val="595959" w:themeColor="text1" w:themeTint="A6"/>
      <w:kern w:val="0"/>
      <w:szCs w:val="20"/>
      <w:lang w:eastAsia="en-GB"/>
    </w:rPr>
  </w:style>
  <w:style w:type="character" w:customStyle="1" w:styleId="Heading7Char">
    <w:name w:val="Heading 7 Char"/>
    <w:basedOn w:val="DefaultParagraphFont"/>
    <w:link w:val="Heading7"/>
    <w:uiPriority w:val="9"/>
    <w:semiHidden/>
    <w:rsid w:val="00967D20"/>
    <w:rPr>
      <w:rFonts w:ascii="Arial" w:hAnsi="Arial" w:eastAsiaTheme="majorEastAsia" w:cstheme="majorBidi"/>
      <w:color w:val="595959" w:themeColor="text1" w:themeTint="A6"/>
      <w:kern w:val="0"/>
      <w:szCs w:val="20"/>
      <w:lang w:eastAsia="en-GB"/>
    </w:rPr>
  </w:style>
  <w:style w:type="character" w:customStyle="1" w:styleId="Heading8Char">
    <w:name w:val="Heading 8 Char"/>
    <w:basedOn w:val="DefaultParagraphFont"/>
    <w:link w:val="Heading8"/>
    <w:uiPriority w:val="9"/>
    <w:semiHidden/>
    <w:rsid w:val="00967D20"/>
    <w:rPr>
      <w:rFonts w:ascii="Arial" w:hAnsi="Arial" w:eastAsiaTheme="majorEastAsia" w:cstheme="majorBidi"/>
      <w:i/>
      <w:iCs/>
      <w:color w:val="272727" w:themeColor="text1" w:themeTint="D8"/>
      <w:kern w:val="0"/>
      <w:szCs w:val="20"/>
      <w:lang w:eastAsia="en-GB"/>
    </w:rPr>
  </w:style>
  <w:style w:type="character" w:customStyle="1" w:styleId="Heading9Char">
    <w:name w:val="Heading 9 Char"/>
    <w:basedOn w:val="DefaultParagraphFont"/>
    <w:link w:val="Heading9"/>
    <w:uiPriority w:val="9"/>
    <w:semiHidden/>
    <w:rsid w:val="00967D20"/>
    <w:rPr>
      <w:rFonts w:ascii="Arial" w:hAnsi="Arial" w:eastAsiaTheme="majorEastAsia" w:cstheme="majorBidi"/>
      <w:color w:val="272727" w:themeColor="text1" w:themeTint="D8"/>
      <w:kern w:val="0"/>
      <w:szCs w:val="20"/>
      <w:lang w:eastAsia="en-GB"/>
    </w:rPr>
  </w:style>
  <w:style w:type="paragraph" w:styleId="Title">
    <w:name w:val="Title"/>
    <w:basedOn w:val="Normal"/>
    <w:next w:val="Normal"/>
    <w:link w:val="TitleChar"/>
    <w:uiPriority w:val="10"/>
    <w:qFormat/>
    <w:rsid w:val="00967D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7D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7D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7D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7D20"/>
    <w:pPr>
      <w:spacing w:before="160"/>
      <w:jc w:val="center"/>
    </w:pPr>
    <w:rPr>
      <w:i/>
      <w:iCs/>
      <w:color w:val="404040" w:themeColor="text1" w:themeTint="BF"/>
    </w:rPr>
  </w:style>
  <w:style w:type="character" w:customStyle="1" w:styleId="QuoteChar">
    <w:name w:val="Quote Char"/>
    <w:basedOn w:val="DefaultParagraphFont"/>
    <w:link w:val="Quote"/>
    <w:uiPriority w:val="29"/>
    <w:rsid w:val="00967D20"/>
    <w:rPr>
      <w:i/>
      <w:iCs/>
      <w:color w:val="404040" w:themeColor="text1" w:themeTint="BF"/>
    </w:rPr>
  </w:style>
  <w:style w:type="paragraph" w:styleId="ListParagraph">
    <w:name w:val="List Paragraph"/>
    <w:basedOn w:val="Normal"/>
    <w:uiPriority w:val="34"/>
    <w:qFormat/>
    <w:rsid w:val="00967D20"/>
    <w:pPr>
      <w:ind w:left="720"/>
      <w:contextualSpacing/>
    </w:pPr>
  </w:style>
  <w:style w:type="character" w:styleId="IntenseEmphasis">
    <w:name w:val="Intense Emphasis"/>
    <w:basedOn w:val="DefaultParagraphFont"/>
    <w:uiPriority w:val="21"/>
    <w:qFormat/>
    <w:rsid w:val="00967D20"/>
    <w:rPr>
      <w:i/>
      <w:iCs/>
      <w:color w:val="0F4761" w:themeColor="accent1" w:themeShade="BF"/>
    </w:rPr>
  </w:style>
  <w:style w:type="paragraph" w:styleId="IntenseQuote">
    <w:name w:val="Intense Quote"/>
    <w:basedOn w:val="Normal"/>
    <w:next w:val="Normal"/>
    <w:link w:val="IntenseQuoteChar"/>
    <w:uiPriority w:val="30"/>
    <w:qFormat/>
    <w:rsid w:val="00967D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7D20"/>
    <w:rPr>
      <w:i/>
      <w:iCs/>
      <w:color w:val="0F4761" w:themeColor="accent1" w:themeShade="BF"/>
    </w:rPr>
  </w:style>
  <w:style w:type="character" w:styleId="IntenseReference">
    <w:name w:val="Intense Reference"/>
    <w:basedOn w:val="DefaultParagraphFont"/>
    <w:uiPriority w:val="32"/>
    <w:qFormat/>
    <w:rsid w:val="00967D20"/>
    <w:rPr>
      <w:b/>
      <w:bCs/>
      <w:smallCaps/>
      <w:color w:val="0F4761" w:themeColor="accent1" w:themeShade="BF"/>
      <w:spacing w:val="5"/>
    </w:rPr>
  </w:style>
  <w:style w:type="paragraph" w:styleId="FootnoteText">
    <w:name w:val="footnote text"/>
    <w:basedOn w:val="Normal"/>
    <w:link w:val="FootnoteTextChar"/>
    <w:uiPriority w:val="99"/>
    <w:semiHidden/>
    <w:unhideWhenUsed/>
    <w:rsid w:val="00967D20"/>
    <w:pPr>
      <w:spacing w:line="240" w:lineRule="auto"/>
    </w:pPr>
    <w:rPr>
      <w:rFonts w:ascii="Aptos" w:eastAsia="Yu Mincho" w:hAnsi="Aptos" w:cs="Arial"/>
      <w:kern w:val="2"/>
      <w:sz w:val="20"/>
    </w:rPr>
  </w:style>
  <w:style w:type="character" w:customStyle="1" w:styleId="FootnoteTextChar">
    <w:name w:val="Footnote Text Char"/>
    <w:basedOn w:val="DefaultParagraphFont"/>
    <w:link w:val="FootnoteText"/>
    <w:uiPriority w:val="99"/>
    <w:semiHidden/>
    <w:rsid w:val="00967D20"/>
    <w:rPr>
      <w:rFonts w:ascii="Aptos" w:eastAsia="Yu Mincho" w:hAnsi="Aptos" w:cs="Arial"/>
      <w:sz w:val="20"/>
      <w:szCs w:val="20"/>
      <w:lang w:eastAsia="en-GB"/>
    </w:rPr>
  </w:style>
  <w:style w:type="character" w:styleId="FootnoteReference">
    <w:name w:val="footnote reference"/>
    <w:basedOn w:val="DefaultParagraphFont"/>
    <w:uiPriority w:val="99"/>
    <w:semiHidden/>
    <w:unhideWhenUsed/>
    <w:rsid w:val="00967D20"/>
    <w:rPr>
      <w:vertAlign w:val="superscript"/>
    </w:rPr>
  </w:style>
  <w:style w:type="character" w:styleId="CommentReference">
    <w:name w:val="annotation reference"/>
    <w:basedOn w:val="DefaultParagraphFont"/>
    <w:uiPriority w:val="99"/>
    <w:semiHidden/>
    <w:unhideWhenUsed/>
    <w:rsid w:val="00472BEA"/>
    <w:rPr>
      <w:sz w:val="16"/>
      <w:szCs w:val="16"/>
    </w:rPr>
  </w:style>
  <w:style w:type="paragraph" w:styleId="CommentText">
    <w:name w:val="annotation text"/>
    <w:basedOn w:val="Normal"/>
    <w:link w:val="CommentTextChar"/>
    <w:uiPriority w:val="99"/>
    <w:unhideWhenUsed/>
    <w:rsid w:val="00472BEA"/>
    <w:pPr>
      <w:spacing w:line="240" w:lineRule="auto"/>
    </w:pPr>
    <w:rPr>
      <w:sz w:val="20"/>
    </w:rPr>
  </w:style>
  <w:style w:type="character" w:customStyle="1" w:styleId="CommentTextChar">
    <w:name w:val="Comment Text Char"/>
    <w:basedOn w:val="DefaultParagraphFont"/>
    <w:link w:val="CommentText"/>
    <w:uiPriority w:val="99"/>
    <w:rsid w:val="00472BEA"/>
    <w:rPr>
      <w:rFonts w:ascii="Arial" w:eastAsia="Times New Roman" w:hAnsi="Arial" w:cs="Times New Roman"/>
      <w:kern w:val="0"/>
      <w:sz w:val="20"/>
      <w:szCs w:val="20"/>
      <w:lang w:eastAsia="en-GB"/>
    </w:rPr>
  </w:style>
  <w:style w:type="paragraph" w:styleId="CommentSubject">
    <w:name w:val="annotation subject"/>
    <w:basedOn w:val="CommentText"/>
    <w:next w:val="CommentText"/>
    <w:link w:val="CommentSubjectChar"/>
    <w:uiPriority w:val="99"/>
    <w:semiHidden/>
    <w:unhideWhenUsed/>
    <w:rsid w:val="00472BEA"/>
    <w:rPr>
      <w:b/>
      <w:bCs/>
    </w:rPr>
  </w:style>
  <w:style w:type="character" w:customStyle="1" w:styleId="CommentSubjectChar">
    <w:name w:val="Comment Subject Char"/>
    <w:basedOn w:val="CommentTextChar"/>
    <w:link w:val="CommentSubject"/>
    <w:uiPriority w:val="99"/>
    <w:semiHidden/>
    <w:rsid w:val="00472BEA"/>
    <w:rPr>
      <w:rFonts w:ascii="Arial" w:eastAsia="Times New Roman" w:hAnsi="Arial" w:cs="Times New Roman"/>
      <w:b/>
      <w:bCs/>
      <w:kern w:val="0"/>
      <w:sz w:val="20"/>
      <w:szCs w:val="20"/>
      <w:lang w:eastAsia="en-GB"/>
    </w:rPr>
  </w:style>
  <w:style w:type="character" w:customStyle="1" w:styleId="Mention1">
    <w:name w:val="Mention1"/>
    <w:basedOn w:val="DefaultParagraphFont"/>
    <w:uiPriority w:val="99"/>
    <w:unhideWhenUsed/>
    <w:rsid w:val="00472BEA"/>
    <w:rPr>
      <w:color w:val="2B579A"/>
      <w:shd w:val="clear" w:color="auto" w:fill="E1DFDD"/>
    </w:rPr>
  </w:style>
  <w:style w:type="paragraph" w:styleId="Header">
    <w:name w:val="header"/>
    <w:basedOn w:val="Normal"/>
    <w:link w:val="HeaderChar"/>
    <w:uiPriority w:val="99"/>
    <w:unhideWhenUsed/>
    <w:rsid w:val="00FF4A4D"/>
    <w:pPr>
      <w:tabs>
        <w:tab w:val="center" w:pos="4513"/>
        <w:tab w:val="right" w:pos="9026"/>
      </w:tabs>
      <w:spacing w:line="240" w:lineRule="auto"/>
    </w:pPr>
  </w:style>
  <w:style w:type="character" w:customStyle="1" w:styleId="HeaderChar">
    <w:name w:val="Header Char"/>
    <w:basedOn w:val="DefaultParagraphFont"/>
    <w:link w:val="Header"/>
    <w:uiPriority w:val="99"/>
    <w:rsid w:val="00FF4A4D"/>
    <w:rPr>
      <w:rFonts w:ascii="Arial" w:eastAsia="Times New Roman" w:hAnsi="Arial" w:cs="Times New Roman"/>
      <w:kern w:val="0"/>
      <w:szCs w:val="20"/>
      <w:lang w:eastAsia="en-GB"/>
    </w:rPr>
  </w:style>
  <w:style w:type="paragraph" w:styleId="Footer">
    <w:name w:val="footer"/>
    <w:basedOn w:val="Normal"/>
    <w:link w:val="FooterChar"/>
    <w:uiPriority w:val="99"/>
    <w:unhideWhenUsed/>
    <w:rsid w:val="00FF4A4D"/>
    <w:pPr>
      <w:tabs>
        <w:tab w:val="center" w:pos="4513"/>
        <w:tab w:val="right" w:pos="9026"/>
      </w:tabs>
      <w:spacing w:line="240" w:lineRule="auto"/>
    </w:pPr>
  </w:style>
  <w:style w:type="character" w:customStyle="1" w:styleId="FooterChar">
    <w:name w:val="Footer Char"/>
    <w:basedOn w:val="DefaultParagraphFont"/>
    <w:link w:val="Footer"/>
    <w:uiPriority w:val="99"/>
    <w:rsid w:val="00FF4A4D"/>
    <w:rPr>
      <w:rFonts w:ascii="Arial" w:eastAsia="Times New Roman" w:hAnsi="Arial" w:cs="Times New Roman"/>
      <w:kern w:val="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HO document" ma:contentTypeID="0x010100A5BF1C78D9F64B679A5EBDE1C6598EBC01005C79BB37D7C3EA4FA44C1AC2EC0B3FDD" ma:contentTypeVersion="26" ma:contentTypeDescription="Create a new document." ma:contentTypeScope="" ma:versionID="f1cdbb54a4ded10966a34712c3a7bb52">
  <xsd:schema xmlns:xsd="http://www.w3.org/2001/XMLSchema" xmlns:xs="http://www.w3.org/2001/XMLSchema" xmlns:p="http://schemas.microsoft.com/office/2006/metadata/properties" xmlns:ns2="4e9417ab-6472-4075-af16-7dc6074df91e" xmlns:ns3="d048518a-d7f5-480a-b082-aefd6ca3b9a2" xmlns:ns4="f0e954bd-0f34-421d-998c-907a40b59848" targetNamespace="http://schemas.microsoft.com/office/2006/metadata/properties" ma:root="true" ma:fieldsID="74904e270465800eb87627efb25cd6fd" ns2:_="" ns3:_="" ns4:_="">
    <xsd:import namespace="4e9417ab-6472-4075-af16-7dc6074df91e"/>
    <xsd:import namespace="d048518a-d7f5-480a-b082-aefd6ca3b9a2"/>
    <xsd:import namespace="f0e954bd-0f34-421d-998c-907a40b59848"/>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jb5e598af17141539648acf311d7477b" minOccurs="0"/>
                <xsd:element ref="ns2:n7493b4506bf40e28c373b1e51a33445" minOccurs="0"/>
                <xsd:element ref="ns2:HOMigrated"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3:MediaServiceSearchProperties" minOccurs="0"/>
                <xsd:element ref="ns3:Lead" minOccurs="0"/>
                <xsd:element ref="ns3:Oscar_x002f_Martin_x002f_Nathan" minOccurs="0"/>
                <xsd:element ref="ns3:Notes" minOccurs="0"/>
                <xsd:element ref="ns3:Disclose26_x002f_01" minOccurs="0"/>
                <xsd:element ref="ns3:_x004e_o10" minOccurs="0"/>
                <xsd:element ref="ns3:MHCL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417ab-6472-4075-af16-7dc6074df91e"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1;#Official|14c80daa-741b-422c-9722-f71693c9ede4" ma:fieldId="{5ae2bfa7-b647-4897-ab4a-53f76ea236c7}" ma:sspId="93e580ec-c125-41f3-a307-e1c841722a86"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f24db68-38fa-4684-9f39-7df1b5794560}" ma:internalName="TaxCatchAll" ma:showField="CatchAllData" ma:web="f0e954bd-0f34-421d-998c-907a40b5984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f24db68-38fa-4684-9f39-7df1b5794560}" ma:internalName="TaxCatchAllLabel" ma:readOnly="true" ma:showField="CatchAllDataLabel" ma:web="f0e954bd-0f34-421d-998c-907a40b59848">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2;#Crown|69589897-2828-4761-976e-717fd8e631c9" ma:fieldId="{cf401361-b24e-474c-b011-be6eb76c0e76}" ma:sspId="93e580ec-c125-41f3-a307-e1c841722a86" ma:termSetId="bdd694c6-7266-48f2-93d6-d15992cd203e" ma:anchorId="00000000-0000-0000-0000-000000000000" ma:open="false" ma:isKeyword="false">
      <xsd:complexType>
        <xsd:sequence>
          <xsd:element ref="pc:Terms" minOccurs="0" maxOccurs="1"/>
        </xsd:sequence>
      </xsd:complexType>
    </xsd:element>
    <xsd:element name="jb5e598af17141539648acf311d7477b" ma:index="14" nillable="true" ma:taxonomy="true" ma:internalName="jb5e598af17141539648acf311d7477b" ma:taxonomyFieldName="HOBusinessUnit" ma:displayName="Business unit" ma:default="87;#PPU (A)|7acc8e12-23c9-4783-b9cb-5bb5e94b341b" ma:fieldId="{3b5e598a-f171-4153-9648-acf311d7477b}" ma:sspId="93e580ec-c125-41f3-a307-e1c841722a86" ma:termSetId="55eb802e-fbca-455b-a7d2-d5919d4ea3d2" ma:anchorId="00000000-0000-0000-0000-000000000000" ma:open="false" ma:isKeyword="false">
      <xsd:complexType>
        <xsd:sequence>
          <xsd:element ref="pc:Terms" minOccurs="0" maxOccurs="1"/>
        </xsd:sequence>
      </xsd:complexType>
    </xsd:element>
    <xsd:element name="n7493b4506bf40e28c373b1e51a33445" ma:index="16" nillable="true" ma:taxonomy="true" ma:internalName="n7493b4506bf40e28c373b1e51a33445" ma:taxonomyFieldName="HOSiteType" ma:displayName="Site type" ma:default="4;#Policy – Significant|b8faeb8d-1a87-44bd-8153-bff3c10363ae" ma:fieldId="{77493b45-06bf-40e2-8c37-3b1e51a33445}" ma:sspId="93e580ec-c125-41f3-a307-e1c841722a86" ma:termSetId="4518b03a-1a05-49af-8bf2-e5548589f21b" ma:anchorId="00000000-0000-0000-0000-000000000000" ma:open="false" ma:isKeyword="false">
      <xsd:complexType>
        <xsd:sequence>
          <xsd:element ref="pc:Terms" minOccurs="0" maxOccurs="1"/>
        </xsd:sequence>
      </xsd:complexType>
    </xsd:element>
    <xsd:element name="HOMigrated" ma:index="18" nillable="true" ma:displayName="Migrated" ma:default="0" ma:internalName="HOMigra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048518a-d7f5-480a-b082-aefd6ca3b9a2"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3e580ec-c125-41f3-a307-e1c841722a86" ma:termSetId="09814cd3-568e-fe90-9814-8d621ff8fb84" ma:anchorId="fba54fb3-c3e1-fe81-a776-ca4b69148c4d" ma:open="true" ma:isKeyword="false">
      <xsd:complexType>
        <xsd:sequence>
          <xsd:element ref="pc:Terms" minOccurs="0" maxOccurs="1"/>
        </xsd:sequence>
      </xsd:complexType>
    </xsd:element>
    <xsd:element name="MediaServiceOCR" ma:index="27" nillable="true" ma:displayName="Extracted Text"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DateTaken" ma:index="30" nillable="true" ma:displayName="MediaServiceDateTaken" ma:hidden="true" ma:indexed="true" ma:internalName="MediaServiceDateTaken" ma:readOnly="true">
      <xsd:simpleType>
        <xsd:restriction base="dms:Text"/>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ead" ma:index="33" nillable="true" ma:displayName="Lead" ma:format="Dropdown" ma:list="UserInfo" ma:SharePointGroup="0" ma:internalName="Lea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scar_x002f_Martin_x002f_Nathan" ma:index="34" nillable="true" ma:displayName="Oscar / Martin/ Bethan/ Josh/ Nathan" ma:format="Dropdown" ma:internalName="Oscar_x002f_Martin_x002f_Nathan">
      <xsd:simpleType>
        <xsd:restriction base="dms:Choice">
          <xsd:enumeration value="Oscar"/>
          <xsd:enumeration value="Martin"/>
          <xsd:enumeration value="Bethan"/>
          <xsd:enumeration value="Josh"/>
          <xsd:enumeration value="Nathan"/>
        </xsd:restriction>
      </xsd:simpleType>
    </xsd:element>
    <xsd:element name="Notes" ma:index="35" nillable="true" ma:displayName="Notes" ma:format="Dropdown" ma:internalName="Notes">
      <xsd:simpleType>
        <xsd:restriction base="dms:Text">
          <xsd:maxLength value="255"/>
        </xsd:restriction>
      </xsd:simpleType>
    </xsd:element>
    <xsd:element name="Disclose26_x002f_01" ma:index="36" nillable="true" ma:displayName="Disclose 26/01" ma:format="Dropdown" ma:internalName="Disclose26_x002f_01">
      <xsd:simpleType>
        <xsd:restriction base="dms:Choice">
          <xsd:enumeration value="Yes"/>
          <xsd:enumeration value="No"/>
          <xsd:enumeration value="TBC"/>
        </xsd:restriction>
      </xsd:simpleType>
    </xsd:element>
    <xsd:element name="_x004e_o10" ma:index="37" nillable="true" ma:displayName="No10" ma:default="0" ma:format="Dropdown" ma:internalName="_x004e_o10">
      <xsd:simpleType>
        <xsd:restriction base="dms:Boolean"/>
      </xsd:simpleType>
    </xsd:element>
    <xsd:element name="MHCLG" ma:index="38" nillable="true" ma:displayName="MHCLG" ma:default="0" ma:format="Dropdown" ma:internalName="MHCL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0e954bd-0f34-421d-998c-907a40b59848"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93e580ec-c125-41f3-a307-e1c841722a86" ContentTypeId="0x010100A5BF1C78D9F64B679A5EBDE1C6598EBC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scar_x002f_Martin_x002f_Nathan xmlns="d048518a-d7f5-480a-b082-aefd6ca3b9a2" xsi:nil="true"/>
    <TaxCatchAll xmlns="4e9417ab-6472-4075-af16-7dc6074df91e">
      <Value>4</Value>
      <Value>87</Value>
      <Value>2</Value>
      <Value>1</Value>
    </TaxCatchAll>
    <Notes xmlns="d048518a-d7f5-480a-b082-aefd6ca3b9a2" xsi:nil="true"/>
    <Disclose26_x002f_01 xmlns="d048518a-d7f5-480a-b082-aefd6ca3b9a2" xsi:nil="true"/>
    <MHCLG xmlns="d048518a-d7f5-480a-b082-aefd6ca3b9a2">false</MHCLG>
    <lcf76f155ced4ddcb4097134ff3c332f xmlns="d048518a-d7f5-480a-b082-aefd6ca3b9a2">
      <Terms xmlns="http://schemas.microsoft.com/office/infopath/2007/PartnerControls"/>
    </lcf76f155ced4ddcb4097134ff3c332f>
    <n7493b4506bf40e28c373b1e51a33445 xmlns="4e9417ab-6472-4075-af16-7dc6074df91e">
      <Terms xmlns="http://schemas.microsoft.com/office/infopath/2007/PartnerControls">
        <TermInfo xmlns="http://schemas.microsoft.com/office/infopath/2007/PartnerControls">
          <TermName xmlns="http://schemas.microsoft.com/office/infopath/2007/PartnerControls">Policy – Significant</TermName>
          <TermId xmlns="http://schemas.microsoft.com/office/infopath/2007/PartnerControls">b8faeb8d-1a87-44bd-8153-bff3c10363ae</TermId>
        </TermInfo>
      </Terms>
    </n7493b4506bf40e28c373b1e51a33445>
    <Lead xmlns="d048518a-d7f5-480a-b082-aefd6ca3b9a2">
      <UserInfo>
        <DisplayName/>
        <AccountId xsi:nil="true"/>
        <AccountType/>
      </UserInfo>
    </Lead>
    <_x004e_o10 xmlns="d048518a-d7f5-480a-b082-aefd6ca3b9a2">false</_x004e_o10>
    <cf401361b24e474cb011be6eb76c0e76 xmlns="4e9417ab-6472-4075-af16-7dc6074df91e">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HOMigrated xmlns="4e9417ab-6472-4075-af16-7dc6074df91e">false</HOMigrated>
    <lae2bfa7b6474897ab4a53f76ea236c7 xmlns="4e9417ab-6472-4075-af16-7dc6074df91e">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jb5e598af17141539648acf311d7477b xmlns="4e9417ab-6472-4075-af16-7dc6074df91e">
      <Terms xmlns="http://schemas.microsoft.com/office/infopath/2007/PartnerControls">
        <TermInfo xmlns="http://schemas.microsoft.com/office/infopath/2007/PartnerControls">
          <TermName xmlns="http://schemas.microsoft.com/office/infopath/2007/PartnerControls">PPU (A)</TermName>
          <TermId xmlns="http://schemas.microsoft.com/office/infopath/2007/PartnerControls">7acc8e12-23c9-4783-b9cb-5bb5e94b341b</TermId>
        </TermInfo>
      </Terms>
    </jb5e598af17141539648acf311d7477b>
  </documentManagement>
</p:properties>
</file>

<file path=customXml/itemProps1.xml><?xml version="1.0" encoding="utf-8"?>
<ds:datastoreItem xmlns:ds="http://schemas.openxmlformats.org/officeDocument/2006/customXml" ds:itemID="{AA4C91F7-39B6-4D01-BDDB-53B60F3A9F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417ab-6472-4075-af16-7dc6074df91e"/>
    <ds:schemaRef ds:uri="d048518a-d7f5-480a-b082-aefd6ca3b9a2"/>
    <ds:schemaRef ds:uri="f0e954bd-0f34-421d-998c-907a40b598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B41439-F48B-4275-BDEE-A24770569816}">
  <ds:schemaRefs>
    <ds:schemaRef ds:uri="Microsoft.SharePoint.Taxonomy.ContentTypeSync"/>
  </ds:schemaRefs>
</ds:datastoreItem>
</file>

<file path=customXml/itemProps3.xml><?xml version="1.0" encoding="utf-8"?>
<ds:datastoreItem xmlns:ds="http://schemas.openxmlformats.org/officeDocument/2006/customXml" ds:itemID="{B70DBC66-751E-4923-8CAE-AF9D1BBDCFCF}">
  <ds:schemaRefs>
    <ds:schemaRef ds:uri="http://schemas.microsoft.com/sharepoint/v3/contenttype/forms"/>
  </ds:schemaRefs>
</ds:datastoreItem>
</file>

<file path=customXml/itemProps4.xml><?xml version="1.0" encoding="utf-8"?>
<ds:datastoreItem xmlns:ds="http://schemas.openxmlformats.org/officeDocument/2006/customXml" ds:itemID="{96205095-222F-4C5D-8DF7-5BE9B1E4E65A}">
  <ds:schemaRefs>
    <ds:schemaRef ds:uri="http://schemas.microsoft.com/office/2006/metadata/properties"/>
    <ds:schemaRef ds:uri="http://schemas.microsoft.com/office/infopath/2007/PartnerControls"/>
    <ds:schemaRef ds:uri="d048518a-d7f5-480a-b082-aefd6ca3b9a2"/>
    <ds:schemaRef ds:uri="4e9417ab-6472-4075-af16-7dc6074df91e"/>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SSP0050</dc:title>
  <cp:revision>0</cp:revision>
</cp:coreProperties>
</file>