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14724C" w:rsidRPr="00560C4C" w:rsidP="0014724C">
      <w:pPr>
        <w:spacing w:line="360" w:lineRule="auto"/>
        <w:jc w:val="center"/>
        <w:rPr>
          <w:rFonts w:ascii="Calibri" w:hAnsi="Calibri" w:cs="Calibri"/>
          <w:sz w:val="28"/>
          <w:szCs w:val="28"/>
        </w:rPr>
      </w:pPr>
      <w:r w:rsidRPr="00560C4C">
        <w:rPr>
          <w:rFonts w:ascii="Calibri" w:hAnsi="Calibri" w:cs="Calibri"/>
          <w:sz w:val="28"/>
          <w:szCs w:val="28"/>
        </w:rPr>
        <w:t>Written evidence submitted by</w:t>
      </w:r>
      <w:r w:rsidRPr="00922D69">
        <w:rPr>
          <w:rFonts w:ascii="Calibri" w:hAnsi="Calibri" w:cs="Calibri"/>
          <w:sz w:val="28"/>
          <w:szCs w:val="28"/>
        </w:rPr>
        <w:t xml:space="preserve"> </w:t>
      </w:r>
      <w:r>
        <w:rPr>
          <w:rFonts w:ascii="Calibri" w:hAnsi="Calibri" w:cs="Calibri"/>
          <w:sz w:val="28"/>
          <w:szCs w:val="28"/>
        </w:rPr>
        <w:t xml:space="preserve">the </w:t>
      </w:r>
      <w:r w:rsidRPr="0014724C">
        <w:rPr>
          <w:rFonts w:ascii="Calibri" w:hAnsi="Calibri" w:cs="Calibri"/>
          <w:sz w:val="28"/>
          <w:szCs w:val="28"/>
        </w:rPr>
        <w:t>Southbank Centre</w:t>
      </w:r>
    </w:p>
    <w:p w:rsidR="0014724C">
      <w:pPr>
        <w:jc w:val="both"/>
        <w:rPr>
          <w:b/>
          <w:bCs/>
          <w:sz w:val="36"/>
          <w:szCs w:val="36"/>
        </w:rPr>
      </w:pPr>
    </w:p>
    <w:p w:rsidR="00B10315">
      <w:pPr>
        <w:pStyle w:val="Heading2"/>
        <w:keepNext w:val="0"/>
        <w:keepLines w:val="0"/>
        <w:spacing w:after="80" w:line="360" w:lineRule="auto"/>
        <w:jc w:val="both"/>
        <w:rPr>
          <w:b/>
          <w:bCs/>
          <w:sz w:val="28"/>
          <w:szCs w:val="28"/>
        </w:rPr>
      </w:pPr>
      <w:bookmarkStart w:id="0" w:name="_ty9a2tm53hvk" w:colFirst="0" w:colLast="0"/>
      <w:bookmarkEnd w:id="0"/>
      <w:r>
        <w:rPr>
          <w:b/>
          <w:bCs/>
          <w:sz w:val="28"/>
          <w:szCs w:val="28"/>
        </w:rPr>
        <w:t>Executive Summary:</w:t>
      </w:r>
    </w:p>
    <w:p w:rsidR="00B10315">
      <w:pPr>
        <w:spacing w:before="240" w:after="240" w:line="360" w:lineRule="auto"/>
        <w:jc w:val="both"/>
      </w:pPr>
      <w:r>
        <w:t>The Southbank Centre is one of the UK’s most visited attractions and its largest multi-arts centre. We submit this evidence to highlight the important role culture and the creative industries play in attracting international and domestic visitors to UK destinations, such as the capital. We advocate for:</w:t>
      </w:r>
    </w:p>
    <w:p w:rsidR="00B10315">
      <w:pPr>
        <w:numPr>
          <w:ilvl w:val="0"/>
          <w:numId w:val="5"/>
        </w:numPr>
        <w:spacing w:before="240" w:line="360" w:lineRule="auto"/>
        <w:jc w:val="both"/>
      </w:pPr>
      <w:r>
        <w:t>The strategic implementation of an overnight visitor levy, with the majority (60%) of this revenue ring-fenced for culture. This would offer what the culture sector has been calling a ‘virtuous circle of investment’, as we know that culture and the creative industries are the primary ‘pull factor’ to attract visitors in the first place and therefore must be sustained.</w:t>
      </w:r>
    </w:p>
    <w:p w:rsidR="00B10315">
      <w:pPr>
        <w:numPr>
          <w:ilvl w:val="0"/>
          <w:numId w:val="5"/>
        </w:numPr>
        <w:spacing w:after="240" w:line="360" w:lineRule="auto"/>
        <w:jc w:val="both"/>
      </w:pPr>
      <w:r>
        <w:t>Recognition and support of high-footfall cultural sites like ours that currently facilitate massive tourist volumes.</w:t>
      </w:r>
    </w:p>
    <w:p w:rsidR="00B10315">
      <w:pPr>
        <w:pStyle w:val="Heading2"/>
        <w:keepNext w:val="0"/>
        <w:keepLines w:val="0"/>
        <w:spacing w:after="80" w:line="360" w:lineRule="auto"/>
        <w:jc w:val="both"/>
        <w:rPr>
          <w:b/>
          <w:bCs/>
          <w:sz w:val="28"/>
          <w:szCs w:val="28"/>
        </w:rPr>
      </w:pPr>
      <w:bookmarkStart w:id="1" w:name="_dc3m3hs2ylzg" w:colFirst="0" w:colLast="0"/>
      <w:bookmarkEnd w:id="1"/>
      <w:r>
        <w:rPr>
          <w:b/>
          <w:bCs/>
          <w:sz w:val="28"/>
          <w:szCs w:val="28"/>
        </w:rPr>
        <w:t>About the Southbank Centre:</w:t>
      </w:r>
    </w:p>
    <w:p w:rsidR="00B10315">
      <w:pPr>
        <w:shd w:val="clear" w:color="auto" w:fill="FFFFFF"/>
        <w:spacing w:line="432" w:lineRule="auto"/>
        <w:jc w:val="both"/>
      </w:pPr>
      <w:r>
        <w:t>The Southbank Centre is the UK’s largest multi-arts centre and engages the most diverse audiences of any performing arts organisation in the UK. Our biggest venue, the Royal Festival Hall (2,700 seats) is the lasting legacy of the 1951 Festival of Britain and the ambition and values of that project – that arts, ideas, innovation and culture can heal communities and should be available and accessible to everyone – are still our guiding principles today. The Southbank Centre is uniquely able to offer a wide-r</w:t>
      </w:r>
      <w:r>
        <w:t>anging, inclusive and world-class artistic programme spanning contemporary visual arts, music, dance, performance, literature, comedy and spoken word across the Royal Festival Hall, Queen Elizabeth Hall, Purcell Room, the Hayward Gallery and our free spaces. We are also home to the National Poetry Library, the National Academy for Social Prescribing (NASP), two resident organisations (Kinetika Bloco and Tomorrow’s Warriors) and six resident orchestras (Aurora Orchestra, Chineke! Orchestra, London Philharmon</w:t>
      </w:r>
      <w:r>
        <w:t>ic Orchestra, London Sinfonietta, Orchestra of the Age of Enlightenment and Philharmonia Orchestra).</w:t>
      </w:r>
    </w:p>
    <w:p w:rsidR="00B10315">
      <w:pPr>
        <w:shd w:val="clear" w:color="auto" w:fill="FFFFFF"/>
        <w:spacing w:line="432" w:lineRule="auto"/>
        <w:jc w:val="both"/>
        <w:rPr>
          <w:color w:val="1155CC"/>
          <w:u w:val="single"/>
        </w:rPr>
      </w:pPr>
      <w:r>
        <w:fldChar w:fldCharType="begin"/>
      </w:r>
      <w:r>
        <w:instrText xml:space="preserve"> HYPERLINK "http://www.southbankcentre.co.uk/" </w:instrText>
      </w:r>
      <w:r>
        <w:fldChar w:fldCharType="separate"/>
      </w:r>
      <w:r>
        <w:rPr>
          <w:color w:val="1155CC"/>
          <w:u w:val="single"/>
        </w:rPr>
        <w:t>www.southbankcentre.co.uk</w:t>
      </w:r>
      <w:r>
        <w:fldChar w:fldCharType="end"/>
      </w:r>
    </w:p>
    <w:p w:rsidR="00B10315">
      <w:pPr>
        <w:pStyle w:val="Heading2"/>
        <w:keepNext w:val="0"/>
        <w:keepLines w:val="0"/>
        <w:numPr>
          <w:ilvl w:val="0"/>
          <w:numId w:val="1"/>
        </w:numPr>
        <w:spacing w:after="0" w:line="360" w:lineRule="auto"/>
        <w:jc w:val="both"/>
        <w:rPr>
          <w:b/>
          <w:bCs/>
          <w:sz w:val="28"/>
          <w:szCs w:val="28"/>
        </w:rPr>
      </w:pPr>
      <w:bookmarkStart w:id="2" w:name="_pubduy1jptb1" w:colFirst="0" w:colLast="0"/>
      <w:bookmarkEnd w:id="2"/>
      <w:r>
        <w:rPr>
          <w:b/>
          <w:bCs/>
          <w:sz w:val="28"/>
          <w:szCs w:val="28"/>
        </w:rPr>
        <w:t>Calling for ring-fencing the tourism levy in the Financial Times:</w:t>
      </w:r>
    </w:p>
    <w:p w:rsidR="00B10315">
      <w:pPr>
        <w:pStyle w:val="Heading2"/>
        <w:keepNext w:val="0"/>
        <w:keepLines w:val="0"/>
        <w:numPr>
          <w:ilvl w:val="0"/>
          <w:numId w:val="2"/>
        </w:numPr>
        <w:spacing w:before="0" w:after="80" w:line="360" w:lineRule="auto"/>
        <w:jc w:val="both"/>
        <w:rPr>
          <w:sz w:val="22"/>
          <w:szCs w:val="22"/>
        </w:rPr>
      </w:pPr>
      <w:bookmarkStart w:id="3" w:name="_6yluo1t8idcj" w:colFirst="0" w:colLast="0"/>
      <w:bookmarkEnd w:id="3"/>
      <w:r>
        <w:rPr>
          <w:sz w:val="22"/>
          <w:szCs w:val="22"/>
        </w:rPr>
        <w:t xml:space="preserve">In an </w:t>
      </w:r>
      <w:r>
        <w:fldChar w:fldCharType="begin"/>
      </w:r>
      <w:r>
        <w:instrText xml:space="preserve"> HYPERLINK "https://www.ft.com/content/7d5e57aa-dedc-460f-9ed1-f4aaef3d7239" </w:instrText>
      </w:r>
      <w:r>
        <w:fldChar w:fldCharType="separate"/>
      </w:r>
      <w:r>
        <w:rPr>
          <w:sz w:val="22"/>
          <w:szCs w:val="22"/>
          <w:u w:val="single"/>
        </w:rPr>
        <w:t>open letter published in the Financial Times</w:t>
      </w:r>
      <w:r>
        <w:fldChar w:fldCharType="end"/>
      </w:r>
      <w:r>
        <w:rPr>
          <w:sz w:val="22"/>
          <w:szCs w:val="22"/>
        </w:rPr>
        <w:t>, Elaine Bedell OBE, CEO of the Southbank Centre, summarised the opportunity presented by current policy discussions:</w:t>
      </w:r>
    </w:p>
    <w:p w:rsidR="00B10315">
      <w:pPr>
        <w:pStyle w:val="Heading2"/>
        <w:keepNext w:val="0"/>
        <w:keepLines w:val="0"/>
        <w:spacing w:after="80" w:line="360" w:lineRule="auto"/>
        <w:ind w:left="720"/>
        <w:jc w:val="both"/>
        <w:rPr>
          <w:b/>
          <w:bCs/>
          <w:sz w:val="28"/>
          <w:szCs w:val="28"/>
        </w:rPr>
      </w:pPr>
      <w:bookmarkStart w:id="4" w:name="_sc750i8wq343" w:colFirst="0" w:colLast="0"/>
      <w:bookmarkEnd w:id="4"/>
      <w:r>
        <w:rPr>
          <w:i/>
          <w:iCs/>
          <w:sz w:val="22"/>
          <w:szCs w:val="22"/>
        </w:rPr>
        <w:t>‘The proposed 'tourism tax' on overnight stays in English cities has the potential to be as transformative as the National Lottery investment in cultural institutions across the country in the early 2000s... Ringfencing the majority of the tourism levy for investment in cultural infrastructure and 'placemaking' – creating quality places that people want to live, work, play and learn in – could transform the visitor economy across England.’</w:t>
      </w:r>
    </w:p>
    <w:p w:rsidR="00B10315">
      <w:pPr>
        <w:pStyle w:val="Heading2"/>
        <w:keepNext w:val="0"/>
        <w:keepLines w:val="0"/>
        <w:numPr>
          <w:ilvl w:val="0"/>
          <w:numId w:val="1"/>
        </w:numPr>
        <w:spacing w:after="0" w:line="360" w:lineRule="auto"/>
        <w:jc w:val="both"/>
        <w:rPr>
          <w:b/>
          <w:bCs/>
          <w:sz w:val="28"/>
          <w:szCs w:val="28"/>
        </w:rPr>
      </w:pPr>
      <w:bookmarkStart w:id="5" w:name="_cllwtor4f2d3" w:colFirst="0" w:colLast="0"/>
      <w:bookmarkEnd w:id="5"/>
      <w:r>
        <w:rPr>
          <w:b/>
          <w:bCs/>
          <w:sz w:val="28"/>
          <w:szCs w:val="28"/>
        </w:rPr>
        <w:t>The role of culture and creative industries in tourism:</w:t>
      </w:r>
    </w:p>
    <w:p w:rsidR="00B10315">
      <w:pPr>
        <w:numPr>
          <w:ilvl w:val="0"/>
          <w:numId w:val="4"/>
        </w:numPr>
        <w:spacing w:line="360" w:lineRule="auto"/>
      </w:pPr>
      <w:r>
        <w:t xml:space="preserve">The UK is renowned globally for its cultural and creative output, which sits at the heart of its international soft power. This is a fundamental driver of the visitor economy. </w:t>
      </w:r>
    </w:p>
    <w:p w:rsidR="00B10315">
      <w:pPr>
        <w:numPr>
          <w:ilvl w:val="1"/>
          <w:numId w:val="4"/>
        </w:numPr>
        <w:spacing w:line="360" w:lineRule="auto"/>
      </w:pPr>
      <w:r>
        <w:t>Inbound tourism as a whole is forecast to reach 45.5 million visits and £35.7 billion spending in 2026 (source: VisitBritain) – up year-on-year and above pre-Covid levels. According to recent data, roughly 73% of tourists cite the UK's cultural offer as a ‘primary reason’ for their visit.</w:t>
      </w:r>
    </w:p>
    <w:p w:rsidR="00B10315">
      <w:pPr>
        <w:numPr>
          <w:ilvl w:val="1"/>
          <w:numId w:val="4"/>
        </w:numPr>
        <w:spacing w:line="360" w:lineRule="auto"/>
      </w:pPr>
      <w:r>
        <w:t>Culture is the engine of London’s tourism. Over 20 million international visitors arrive in the capital city each year (sources include: ONS, Travel Trends 2024). These visitors consistently cite the city’s world-class cultural attractions as their leading reason for travel (sources include: London &amp; Partners, The Value of Culture to London’s Visitor Economy).</w:t>
      </w:r>
    </w:p>
    <w:p w:rsidR="00B10315">
      <w:pPr>
        <w:numPr>
          <w:ilvl w:val="0"/>
          <w:numId w:val="4"/>
        </w:numPr>
        <w:spacing w:line="360" w:lineRule="auto"/>
      </w:pPr>
      <w:r>
        <w:t xml:space="preserve">As one of the most visited attractions in the country, the Southbank Centre acts as a major anchor for this activity. </w:t>
      </w:r>
    </w:p>
    <w:p w:rsidR="00B10315">
      <w:pPr>
        <w:numPr>
          <w:ilvl w:val="1"/>
          <w:numId w:val="4"/>
        </w:numPr>
        <w:spacing w:line="360" w:lineRule="auto"/>
      </w:pPr>
      <w:r>
        <w:t xml:space="preserve">We engaged 11.6m people on our site last year (people who stayed for more than 30 minutes and less than 6 hours). In total, over 22m people passed through our 11-acre site. </w:t>
      </w:r>
    </w:p>
    <w:p w:rsidR="00B10315">
      <w:pPr>
        <w:numPr>
          <w:ilvl w:val="0"/>
          <w:numId w:val="4"/>
        </w:numPr>
        <w:spacing w:line="360" w:lineRule="auto"/>
      </w:pPr>
      <w:r>
        <w:t>The Southbank Centre is a global stage - a place where the world’s most exciting artists choose to debut their work. We collaborate with international partners, share our creative ideas with the world, and bring the best international experiments home to our audiences. Our global impact acts as a powerful engine for global visitor attraction.</w:t>
      </w:r>
    </w:p>
    <w:p w:rsidR="00B10315">
      <w:pPr>
        <w:numPr>
          <w:ilvl w:val="1"/>
          <w:numId w:val="4"/>
        </w:numPr>
        <w:spacing w:line="360" w:lineRule="auto"/>
      </w:pPr>
      <w:r>
        <w:t xml:space="preserve">In summer 2025 the Hayward Gallery hosted the largest-ever European retrospective of Yoshitomo Nara, one of Japan’s most celebrated artists. It </w:t>
      </w:r>
      <w:r>
        <w:t>attracted significant international attendance. 114,409 visitors attended in total, with 15% from overseas.</w:t>
      </w:r>
    </w:p>
    <w:p w:rsidR="00B10315">
      <w:pPr>
        <w:numPr>
          <w:ilvl w:val="1"/>
          <w:numId w:val="4"/>
        </w:numPr>
        <w:spacing w:line="360" w:lineRule="auto"/>
      </w:pPr>
      <w:r>
        <w:t xml:space="preserve">We’re proud to be a co-commissioner of the hit dance-musical </w:t>
      </w:r>
      <w:r>
        <w:rPr>
          <w:i/>
          <w:iCs/>
        </w:rPr>
        <w:t>Illinoise</w:t>
      </w:r>
      <w:r>
        <w:t>, based on Sufjan Stevens’ landmark album. The production was successfully staged at the Fisher Center at Bard and Park Avenue Armory, before transferring to Broadway, carrying our name to the heart of the New York theatre district.</w:t>
      </w:r>
    </w:p>
    <w:p w:rsidR="00B10315">
      <w:pPr>
        <w:numPr>
          <w:ilvl w:val="1"/>
          <w:numId w:val="4"/>
        </w:numPr>
        <w:spacing w:line="360" w:lineRule="auto"/>
      </w:pPr>
      <w:r>
        <w:t>Our major festival South Asian Sounds celebrates the rich musical traditions of South Asia. In partnership with global collectives, last year we hosted legends such as Baluji Shrivastav OBE and Osman Mir alongside rising stars, attracting a massive international audience both in person and through online broadcasts.</w:t>
      </w:r>
    </w:p>
    <w:p w:rsidR="00B10315">
      <w:pPr>
        <w:numPr>
          <w:ilvl w:val="1"/>
          <w:numId w:val="4"/>
        </w:numPr>
        <w:spacing w:line="360" w:lineRule="auto"/>
      </w:pPr>
      <w:r>
        <w:t xml:space="preserve">We hosted the highly anticipated London debut of the </w:t>
      </w:r>
      <w:r>
        <w:rPr>
          <w:i/>
          <w:iCs/>
        </w:rPr>
        <w:t>Nature Theater of Oklahoma’s No President</w:t>
      </w:r>
      <w:r>
        <w:t>. This bold, political production brought the best of US off-Broadway experimentation to the Queen Elizabeth Hall.</w:t>
      </w:r>
    </w:p>
    <w:p w:rsidR="00B10315">
      <w:pPr>
        <w:numPr>
          <w:ilvl w:val="0"/>
          <w:numId w:val="4"/>
        </w:numPr>
        <w:spacing w:line="360" w:lineRule="auto"/>
      </w:pPr>
      <w:r>
        <w:t>Our digital platforms allow the Southbank Centre to reach people far beyond London. Again, this global visibility acts as a way to attract visitors to the UK, keeping the country at the heart of the global creative conversation.</w:t>
      </w:r>
    </w:p>
    <w:p w:rsidR="00B10315">
      <w:pPr>
        <w:numPr>
          <w:ilvl w:val="1"/>
          <w:numId w:val="4"/>
        </w:numPr>
        <w:spacing w:line="360" w:lineRule="auto"/>
      </w:pPr>
      <w:r>
        <w:t xml:space="preserve">In 2025, our YouTube channel became a main gateway for international fans. We received 2 million views on YouTube this year. While 12.5% of our viewers were based in the UK, a massive 87.5% joined us from overseas. </w:t>
      </w:r>
    </w:p>
    <w:p w:rsidR="00B10315">
      <w:pPr>
        <w:numPr>
          <w:ilvl w:val="1"/>
          <w:numId w:val="4"/>
        </w:numPr>
        <w:spacing w:line="360" w:lineRule="auto"/>
      </w:pPr>
      <w:r>
        <w:t>The USA is our largest digital territory, making up 19.1% of our total YouTube audience.</w:t>
      </w:r>
    </w:p>
    <w:p w:rsidR="00B10315">
      <w:pPr>
        <w:numPr>
          <w:ilvl w:val="1"/>
          <w:numId w:val="4"/>
        </w:numPr>
        <w:spacing w:line="360" w:lineRule="auto"/>
      </w:pPr>
      <w:r>
        <w:t xml:space="preserve">Digital streams for high-profile events like The Booker Prize showed even more global reach, with one in four viewers tuning in from the USA. </w:t>
      </w:r>
      <w:r>
        <w:br/>
      </w:r>
    </w:p>
    <w:p w:rsidR="00B10315">
      <w:pPr>
        <w:pStyle w:val="Heading2"/>
        <w:keepNext w:val="0"/>
        <w:keepLines w:val="0"/>
        <w:numPr>
          <w:ilvl w:val="0"/>
          <w:numId w:val="1"/>
        </w:numPr>
        <w:spacing w:before="0" w:after="0" w:line="360" w:lineRule="auto"/>
        <w:jc w:val="both"/>
        <w:rPr>
          <w:b/>
          <w:bCs/>
          <w:sz w:val="28"/>
          <w:szCs w:val="28"/>
        </w:rPr>
      </w:pPr>
      <w:bookmarkStart w:id="6" w:name="_mq29wi0ejxu" w:colFirst="0" w:colLast="0"/>
      <w:bookmarkEnd w:id="6"/>
      <w:r>
        <w:rPr>
          <w:b/>
          <w:bCs/>
          <w:sz w:val="28"/>
          <w:szCs w:val="28"/>
        </w:rPr>
        <w:t>Supporting the ecosystem through an overnight visitor levy:</w:t>
      </w:r>
    </w:p>
    <w:p w:rsidR="00B10315">
      <w:pPr>
        <w:numPr>
          <w:ilvl w:val="0"/>
          <w:numId w:val="7"/>
        </w:numPr>
        <w:spacing w:line="360" w:lineRule="auto"/>
      </w:pPr>
      <w:r>
        <w:t>We strongly support the introduction of an overnight visitor levy for London, to strengthen growth in the capital’s vital visitor economy, provided it is used strategically to support the sectors that actually drive tourism. If the majority of this revenue (60%) were ring-fenced for culture and placemaking, it could provide a transformative funding stream.</w:t>
      </w:r>
    </w:p>
    <w:p w:rsidR="00B10315">
      <w:pPr>
        <w:numPr>
          <w:ilvl w:val="0"/>
          <w:numId w:val="7"/>
        </w:numPr>
        <w:spacing w:line="360" w:lineRule="auto"/>
      </w:pPr>
      <w:r>
        <w:t xml:space="preserve">Reinvesting levy funds into culture is a matter of clear economic logic. </w:t>
      </w:r>
    </w:p>
    <w:p w:rsidR="00B10315">
      <w:pPr>
        <w:numPr>
          <w:ilvl w:val="0"/>
          <w:numId w:val="3"/>
        </w:numPr>
        <w:spacing w:line="360" w:lineRule="auto"/>
      </w:pPr>
      <w:r>
        <w:t xml:space="preserve">The creative industries contribute £52 billion annually to London and support one in six jobs (source: Mayor of London, 2025). The sector historically outpaces the wider UK economy in growth and is one of eight growth-driving sectors identified in the government's modern industrial strategy. </w:t>
      </w:r>
    </w:p>
    <w:p w:rsidR="00B10315">
      <w:pPr>
        <w:numPr>
          <w:ilvl w:val="0"/>
          <w:numId w:val="3"/>
        </w:numPr>
        <w:spacing w:line="360" w:lineRule="auto"/>
      </w:pPr>
      <w:r>
        <w:t>Cultural tourism in London directly generates £3.2 billion for the city’s economy and supports 80,000 jobs. (Source: Mayor of London)</w:t>
      </w:r>
    </w:p>
    <w:p w:rsidR="00B10315">
      <w:pPr>
        <w:numPr>
          <w:ilvl w:val="0"/>
          <w:numId w:val="3"/>
        </w:numPr>
        <w:spacing w:line="360" w:lineRule="auto"/>
      </w:pPr>
      <w:r>
        <w:t>A report, commissioned by the Southbank Centre, shows that through its core activities and its role as a visitor attraction with wide audience reach, the Southbank Centre supported £310 million in GVA and 5,500 FTE jobs in London in 2023/24 (Hatch). The Southbank Centre supported £280m in GVA and 5,000 FTE jobs at the level of the UK.</w:t>
      </w:r>
    </w:p>
    <w:p w:rsidR="00B10315">
      <w:pPr>
        <w:numPr>
          <w:ilvl w:val="0"/>
          <w:numId w:val="3"/>
        </w:numPr>
        <w:spacing w:line="360" w:lineRule="auto"/>
      </w:pPr>
      <w:r>
        <w:t>Every £1 invested in arts and culture generates significant GVA for the wider economy, particularly in the hospitality and retail sectors that surround our venues. Cultural investment acts as a catalyst for growth in ancillary businesses. Southbank Centre supports 15 thriving bars and restaurants on site.</w:t>
      </w:r>
    </w:p>
    <w:p w:rsidR="00B10315">
      <w:pPr>
        <w:numPr>
          <w:ilvl w:val="0"/>
          <w:numId w:val="7"/>
        </w:numPr>
        <w:spacing w:line="360" w:lineRule="auto"/>
      </w:pPr>
      <w:r>
        <w:t>London’s global appeal relies on its open door policy across the ecosystem of world-class venues, theatres, galleries, and museums. At the Southbank Centre, we’re committed to over 45% of our events being free (in 2025, 55% of our events were free). This inclusive model makes London a vibrant and inclusive global city; however, rising operational costs make this level of accessibility difficult to sustain. For example, since the pandemic, we have been unable to open our doors to the public on Mondays. Witho</w:t>
      </w:r>
      <w:r>
        <w:t>ut new investment, free cultural offers risk being eroded. If the ‘pull factor’ of our culture weakens, the tourism economy will inevitably follow.</w:t>
      </w:r>
    </w:p>
    <w:p w:rsidR="00B10315">
      <w:pPr>
        <w:numPr>
          <w:ilvl w:val="0"/>
          <w:numId w:val="7"/>
        </w:numPr>
        <w:spacing w:line="360" w:lineRule="auto"/>
      </w:pPr>
      <w:r>
        <w:t xml:space="preserve">When cultural venues are well-funded, they can stage the world-class, internationally significant events and exhibitions (like our Nara retrospective) that generate the very overnight stays the levy relies upon. </w:t>
      </w:r>
    </w:p>
    <w:p w:rsidR="00B10315">
      <w:pPr>
        <w:numPr>
          <w:ilvl w:val="1"/>
          <w:numId w:val="7"/>
        </w:numPr>
        <w:spacing w:line="360" w:lineRule="auto"/>
      </w:pPr>
      <w:r>
        <w:t xml:space="preserve">In addition to preserving open door policies, cultural organisations can use levy funds strategically to drive culture-led demand during low-occupancy months (January–March), supporting hotels when they need it most. This could include a major new winter festival across the Southbank Centre site – turning the quiet season into a vibrant, must-see destination that keeps hotel beds full and restaurants buzzing. Like many in the culture sector, we are open to exploring these opportunities to ensure the levy’s </w:t>
      </w:r>
      <w:r>
        <w:t xml:space="preserve">revenue creates a virtuous cycle. </w:t>
      </w:r>
    </w:p>
    <w:p w:rsidR="00B10315">
      <w:pPr>
        <w:numPr>
          <w:ilvl w:val="0"/>
          <w:numId w:val="7"/>
        </w:numPr>
        <w:spacing w:line="360" w:lineRule="auto"/>
      </w:pPr>
      <w:r>
        <w:t xml:space="preserve">Using revenue in this way ensures our city remains globally competitive. Investing revenue generated from an overnight tourist levy in this way ensures it aligns with successful international models. </w:t>
      </w:r>
    </w:p>
    <w:p w:rsidR="00B10315">
      <w:pPr>
        <w:numPr>
          <w:ilvl w:val="1"/>
          <w:numId w:val="7"/>
        </w:numPr>
        <w:spacing w:line="360" w:lineRule="auto"/>
      </w:pPr>
      <w:r>
        <w:t xml:space="preserve">Berlin provides a best-practice blueprint. By treating their visitor levy as a dedicated cultural tax, they increased their cultural budget to approximately €947 million in 2024. This revenue goes directly into the Cultural </w:t>
      </w:r>
      <w:r>
        <w:t>Infrastructure Fund, supporting both world-class institutions and independent arts projects. This 'circular economy' model - where tourists help pay for the city’s cultural vitality - is what we need for London.</w:t>
      </w:r>
    </w:p>
    <w:p w:rsidR="00B10315">
      <w:pPr>
        <w:numPr>
          <w:ilvl w:val="0"/>
          <w:numId w:val="7"/>
        </w:numPr>
        <w:spacing w:line="360" w:lineRule="auto"/>
      </w:pPr>
      <w:r>
        <w:t>This position is shared by London’s leading non-profit performing arts organisations.</w:t>
      </w:r>
    </w:p>
    <w:p w:rsidR="00B10315">
      <w:pPr>
        <w:numPr>
          <w:ilvl w:val="1"/>
          <w:numId w:val="7"/>
        </w:numPr>
        <w:spacing w:line="360" w:lineRule="auto"/>
      </w:pPr>
      <w:r>
        <w:t>‘</w:t>
      </w:r>
      <w:r>
        <w:rPr>
          <w:i/>
          <w:iCs/>
        </w:rPr>
        <w:t>We welcome the Chancellor’s announcement granting the Mayor of London the authority to introduce a visitor levy to strengthen London’s vital visitor economy. London welcomes close to 20 million visitors each year who cite the capital’s unbeatable cultural attractions as the leading reason for their visit. Building on successful models in other global cities, we look forward to collaborating with the Mayor to ensure that revenue from this levy supports cultural infrastructure - including performing arts orga</w:t>
      </w:r>
      <w:r>
        <w:rPr>
          <w:i/>
          <w:iCs/>
        </w:rPr>
        <w:t>nisations across the capital. This investment will help London sustain and grow its economy, with world-class arts and culture at the heart of the city’s appeal to visitors</w:t>
      </w:r>
      <w:r>
        <w:t>.’ — Joint Statement: The Southbank Centre, National Theatre, ENO, Royal Ballet and Opera, Sadler’s Wells.</w:t>
      </w:r>
      <w:r>
        <w:br/>
      </w:r>
    </w:p>
    <w:p w:rsidR="00B10315">
      <w:pPr>
        <w:pStyle w:val="Heading2"/>
        <w:keepNext w:val="0"/>
        <w:keepLines w:val="0"/>
        <w:numPr>
          <w:ilvl w:val="0"/>
          <w:numId w:val="1"/>
        </w:numPr>
        <w:spacing w:before="0" w:after="0" w:line="360" w:lineRule="auto"/>
        <w:jc w:val="both"/>
        <w:rPr>
          <w:b/>
          <w:bCs/>
          <w:sz w:val="28"/>
          <w:szCs w:val="28"/>
        </w:rPr>
      </w:pPr>
      <w:bookmarkStart w:id="7" w:name="_s1snerfyzefc" w:colFirst="0" w:colLast="0"/>
      <w:bookmarkEnd w:id="7"/>
      <w:r>
        <w:rPr>
          <w:b/>
          <w:bCs/>
          <w:sz w:val="28"/>
          <w:szCs w:val="28"/>
        </w:rPr>
        <w:t>The Southbank Centre as a high-footfall public site:</w:t>
      </w:r>
    </w:p>
    <w:p w:rsidR="00B10315">
      <w:pPr>
        <w:pStyle w:val="Heading4"/>
        <w:keepNext w:val="0"/>
        <w:keepLines w:val="0"/>
        <w:numPr>
          <w:ilvl w:val="0"/>
          <w:numId w:val="6"/>
        </w:numPr>
        <w:shd w:val="clear" w:color="auto" w:fill="FFFFFF"/>
        <w:spacing w:before="0" w:after="0" w:line="360" w:lineRule="auto"/>
        <w:rPr>
          <w:color w:val="000000"/>
          <w:sz w:val="22"/>
          <w:szCs w:val="22"/>
        </w:rPr>
      </w:pPr>
      <w:bookmarkStart w:id="8" w:name="_i9uwwi7h0ugt" w:colFirst="0" w:colLast="0"/>
      <w:bookmarkEnd w:id="8"/>
      <w:r>
        <w:rPr>
          <w:color w:val="000000"/>
          <w:sz w:val="22"/>
          <w:szCs w:val="22"/>
        </w:rPr>
        <w:t>In addition to the minimum 60% of revenue generated ring-fenced for culture, a significant portion of the overnight visit levy must be dedicated to the physical maintenance of the high-footfall public sites which host visitors.</w:t>
      </w:r>
    </w:p>
    <w:p w:rsidR="00B10315">
      <w:pPr>
        <w:numPr>
          <w:ilvl w:val="0"/>
          <w:numId w:val="6"/>
        </w:numPr>
        <w:spacing w:line="360" w:lineRule="auto"/>
      </w:pPr>
      <w:r>
        <w:t>The Southbank Centre’s 11-acre estate sees over 22 million people attending events, entering our buildings or walking through our riverside patch of the Thames each year. As well as being one of the capital's premier civic and cultural hubs, we serve as a vital, free public thoroughfare, including our proximity to Big Ben and the London Eye.</w:t>
      </w:r>
    </w:p>
    <w:p w:rsidR="00B10315">
      <w:pPr>
        <w:numPr>
          <w:ilvl w:val="0"/>
          <w:numId w:val="6"/>
        </w:numPr>
        <w:spacing w:line="360" w:lineRule="auto"/>
      </w:pPr>
      <w:r>
        <w:t>As a result, the Southbank Centre bears the immense, unfunded cost of hosting these crowds. We are required to fund the security, safety, waste, lighting, pavements, stairways and maintenance for millions of tourists who use our site as a thoroughfare.</w:t>
      </w:r>
    </w:p>
    <w:p w:rsidR="00B10315">
      <w:pPr>
        <w:numPr>
          <w:ilvl w:val="0"/>
          <w:numId w:val="6"/>
        </w:numPr>
        <w:spacing w:line="360" w:lineRule="auto"/>
      </w:pPr>
      <w:r>
        <w:t>High-footfall public sites currently subsidise London's tourism success without remuneration. We face the wear on the Queen’s Walk, aging infrastructure in our 75-year-old, Grade I listed Royal Festival Hall, our other Grade 2 venues and the preservation needs of historic national infrastructure.</w:t>
      </w:r>
    </w:p>
    <w:p w:rsidR="00B10315">
      <w:pPr>
        <w:numPr>
          <w:ilvl w:val="0"/>
          <w:numId w:val="6"/>
        </w:numPr>
        <w:spacing w:after="240" w:line="360" w:lineRule="auto"/>
      </w:pPr>
      <w:r>
        <w:t xml:space="preserve">Sustaining this level of public use is an urgent challenge. Without dedicated investment, we are forced to divert vital artistic funds to ‘repair the brick’ – weakening the cultural offer that attracts tourists. Reallocating a portion of the levy ensures </w:t>
      </w:r>
      <w:r>
        <w:t>these essential public realm assets remain safe and world-class, preventing the diversion of already limited creative budgets toward basic infrastructure repairs. Reinvesting these funds ensures that revenue generated from the visitor levy creates a virtuous cycle for growth.</w:t>
      </w:r>
    </w:p>
    <w:p w:rsidR="00B10315">
      <w:pPr>
        <w:spacing w:before="240" w:after="240" w:line="360" w:lineRule="auto"/>
      </w:pPr>
    </w:p>
    <w:p w:rsidR="00B10315">
      <w:pPr>
        <w:jc w:val="both"/>
      </w:pPr>
    </w:p>
    <w:sectPr>
      <w:pgSz w:w="11909" w:h="16834"/>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3FB8C12D-9503-4A90-B5B6-5805F1388962}"/>
  </w:font>
  <w:font w:name="Cambria">
    <w:panose1 w:val="02040503050406030204"/>
    <w:charset w:val="00"/>
    <w:family w:val="roman"/>
    <w:pitch w:val="variable"/>
    <w:sig w:usb0="E00006FF" w:usb1="420024FF" w:usb2="02000000" w:usb3="00000000" w:csb0="0000019F" w:csb1="00000000"/>
    <w:embedRegular r:id="rId2" w:fontKey="{7B8F84C6-6BBA-4100-BD42-711321CE33A7}"/>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0000001"/>
    <w:multiLevelType w:val="hybridMultilevel"/>
    <w:tmpl w:val="0000000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nsid w:val="00000002"/>
    <w:multiLevelType w:val="hybridMultilevel"/>
    <w:tmpl w:val="000000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nsid w:val="00000003"/>
    <w:multiLevelType w:val="hybridMultilevel"/>
    <w:tmpl w:val="00000000"/>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
    <w:nsid w:val="00000004"/>
    <w:multiLevelType w:val="hybridMultilevel"/>
    <w:tmpl w:val="000000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nsid w:val="00000005"/>
    <w:multiLevelType w:val="hybridMultilevel"/>
    <w:tmpl w:val="000000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nsid w:val="00000006"/>
    <w:multiLevelType w:val="hybridMultilevel"/>
    <w:tmpl w:val="000000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nsid w:val="00000007"/>
    <w:multiLevelType w:val="hybridMultilevel"/>
    <w:tmpl w:val="000000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sz w:val="22"/>
        <w:szCs w:val="22"/>
        <w:lang w:val="en-GB"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B77B5"/>
  </w:style>
  <w:style w:type="paragraph" w:styleId="Heading1">
    <w:name w:val="heading 1"/>
    <w:basedOn w:val="Normal1"/>
    <w:next w:val="Normal1"/>
    <w:pPr>
      <w:keepNext/>
      <w:keepLines/>
      <w:spacing w:before="400" w:after="120" w:line="240" w:lineRule="auto"/>
      <w:outlineLvl w:val="0"/>
    </w:pPr>
    <w:rPr>
      <w:sz w:val="40"/>
      <w:szCs w:val="40"/>
    </w:rPr>
  </w:style>
  <w:style w:type="paragraph" w:styleId="Heading2">
    <w:name w:val="heading 2"/>
    <w:basedOn w:val="Normal1"/>
    <w:next w:val="Normal1"/>
    <w:pPr>
      <w:keepNext/>
      <w:keepLines/>
      <w:spacing w:before="360" w:after="120" w:line="240" w:lineRule="auto"/>
      <w:outlineLvl w:val="1"/>
    </w:pPr>
    <w:rPr>
      <w:sz w:val="32"/>
      <w:szCs w:val="32"/>
    </w:rPr>
  </w:style>
  <w:style w:type="paragraph" w:styleId="Heading3">
    <w:name w:val="heading 3"/>
    <w:basedOn w:val="Normal1"/>
    <w:next w:val="Normal1"/>
    <w:pPr>
      <w:keepNext/>
      <w:keepLines/>
      <w:spacing w:before="320" w:after="80" w:line="240" w:lineRule="auto"/>
      <w:outlineLvl w:val="2"/>
    </w:pPr>
    <w:rPr>
      <w:color w:val="434343"/>
      <w:sz w:val="28"/>
      <w:szCs w:val="28"/>
    </w:rPr>
  </w:style>
  <w:style w:type="paragraph" w:styleId="Heading4">
    <w:name w:val="heading 4"/>
    <w:basedOn w:val="Normal1"/>
    <w:next w:val="Normal1"/>
    <w:pPr>
      <w:keepNext/>
      <w:keepLines/>
      <w:spacing w:before="280" w:after="80" w:line="240" w:lineRule="auto"/>
      <w:outlineLvl w:val="3"/>
    </w:pPr>
    <w:rPr>
      <w:color w:val="666666"/>
      <w:sz w:val="24"/>
      <w:szCs w:val="24"/>
    </w:rPr>
  </w:style>
  <w:style w:type="paragraph" w:styleId="Heading5">
    <w:name w:val="heading 5"/>
    <w:basedOn w:val="Normal1"/>
    <w:next w:val="Normal1"/>
    <w:pPr>
      <w:keepNext/>
      <w:keepLines/>
      <w:spacing w:before="240" w:after="80" w:line="240" w:lineRule="auto"/>
      <w:outlineLvl w:val="4"/>
    </w:pPr>
    <w:rPr>
      <w:color w:val="666666"/>
    </w:rPr>
  </w:style>
  <w:style w:type="paragraph" w:styleId="Heading6">
    <w:name w:val="heading 6"/>
    <w:basedOn w:val="Normal1"/>
    <w:next w:val="Normal1"/>
    <w:pPr>
      <w:keepNext/>
      <w:keepLines/>
      <w:spacing w:before="240" w:after="80" w:line="240" w:lineRule="auto"/>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customStyle="1" w:styleId="Normal1">
    <w:name w:val="Normal1"/>
  </w:style>
  <w:style w:type="paragraph" w:styleId="Title">
    <w:name w:val="Title"/>
    <w:basedOn w:val="Normal1"/>
    <w:next w:val="Normal1"/>
    <w:pPr>
      <w:keepNext/>
      <w:keepLines/>
      <w:spacing w:after="60" w:line="240" w:lineRule="auto"/>
    </w:pPr>
    <w:rPr>
      <w:sz w:val="52"/>
      <w:szCs w:val="52"/>
    </w:rPr>
  </w:style>
  <w:style w:type="paragraph" w:styleId="Subtitle">
    <w:name w:val="Subtitle"/>
    <w:basedOn w:val="Normal1"/>
    <w:next w:val="Normal1"/>
    <w:pPr>
      <w:keepNext/>
      <w:keepLines/>
      <w:spacing w:after="320" w:line="240" w:lineRule="auto"/>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numbering" Target="numbering.xml" /><Relationship Id="rId6" Type="http://schemas.openxmlformats.org/officeDocument/2006/relationships/styles" Target="styles.xml" /></Relationships>
</file>

<file path=word/_rels/fontTable.xml.rels>&#65279;<?xml version="1.0" encoding="utf-8" standalone="yes"?><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Metadata/LabelInfo.xml><?xml version="1.0" encoding="utf-8"?>
<clbl:labelList xmlns:clbl="http://schemas.microsoft.com/office/2020/mipLabelMetadata">
  <clbl:label id="{a8f77787-5df4-43b6-a2a8-8d8b678a318b}" enabled="1" method="Standard" siteId="{1ce6dd9e-b337-4088-be5e-8dbbec04b34a}" contentBits="0"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Written evidence - TOU0045</dc:title>
  <cp:revision>0</cp:revision>
</cp:coreProperties>
</file>