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D04D8" w:rsidRPr="00654999" w:rsidP="009266D9">
      <w:pPr>
        <w:spacing w:line="240" w:lineRule="auto"/>
        <w:jc w:val="center"/>
      </w:pPr>
      <w:r w:rsidRPr="00654999">
        <w:t>Written evidence submitted by the Events Industry Alliance</w:t>
      </w:r>
    </w:p>
    <w:p w:rsidR="006D04D8" w:rsidRPr="00654999" w:rsidP="009266D9">
      <w:pPr>
        <w:spacing w:line="240" w:lineRule="auto"/>
        <w:rPr>
          <w:b/>
          <w:bCs/>
        </w:rPr>
      </w:pPr>
      <w:r w:rsidRPr="00654999">
        <w:rPr>
          <w:b/>
          <w:bCs/>
        </w:rPr>
        <w:t>Events Industry Alliance</w:t>
      </w:r>
    </w:p>
    <w:p w:rsidR="006D04D8" w:rsidRPr="00654999" w:rsidP="009266D9">
      <w:pPr>
        <w:spacing w:line="240" w:lineRule="auto"/>
      </w:pPr>
      <w:r w:rsidRPr="00654999">
        <w:t xml:space="preserve">The Events Industry Alliance (EIA) is the unified voice of the UK’s business events sector, representing nearly 500 companies through the Association of Event Organisers (AEO), the Association of Event Venues (AEV), and the Event Supplier and Services Association (ESSA). Our members create, build and host world leading business events, attracting domestic and international visitors and exhibitors, across the four nations, at large event spaces such as the Scottish Exhibition Campus, ICC Wales, ICC Belfast, </w:t>
      </w:r>
      <w:r w:rsidR="008E0EDA">
        <w:t>t</w:t>
      </w:r>
      <w:r w:rsidRPr="00654999">
        <w:t>he NEC, and Excel London. The types of events can be broken down into trade exhibitions, consumer shows, and conferences with significant exhibition space.</w:t>
      </w:r>
    </w:p>
    <w:p w:rsidR="00F81865" w:rsidRPr="00654999" w:rsidP="009266D9">
      <w:pPr>
        <w:pStyle w:val="NoSpacing"/>
      </w:pPr>
      <w:r>
        <w:t xml:space="preserve">Tourism </w:t>
      </w:r>
      <w:r w:rsidR="009C60CC">
        <w:t xml:space="preserve">from </w:t>
      </w:r>
      <w:r w:rsidR="006442E0">
        <w:t>the UK business even</w:t>
      </w:r>
      <w:r w:rsidR="00A9427E">
        <w:t>ts se</w:t>
      </w:r>
      <w:r w:rsidR="00D80C18">
        <w:t xml:space="preserve">ctor </w:t>
      </w:r>
      <w:r w:rsidRPr="00654999">
        <w:t xml:space="preserve">is a distinct form of tourism that is commonly overlooked despite its greater economic contribution. A single sporting or cultural event may occur annually and generate around £50 million in economic value, while the business events sector delivers comparable economic activity every day. In 2025, exhibitions alone generated £11.5 billion in economic output and supported 126,000 jobs. </w:t>
      </w:r>
    </w:p>
    <w:p w:rsidR="00F81865" w:rsidRPr="00654999" w:rsidP="009266D9">
      <w:pPr>
        <w:pStyle w:val="NoSpacing"/>
      </w:pPr>
    </w:p>
    <w:p w:rsidR="00F81865" w:rsidRPr="00654999" w:rsidP="009266D9">
      <w:pPr>
        <w:pStyle w:val="NoSpacing"/>
      </w:pPr>
      <w:r w:rsidRPr="00654999">
        <w:t>This distinctiveness matters for competitiveness, as business events are shaped by practical operating conditions as much as destination promotion. Competitiveness is driven by the operating environment across the sector-Government engagement and coordination, regulatory consistency, and the costs created by post</w:t>
      </w:r>
      <w:r w:rsidRPr="00654999">
        <w:noBreakHyphen/>
        <w:t>Brexit mobility and cross</w:t>
      </w:r>
      <w:r w:rsidRPr="00654999">
        <w:noBreakHyphen/>
        <w:t>border logistics for people and equipment.</w:t>
      </w:r>
    </w:p>
    <w:p w:rsidR="00C07049" w:rsidRPr="00654999" w:rsidP="009266D9">
      <w:pPr>
        <w:spacing w:line="240" w:lineRule="auto"/>
      </w:pPr>
    </w:p>
    <w:p w:rsidR="004B7E5D">
      <w:pPr>
        <w:spacing w:line="278" w:lineRule="auto"/>
        <w:rPr>
          <w:b/>
          <w:bCs/>
        </w:rPr>
      </w:pPr>
      <w:r>
        <w:rPr>
          <w:b/>
          <w:bCs/>
        </w:rPr>
        <w:br w:type="page"/>
      </w:r>
    </w:p>
    <w:p w:rsidR="006D04D8" w:rsidRPr="00654999" w:rsidP="009266D9">
      <w:pPr>
        <w:spacing w:line="240" w:lineRule="auto"/>
        <w:rPr>
          <w:b/>
          <w:bCs/>
        </w:rPr>
      </w:pPr>
      <w:r w:rsidRPr="00654999">
        <w:rPr>
          <w:b/>
          <w:bCs/>
        </w:rPr>
        <w:t>How effective are government policies in supporting the growth, competitiveness and long-term resilience of the tourism sector?</w:t>
      </w:r>
    </w:p>
    <w:p w:rsidR="006D04D8" w:rsidRPr="00654999" w:rsidP="009266D9">
      <w:pPr>
        <w:spacing w:line="240" w:lineRule="auto"/>
        <w:rPr>
          <w:i/>
          <w:iCs/>
        </w:rPr>
      </w:pPr>
      <w:r w:rsidRPr="00654999">
        <w:rPr>
          <w:i/>
          <w:iCs/>
        </w:rPr>
        <w:t>What are the main barriers to international competitiveness? How effectively does the UK promote itself overseas as a destination and what more could be done to strengthen its international profile?</w:t>
      </w:r>
      <w:r w:rsidRPr="00654999" w:rsidR="00D16225">
        <w:rPr>
          <w:i/>
          <w:iCs/>
        </w:rPr>
        <w:t xml:space="preserve"> </w:t>
      </w:r>
    </w:p>
    <w:p w:rsidR="00016B87" w:rsidRPr="00654999" w:rsidP="00F93771">
      <w:pPr>
        <w:pStyle w:val="ListParagraph"/>
        <w:numPr>
          <w:ilvl w:val="0"/>
          <w:numId w:val="4"/>
        </w:numPr>
        <w:spacing w:line="240" w:lineRule="auto"/>
      </w:pPr>
      <w:r w:rsidRPr="00654999">
        <w:t>While the Government has focused on tourism in regard to holidays and cultural tourism, it is important to remember the role business tourism plays. In fact, VisitBritain’s Economic Value of Tourism January 2026 report identified business and blended leisure and business travel as the greatest tourism opportunity, with 60% of respondents citing it as an opportunity for tourism growth in the next five years. Despite the significant importance of business tourism, the Government has not provided sufficient support to anchor this kind of tourism – namely conferences, exhibitions, and other business events.</w:t>
      </w:r>
    </w:p>
    <w:p w:rsidR="006D04D8" w:rsidRPr="00654999" w:rsidP="009266D9">
      <w:pPr>
        <w:spacing w:line="240" w:lineRule="auto"/>
        <w:rPr>
          <w:i/>
          <w:iCs/>
        </w:rPr>
      </w:pPr>
      <w:r w:rsidRPr="00654999">
        <w:rPr>
          <w:i/>
          <w:iCs/>
        </w:rPr>
        <w:t>What factors explain any divergence in growth trends between the UK and European countries?</w:t>
      </w:r>
    </w:p>
    <w:p w:rsidR="009F03A5" w:rsidP="00F93771">
      <w:pPr>
        <w:pStyle w:val="ListParagraph"/>
        <w:numPr>
          <w:ilvl w:val="0"/>
          <w:numId w:val="4"/>
        </w:numPr>
        <w:spacing w:line="240" w:lineRule="auto"/>
      </w:pPr>
      <w:r w:rsidRPr="00654999">
        <w:t>When competing for conferences and events that drive business tourism, the UK has developed a reputation for being too difficult to do business in, meaning events are either leaving the UK or are wary of coming to the UK. This is largely due to lack of Government support for events and lack of consideration for how business events – and the people who deliver them – require specific support compared to cultural events.</w:t>
      </w:r>
      <w:r w:rsidRPr="00654999" w:rsidR="00F462D0">
        <w:t xml:space="preserve"> </w:t>
      </w:r>
      <w:r w:rsidRPr="00654999" w:rsidR="00C27F18">
        <w:t xml:space="preserve">By </w:t>
      </w:r>
      <w:r w:rsidRPr="00654999" w:rsidR="00064E9B">
        <w:t>cont</w:t>
      </w:r>
      <w:r w:rsidRPr="00654999" w:rsidR="000219B4">
        <w:t>rast</w:t>
      </w:r>
      <w:r w:rsidRPr="00654999" w:rsidR="00066F95">
        <w:t xml:space="preserve"> and </w:t>
      </w:r>
      <w:r w:rsidRPr="00654999" w:rsidR="00C56754">
        <w:t>for examp</w:t>
      </w:r>
      <w:r w:rsidRPr="00654999" w:rsidR="00BA30FF">
        <w:t xml:space="preserve">les of </w:t>
      </w:r>
      <w:r w:rsidRPr="00654999" w:rsidR="001B0C85">
        <w:t xml:space="preserve">how support </w:t>
      </w:r>
      <w:r w:rsidRPr="00654999" w:rsidR="000C6AD3">
        <w:t>can be struc</w:t>
      </w:r>
      <w:r w:rsidRPr="00654999" w:rsidR="00167FDB">
        <w:t>tured diff</w:t>
      </w:r>
      <w:r w:rsidRPr="00654999" w:rsidR="0047526E">
        <w:t>erently</w:t>
      </w:r>
      <w:r w:rsidRPr="00654999" w:rsidR="0056186C">
        <w:t xml:space="preserve">, </w:t>
      </w:r>
      <w:r w:rsidRPr="00654999" w:rsidR="00BF68DD">
        <w:t>c</w:t>
      </w:r>
      <w:r w:rsidRPr="00654999" w:rsidR="00F13EA0">
        <w:t>ompetitor</w:t>
      </w:r>
      <w:r w:rsidRPr="00654999" w:rsidR="009B6DD8">
        <w:t xml:space="preserve"> </w:t>
      </w:r>
      <w:r w:rsidRPr="00654999" w:rsidR="0014729A">
        <w:t xml:space="preserve">nations </w:t>
      </w:r>
      <w:r w:rsidRPr="00654999" w:rsidR="00556E5B">
        <w:t>lik</w:t>
      </w:r>
      <w:r w:rsidRPr="00654999" w:rsidR="003F10C0">
        <w:t xml:space="preserve">e </w:t>
      </w:r>
      <w:r w:rsidRPr="00654999" w:rsidR="00EF1216">
        <w:t>Germany and Ireland</w:t>
      </w:r>
      <w:r w:rsidRPr="00654999" w:rsidR="00BB53B4">
        <w:t xml:space="preserve"> </w:t>
      </w:r>
      <w:r w:rsidRPr="00654999" w:rsidR="00EF1216">
        <w:t>have dedicated business event</w:t>
      </w:r>
      <w:r w:rsidRPr="00654999" w:rsidR="008E16D4">
        <w:t xml:space="preserve"> </w:t>
      </w:r>
      <w:r w:rsidRPr="00654999" w:rsidR="00EF1216">
        <w:t>roadmaps</w:t>
      </w:r>
      <w:r w:rsidRPr="00654999" w:rsidR="0016398D">
        <w:t xml:space="preserve"> up to 2030</w:t>
      </w:r>
      <w:r w:rsidRPr="00654999" w:rsidR="00EF1216">
        <w:t xml:space="preserve"> and more coordinated “one</w:t>
      </w:r>
      <w:r w:rsidRPr="00654999" w:rsidR="00EF1216">
        <w:noBreakHyphen/>
        <w:t>stop shop</w:t>
      </w:r>
      <w:r w:rsidRPr="00654999" w:rsidR="00FA6BA0">
        <w:t>s</w:t>
      </w:r>
      <w:r w:rsidRPr="00654999" w:rsidR="00EF1216">
        <w:t xml:space="preserve">” </w:t>
      </w:r>
      <w:r w:rsidRPr="00654999" w:rsidR="00107BC1">
        <w:t xml:space="preserve">for </w:t>
      </w:r>
      <w:r w:rsidRPr="00654999" w:rsidR="00EF1216">
        <w:t xml:space="preserve">engagement </w:t>
      </w:r>
      <w:r w:rsidRPr="00654999" w:rsidR="0016398D">
        <w:t>between</w:t>
      </w:r>
      <w:r w:rsidRPr="00654999" w:rsidR="00EF1216">
        <w:t xml:space="preserve"> Government</w:t>
      </w:r>
      <w:r w:rsidRPr="00654999" w:rsidR="0016398D">
        <w:t xml:space="preserve"> and </w:t>
      </w:r>
      <w:r w:rsidRPr="00654999" w:rsidR="00EF1216">
        <w:t>organisers</w:t>
      </w:r>
      <w:r w:rsidRPr="00654999" w:rsidR="00F85651">
        <w:t>,</w:t>
      </w:r>
      <w:r w:rsidRPr="00654999" w:rsidR="0016398D">
        <w:t xml:space="preserve"> giving</w:t>
      </w:r>
      <w:r w:rsidRPr="00654999" w:rsidR="00EF1216">
        <w:t xml:space="preserve"> clearer points of contact and earlier certainty when bidding for and delivering events.</w:t>
      </w:r>
    </w:p>
    <w:p w:rsidR="005E7F05" w:rsidRPr="00654999" w:rsidP="005E7F05">
      <w:pPr>
        <w:pStyle w:val="ListParagraph"/>
        <w:spacing w:line="240" w:lineRule="auto"/>
      </w:pPr>
    </w:p>
    <w:p w:rsidR="001E5791" w:rsidRPr="00654999" w:rsidP="00F93771">
      <w:pPr>
        <w:pStyle w:val="ListParagraph"/>
        <w:numPr>
          <w:ilvl w:val="0"/>
          <w:numId w:val="4"/>
        </w:numPr>
        <w:spacing w:line="240" w:lineRule="auto"/>
      </w:pPr>
      <w:r w:rsidRPr="00654999">
        <w:t xml:space="preserve">Current visa regulations also mean UK suppliers and services companies struggle to operate outside of the UK, and international suppliers and services companies struggle to operate in the UK. Overall, this makes the UK more expensive for events and means UK events cannot so easily attract international companies, making other European countries more attractive. </w:t>
      </w:r>
    </w:p>
    <w:p w:rsidR="006D04D8" w:rsidRPr="00654999" w:rsidP="009266D9">
      <w:pPr>
        <w:spacing w:line="240" w:lineRule="auto"/>
        <w:rPr>
          <w:i/>
          <w:iCs/>
        </w:rPr>
      </w:pPr>
      <w:r w:rsidRPr="00654999">
        <w:rPr>
          <w:i/>
          <w:iCs/>
        </w:rPr>
        <w:t>What are the specific drivers of international tourism to the UK, what is the economic value of each of those drivers and how can their value be increased?</w:t>
      </w:r>
    </w:p>
    <w:p w:rsidR="006D04D8" w:rsidP="00F93771">
      <w:pPr>
        <w:pStyle w:val="ListParagraph"/>
        <w:numPr>
          <w:ilvl w:val="0"/>
          <w:numId w:val="4"/>
        </w:numPr>
        <w:spacing w:line="240" w:lineRule="auto"/>
      </w:pPr>
      <w:r w:rsidRPr="00654999">
        <w:t xml:space="preserve">Business events and conferences draw in thousands of business tourists a year, as well as drive domestic tourism to regions around the country. The annual Economic Impact Report, prepared by Oxford Economics on behalf of the EIA, found that exhibitions (encompassing </w:t>
      </w:r>
      <w:r w:rsidR="005E7F05">
        <w:t>consumer</w:t>
      </w:r>
      <w:r w:rsidRPr="00654999" w:rsidR="005E7F05">
        <w:t xml:space="preserve"> shows</w:t>
      </w:r>
      <w:r w:rsidRPr="00654999">
        <w:t xml:space="preserve"> and trade exhibitions) generated £5.1 billion of direct spending, supported nearly 61,000 direct jobs, and contributed £2.9 billion of direct GDP. Moreover, according to the ONS, in the first half of 2025, business was the listed purpose for 16% of overseas visitors – but accounted for 20% of overseas visitor spend, demonstrating the value of business tourism generated by exhibitions and events. </w:t>
      </w:r>
    </w:p>
    <w:p w:rsidR="005E7F05" w:rsidRPr="00654999" w:rsidP="005E7F05">
      <w:pPr>
        <w:pStyle w:val="ListParagraph"/>
        <w:spacing w:line="240" w:lineRule="auto"/>
      </w:pPr>
    </w:p>
    <w:p w:rsidR="001C4836" w:rsidRPr="00654999" w:rsidP="00F93771">
      <w:pPr>
        <w:pStyle w:val="ListParagraph"/>
        <w:numPr>
          <w:ilvl w:val="0"/>
          <w:numId w:val="4"/>
        </w:numPr>
        <w:spacing w:line="240" w:lineRule="auto"/>
      </w:pPr>
      <w:r w:rsidRPr="00654999">
        <w:t>While making operating conditions easier is always welcome, the easiest way for Government to support business events in securing further visitors and international visitors in particular is to send high level representation, and confirm this representation as early as possible. In Europe</w:t>
      </w:r>
      <w:r w:rsidRPr="00654999" w:rsidR="004E17F3">
        <w:t xml:space="preserve">an </w:t>
      </w:r>
      <w:r w:rsidRPr="00654999" w:rsidR="00232D3E">
        <w:t>countries</w:t>
      </w:r>
      <w:r w:rsidRPr="00654999">
        <w:t>, this is treated as part of the support offer: early confirmation of senior attendance helps organisers secure international delegations and other senior decision-makers. By comparison, in the UK, even when ministers or similar do attend events, this is confirmed days or weeks beforehand, limiting the impact.</w:t>
      </w:r>
    </w:p>
    <w:p w:rsidR="005E7F05" w:rsidP="005E7F05">
      <w:pPr>
        <w:pStyle w:val="ListParagraph"/>
        <w:spacing w:line="240" w:lineRule="auto"/>
      </w:pPr>
    </w:p>
    <w:p w:rsidR="00136D7E" w:rsidRPr="00654999" w:rsidP="00F93771">
      <w:pPr>
        <w:pStyle w:val="ListParagraph"/>
        <w:numPr>
          <w:ilvl w:val="0"/>
          <w:numId w:val="4"/>
        </w:numPr>
        <w:spacing w:line="240" w:lineRule="auto"/>
      </w:pPr>
      <w:r w:rsidRPr="00654999">
        <w:t xml:space="preserve">Often there is no attendance at all. Farnborough International Airshow is </w:t>
      </w:r>
      <w:r w:rsidRPr="00654999" w:rsidR="00232D3E">
        <w:t>a</w:t>
      </w:r>
      <w:r w:rsidRPr="00654999">
        <w:t xml:space="preserve"> </w:t>
      </w:r>
      <w:r w:rsidRPr="00654999" w:rsidR="00232D3E">
        <w:t>vital</w:t>
      </w:r>
      <w:r w:rsidRPr="00654999">
        <w:t xml:space="preserve"> shop window for British industry and exports, attracting a global audience. However, despite attracting representatives of other countries, including the US Department of War,</w:t>
      </w:r>
      <w:r w:rsidRPr="00654999" w:rsidR="00873358">
        <w:t xml:space="preserve"> at th</w:t>
      </w:r>
      <w:r w:rsidRPr="00654999" w:rsidR="00C34225">
        <w:t>e time of writi</w:t>
      </w:r>
      <w:r w:rsidRPr="00654999" w:rsidR="00DC33CB">
        <w:t xml:space="preserve">ng </w:t>
      </w:r>
      <w:r w:rsidRPr="00654999">
        <w:t>it has still not received confirmation of attendance from the UK’s own government.</w:t>
      </w:r>
      <w:r w:rsidRPr="00654999" w:rsidR="00043733">
        <w:t xml:space="preserve"> </w:t>
      </w:r>
      <w:r w:rsidR="00966EDB">
        <w:t xml:space="preserve">While the </w:t>
      </w:r>
      <w:r w:rsidR="0071795A">
        <w:t xml:space="preserve">Minister Peacock reported that the Transport Minister will be attending Farnborough, this has taken months to confirm. </w:t>
      </w:r>
    </w:p>
    <w:p w:rsidR="006D04D8" w:rsidRPr="00654999" w:rsidP="009266D9">
      <w:pPr>
        <w:spacing w:line="240" w:lineRule="auto"/>
        <w:rPr>
          <w:i/>
          <w:iCs/>
        </w:rPr>
      </w:pPr>
      <w:r w:rsidRPr="00654999">
        <w:rPr>
          <w:i/>
          <w:iCs/>
        </w:rPr>
        <w:t>How effectively do the UK and devolved Governments work together to promote tourism and support the sector?</w:t>
      </w:r>
    </w:p>
    <w:p w:rsidR="006D04D8" w:rsidP="005E7F05">
      <w:pPr>
        <w:pStyle w:val="ListParagraph"/>
        <w:numPr>
          <w:ilvl w:val="0"/>
          <w:numId w:val="4"/>
        </w:numPr>
        <w:spacing w:line="240" w:lineRule="auto"/>
      </w:pPr>
      <w:r w:rsidRPr="00654999">
        <w:t>In the UK, the central government does not consider business events or business tourism in its promotional or strategic activities</w:t>
      </w:r>
      <w:r w:rsidRPr="00654999" w:rsidR="00970E11">
        <w:t xml:space="preserve"> sufficiently</w:t>
      </w:r>
      <w:r w:rsidRPr="00654999">
        <w:t>. By contrast, the Scottish, Welsh, and Northern Irish governments all have specific events strategies that include business events as a specific, separate draws; in Northern Ireland’s case, Tourism NI even has an Integrated Business Events Strategy. This shows that the importance of business events is understood around the country; it also highlights that there is a huge gap for the regions of England when it comes to targeted business events support.</w:t>
      </w:r>
    </w:p>
    <w:p w:rsidR="005E7F05" w:rsidRPr="00654999" w:rsidP="005E7F05">
      <w:pPr>
        <w:pStyle w:val="ListParagraph"/>
        <w:spacing w:line="240" w:lineRule="auto"/>
      </w:pPr>
    </w:p>
    <w:p w:rsidR="006D04D8" w:rsidRPr="00654999" w:rsidP="005E7F05">
      <w:pPr>
        <w:pStyle w:val="ListParagraph"/>
        <w:numPr>
          <w:ilvl w:val="0"/>
          <w:numId w:val="4"/>
        </w:numPr>
        <w:spacing w:line="240" w:lineRule="auto"/>
      </w:pPr>
      <w:r w:rsidRPr="00654999">
        <w:t xml:space="preserve">Critically, Government does not work well across itself when supporting business events. While cultural and similar events naturally sit in DCMS, business events cut across a number of priorities in DBT, yet receive little to no support from this department. In fact, given the goal of business events is to support businesses to increase their sales, exports, and networks, business events would be better served by being owned by DBT, particularly as they relate to the Industrial Strategy sectors (e.g., Tech Show London is critical for the tech sector in supporting them to drive investment into that sector, a strategic aim of the Sector Plan). </w:t>
      </w:r>
    </w:p>
    <w:p w:rsidR="006D04D8" w:rsidRPr="00654999" w:rsidP="009266D9">
      <w:pPr>
        <w:spacing w:line="240" w:lineRule="auto"/>
        <w:rPr>
          <w:b/>
          <w:bCs/>
        </w:rPr>
      </w:pPr>
      <w:r w:rsidRPr="00654999">
        <w:rPr>
          <w:b/>
          <w:bCs/>
        </w:rPr>
        <w:t>How can tourism better support regional growth, community prosperity and wider Government objectives?</w:t>
      </w:r>
    </w:p>
    <w:p w:rsidR="006D04D8" w:rsidRPr="00654999" w:rsidP="009266D9">
      <w:pPr>
        <w:spacing w:line="240" w:lineRule="auto"/>
        <w:rPr>
          <w:i/>
          <w:iCs/>
        </w:rPr>
      </w:pPr>
      <w:r w:rsidRPr="00654999">
        <w:rPr>
          <w:i/>
          <w:iCs/>
        </w:rPr>
        <w:t>What barriers prevent regions from capitalising fully on tourism demand and what opportunities remain overlooked?</w:t>
      </w:r>
    </w:p>
    <w:p w:rsidR="006D04D8" w:rsidP="005E7F05">
      <w:pPr>
        <w:pStyle w:val="ListParagraph"/>
        <w:numPr>
          <w:ilvl w:val="0"/>
          <w:numId w:val="4"/>
        </w:numPr>
        <w:spacing w:line="240" w:lineRule="auto"/>
      </w:pPr>
      <w:r w:rsidRPr="00654999">
        <w:t xml:space="preserve">Business events support regional economies, clusters, and businesses. VisitBritain data (prepared by Tourism Economics, an Oxford Economics company) shows that business arrivals made up 78%, 71%, and 64% of tourism spend in Birmingham, Sheffield, and Manchester respectively, compared to 35% </w:t>
      </w:r>
      <w:r w:rsidRPr="00654999">
        <w:t xml:space="preserve">in London, in 2024. Moreover, business tourism helps regional visitor economies to become more resilient and less seasonal – two ambitions of tourism industries everywhere – as it is not dependent on weather, school holidays, or other contributing factors affecting leisure tourism. </w:t>
      </w:r>
    </w:p>
    <w:p w:rsidR="005E7F05" w:rsidRPr="00654999" w:rsidP="005E7F05">
      <w:pPr>
        <w:pStyle w:val="ListParagraph"/>
        <w:spacing w:line="240" w:lineRule="auto"/>
      </w:pPr>
    </w:p>
    <w:p w:rsidR="005E7F05" w:rsidP="009266D9">
      <w:pPr>
        <w:pStyle w:val="ListParagraph"/>
        <w:numPr>
          <w:ilvl w:val="0"/>
          <w:numId w:val="4"/>
        </w:numPr>
        <w:spacing w:line="240" w:lineRule="auto"/>
      </w:pPr>
      <w:r w:rsidRPr="00654999">
        <w:t xml:space="preserve">Such data demonstrates the importance of business events to tourism ecosystems, as well as overall business ecosystems. </w:t>
      </w:r>
      <w:r w:rsidR="006274C6">
        <w:t xml:space="preserve">For </w:t>
      </w:r>
      <w:r w:rsidR="004D2460">
        <w:t>ex</w:t>
      </w:r>
      <w:r w:rsidR="00CF2118">
        <w:t xml:space="preserve">ample, </w:t>
      </w:r>
      <w:r w:rsidR="003B29A0">
        <w:t>t</w:t>
      </w:r>
      <w:r w:rsidRPr="00654999">
        <w:t>he EIA’s Size and Scale Index for Exhibitions (SASIE) report for 2025 found that medical exhibitions (covering medicine, healthcare, and pharmaceuticals) were the second biggest sector in the market, with 13.7% of exhibitions</w:t>
      </w:r>
      <w:r w:rsidR="00FB034C">
        <w:t xml:space="preserve">, </w:t>
      </w:r>
      <w:r w:rsidR="00B72876">
        <w:t>showing</w:t>
      </w:r>
      <w:r w:rsidR="00D0269D">
        <w:t xml:space="preserve"> how </w:t>
      </w:r>
      <w:r w:rsidR="00D04CE9">
        <w:t xml:space="preserve">important </w:t>
      </w:r>
      <w:r w:rsidR="007A5CCC">
        <w:t xml:space="preserve">events are for </w:t>
      </w:r>
      <w:r w:rsidR="009379EC">
        <w:t>key sector</w:t>
      </w:r>
      <w:r w:rsidR="006511ED">
        <w:t xml:space="preserve"> e</w:t>
      </w:r>
      <w:r w:rsidR="008B62D6">
        <w:t xml:space="preserve">cosystems. </w:t>
      </w:r>
    </w:p>
    <w:p w:rsidR="005E7F05" w:rsidP="005E7F05">
      <w:pPr>
        <w:pStyle w:val="ListParagraph"/>
      </w:pPr>
    </w:p>
    <w:p w:rsidR="006D04D8" w:rsidRPr="00654999" w:rsidP="009266D9">
      <w:pPr>
        <w:pStyle w:val="ListParagraph"/>
        <w:numPr>
          <w:ilvl w:val="0"/>
          <w:numId w:val="4"/>
        </w:numPr>
        <w:spacing w:line="240" w:lineRule="auto"/>
      </w:pPr>
      <w:r w:rsidRPr="00654999">
        <w:t xml:space="preserve">However, lack of wider Government support prevents these events from having an even greater impact on the industries outside of London. Regular and secure ministerial attendance at events outside of London and the South East is startlingly rare, but would demonstrate Government’s commitment to those sectors in the regions. It would grow the sectors’ presences on the global stage by raising the profile of the events to international businesses and investors who may be attending – or deciding whether to attend. </w:t>
      </w:r>
    </w:p>
    <w:p w:rsidR="006D04D8" w:rsidRPr="00654999" w:rsidP="009266D9">
      <w:pPr>
        <w:spacing w:line="240" w:lineRule="auto"/>
        <w:rPr>
          <w:b/>
          <w:bCs/>
        </w:rPr>
      </w:pPr>
      <w:r w:rsidRPr="00654999">
        <w:rPr>
          <w:b/>
          <w:bCs/>
        </w:rPr>
        <w:t>What are the key issues facing the tourism workforce?</w:t>
      </w:r>
    </w:p>
    <w:p w:rsidR="006D04D8" w:rsidRPr="00654999" w:rsidP="009266D9">
      <w:pPr>
        <w:spacing w:line="240" w:lineRule="auto"/>
        <w:rPr>
          <w:i/>
          <w:iCs/>
        </w:rPr>
      </w:pPr>
      <w:r w:rsidRPr="00654999">
        <w:rPr>
          <w:i/>
          <w:iCs/>
        </w:rPr>
        <w:t>How have immigration and employment policies and legislation affected the tourism sector?</w:t>
      </w:r>
    </w:p>
    <w:p w:rsidR="005E7F05" w:rsidP="009266D9">
      <w:pPr>
        <w:pStyle w:val="ListParagraph"/>
        <w:numPr>
          <w:ilvl w:val="0"/>
          <w:numId w:val="4"/>
        </w:numPr>
        <w:spacing w:line="240" w:lineRule="auto"/>
      </w:pPr>
      <w:r w:rsidRPr="00654999">
        <w:t xml:space="preserve">Business events and </w:t>
      </w:r>
      <w:r w:rsidRPr="00347F2B">
        <w:t xml:space="preserve">conferences are negatively impacted by UK workers’ inability to work on events based in </w:t>
      </w:r>
      <w:r w:rsidRPr="00347F2B" w:rsidR="00AC2D9B">
        <w:t>Europe</w:t>
      </w:r>
      <w:r w:rsidRPr="00347F2B" w:rsidR="00350FB7">
        <w:t>.</w:t>
      </w:r>
      <w:r w:rsidRPr="005E7F05" w:rsidR="00255868">
        <w:rPr>
          <w:rFonts w:ascii="Segoe UI" w:eastAsia="Times New Roman" w:hAnsi="Segoe UI" w:cs="Segoe UI"/>
          <w:sz w:val="21"/>
          <w:szCs w:val="21"/>
          <w:lang w:eastAsia="en-GB"/>
        </w:rPr>
        <w:t xml:space="preserve"> </w:t>
      </w:r>
      <w:r w:rsidRPr="00347F2B" w:rsidR="00A821ED">
        <w:t>From a supplier perspective, this includes practical barriers such as exhibition stand installers being treated as ‘unskilled’ for visa permit purposes in some EU countries, and UK-issued forklift licences not being recognised.</w:t>
      </w:r>
      <w:r w:rsidRPr="00347F2B" w:rsidR="0074734E">
        <w:t xml:space="preserve"> </w:t>
      </w:r>
      <w:r w:rsidRPr="00347F2B" w:rsidR="00B956E0">
        <w:t>Supplier</w:t>
      </w:r>
      <w:r w:rsidRPr="00347F2B" w:rsidR="00FF3373">
        <w:t>s</w:t>
      </w:r>
      <w:r w:rsidRPr="00347F2B" w:rsidR="002A6248">
        <w:t xml:space="preserve">’ </w:t>
      </w:r>
      <w:r w:rsidRPr="00347F2B" w:rsidR="00D04F24">
        <w:t>cus</w:t>
      </w:r>
      <w:r w:rsidRPr="00347F2B" w:rsidR="006843C7">
        <w:t xml:space="preserve">tomer </w:t>
      </w:r>
      <w:r w:rsidRPr="00347F2B" w:rsidR="00F6550E">
        <w:t>markets</w:t>
      </w:r>
      <w:r w:rsidRPr="00347F2B" w:rsidR="00061E01">
        <w:t xml:space="preserve"> are </w:t>
      </w:r>
      <w:r w:rsidRPr="00347F2B" w:rsidR="0074734E">
        <w:t>thus</w:t>
      </w:r>
      <w:r w:rsidRPr="00347F2B" w:rsidR="00061E01">
        <w:t xml:space="preserve"> naturally </w:t>
      </w:r>
      <w:r w:rsidRPr="00347F2B" w:rsidR="00574378">
        <w:t>l</w:t>
      </w:r>
      <w:r w:rsidRPr="00347F2B" w:rsidR="009A3515">
        <w:t>imite</w:t>
      </w:r>
      <w:r w:rsidRPr="00347F2B" w:rsidR="004A26D6">
        <w:t>d</w:t>
      </w:r>
      <w:r w:rsidRPr="00347F2B" w:rsidR="00473C4F">
        <w:t xml:space="preserve"> as</w:t>
      </w:r>
      <w:r w:rsidRPr="00347F2B" w:rsidR="0088073B">
        <w:t xml:space="preserve"> </w:t>
      </w:r>
      <w:r w:rsidRPr="00347F2B" w:rsidR="00D9791A">
        <w:t>they</w:t>
      </w:r>
      <w:r w:rsidRPr="00347F2B" w:rsidR="0088073B">
        <w:t xml:space="preserve"> </w:t>
      </w:r>
      <w:r w:rsidRPr="00347F2B" w:rsidR="004650FB">
        <w:t>can no longer</w:t>
      </w:r>
      <w:r w:rsidRPr="00347F2B" w:rsidR="0088073B">
        <w:t xml:space="preserve"> </w:t>
      </w:r>
      <w:r w:rsidRPr="00347F2B" w:rsidR="00BC553C">
        <w:t xml:space="preserve">operate in </w:t>
      </w:r>
      <w:r w:rsidRPr="00347F2B" w:rsidR="00866B29">
        <w:t>Europe</w:t>
      </w:r>
      <w:r w:rsidRPr="00347F2B" w:rsidR="004650FB">
        <w:t xml:space="preserve"> as previously</w:t>
      </w:r>
      <w:r w:rsidRPr="00347F2B" w:rsidR="004B3E78">
        <w:t xml:space="preserve">, and </w:t>
      </w:r>
      <w:r w:rsidRPr="00347F2B" w:rsidR="00432C89">
        <w:t>organi</w:t>
      </w:r>
      <w:r w:rsidRPr="00347F2B" w:rsidR="009D7608">
        <w:t>sers</w:t>
      </w:r>
      <w:r w:rsidRPr="00347F2B" w:rsidR="00E10020">
        <w:t xml:space="preserve"> find it more</w:t>
      </w:r>
      <w:r w:rsidRPr="00347F2B" w:rsidR="00621230">
        <w:t xml:space="preserve"> diff</w:t>
      </w:r>
      <w:r w:rsidRPr="00347F2B" w:rsidR="00D3107C">
        <w:t>icult</w:t>
      </w:r>
      <w:r w:rsidRPr="00347F2B" w:rsidR="00314E35">
        <w:t xml:space="preserve"> to </w:t>
      </w:r>
      <w:r w:rsidRPr="00347F2B" w:rsidR="0018613E">
        <w:t>hire su</w:t>
      </w:r>
      <w:r w:rsidRPr="00347F2B" w:rsidR="00F82E5E">
        <w:t>ppliers</w:t>
      </w:r>
      <w:r w:rsidRPr="00347F2B" w:rsidR="00A82B15">
        <w:t>.</w:t>
      </w:r>
    </w:p>
    <w:p w:rsidR="005E7F05" w:rsidP="005E7F05">
      <w:pPr>
        <w:pStyle w:val="ListParagraph"/>
        <w:spacing w:line="240" w:lineRule="auto"/>
      </w:pPr>
    </w:p>
    <w:p w:rsidR="005E7F05" w:rsidP="009266D9">
      <w:pPr>
        <w:pStyle w:val="ListParagraph"/>
        <w:numPr>
          <w:ilvl w:val="0"/>
          <w:numId w:val="4"/>
        </w:numPr>
        <w:spacing w:line="240" w:lineRule="auto"/>
      </w:pPr>
      <w:r>
        <w:t>On the other side, i</w:t>
      </w:r>
      <w:r w:rsidRPr="00347F2B" w:rsidR="00D448BA">
        <w:t xml:space="preserve">nternational exhibitors also </w:t>
      </w:r>
      <w:r w:rsidRPr="00347F2B" w:rsidR="00AF0D4E">
        <w:t>now</w:t>
      </w:r>
      <w:r w:rsidRPr="00347F2B" w:rsidR="00F71E39">
        <w:t xml:space="preserve"> </w:t>
      </w:r>
      <w:r w:rsidRPr="00347F2B" w:rsidR="00D448BA">
        <w:t xml:space="preserve">face increased </w:t>
      </w:r>
      <w:r w:rsidRPr="00347F2B" w:rsidR="00AC5916">
        <w:t xml:space="preserve">costs and </w:t>
      </w:r>
      <w:r w:rsidRPr="00347F2B" w:rsidR="00AF0D4E">
        <w:t>logistical hurdles when choosing the UK as a venue</w:t>
      </w:r>
      <w:r w:rsidRPr="00347F2B" w:rsidR="003D327D">
        <w:t>.</w:t>
      </w:r>
      <w:r w:rsidRPr="00347F2B" w:rsidR="00AF0D4E">
        <w:t xml:space="preserve"> </w:t>
      </w:r>
      <w:r w:rsidRPr="00347F2B" w:rsidR="009B526F">
        <w:t>T</w:t>
      </w:r>
      <w:r w:rsidRPr="00347F2B" w:rsidR="00925D24">
        <w:t xml:space="preserve">he </w:t>
      </w:r>
      <w:r w:rsidRPr="005E7F05" w:rsidR="00925D24">
        <w:rPr>
          <w:i/>
        </w:rPr>
        <w:t>International Casino Exhibition</w:t>
      </w:r>
      <w:r w:rsidRPr="00347F2B" w:rsidR="00B00467">
        <w:t xml:space="preserve">, </w:t>
      </w:r>
      <w:r w:rsidRPr="00347F2B" w:rsidR="009B526F">
        <w:t>the world's largest gaming and technology trade show, relocated</w:t>
      </w:r>
      <w:r w:rsidRPr="00654999" w:rsidR="009B526F">
        <w:t xml:space="preserve"> from London to Barcelona, with organisers citing rising costs and logistical burdens for EU-based exhibitors as a driving factor.</w:t>
      </w:r>
      <w:r w:rsidRPr="00654999" w:rsidR="00526612">
        <w:t xml:space="preserve"> This </w:t>
      </w:r>
      <w:r w:rsidRPr="00654999" w:rsidR="00BD41C0">
        <w:t xml:space="preserve">move </w:t>
      </w:r>
      <w:r w:rsidRPr="00654999" w:rsidR="00133336">
        <w:t>has lost</w:t>
      </w:r>
      <w:r w:rsidRPr="00654999" w:rsidR="00526612">
        <w:t xml:space="preserve"> the UK economy £250 million</w:t>
      </w:r>
      <w:r w:rsidRPr="00654999" w:rsidR="00133336">
        <w:t xml:space="preserve"> annually.</w:t>
      </w:r>
      <w:r w:rsidR="004D0420">
        <w:t xml:space="preserve"> </w:t>
      </w:r>
    </w:p>
    <w:p w:rsidR="005E7F05" w:rsidP="005E7F05">
      <w:pPr>
        <w:pStyle w:val="ListParagraph"/>
      </w:pPr>
    </w:p>
    <w:p w:rsidR="005E7F05" w:rsidP="009266D9">
      <w:pPr>
        <w:pStyle w:val="ListParagraph"/>
        <w:numPr>
          <w:ilvl w:val="0"/>
          <w:numId w:val="4"/>
        </w:numPr>
        <w:spacing w:line="240" w:lineRule="auto"/>
      </w:pPr>
      <w:r w:rsidRPr="00654999">
        <w:t xml:space="preserve">As the </w:t>
      </w:r>
      <w:r w:rsidRPr="0037268D">
        <w:t xml:space="preserve">government continues its engagement with the EU on closer working post Brexit, an MRA for the events sector could support many more jobs and help the sector export to Europe. </w:t>
      </w:r>
      <w:r w:rsidRPr="0037268D" w:rsidR="00DF26E1">
        <w:t>The UK–EU Trade and Cooperation Agreement explicitly provides for sector-specific MRAs, which could be used to reduce current regulatory and mobility friction for temporary cross-border work.</w:t>
      </w:r>
      <w:r w:rsidRPr="0037268D">
        <w:t xml:space="preserve"> Any agreement or support so that the EU recognises qualifications for, for example, forklift licences; eases visa restrictions for short-term passes; and makes it simpler to move goods and equipment in both directions (i.e., reducing friction for </w:t>
      </w:r>
      <w:r w:rsidRPr="0037268D">
        <w:t>suppliers/contractors moving kit across borders) would help remove the stigma the UK has developed as a country difficult to host business events in, and support conferences looking to stay in</w:t>
      </w:r>
      <w:r w:rsidRPr="00654999">
        <w:t xml:space="preserve"> the UK or even move here.</w:t>
      </w:r>
      <w:r>
        <w:t xml:space="preserve"> </w:t>
      </w:r>
    </w:p>
    <w:p w:rsidR="005E7F05" w:rsidP="005E7F05">
      <w:pPr>
        <w:pStyle w:val="ListParagraph"/>
      </w:pPr>
    </w:p>
    <w:p w:rsidR="005E7F05" w:rsidP="009266D9">
      <w:pPr>
        <w:pStyle w:val="ListParagraph"/>
        <w:numPr>
          <w:ilvl w:val="0"/>
          <w:numId w:val="4"/>
        </w:numPr>
        <w:spacing w:line="240" w:lineRule="auto"/>
      </w:pPr>
      <w:r>
        <w:t xml:space="preserve">Additionally, </w:t>
      </w:r>
      <w:r w:rsidR="00982193">
        <w:t xml:space="preserve">inbound business tourism and </w:t>
      </w:r>
      <w:r w:rsidR="00EE7F5C">
        <w:t xml:space="preserve">UK organisers are </w:t>
      </w:r>
      <w:r w:rsidR="007C5DEF">
        <w:t xml:space="preserve">facing </w:t>
      </w:r>
      <w:r w:rsidR="00CA2AE6">
        <w:t xml:space="preserve">much larger – and mounting – overall costs due to constraints in the labour force and National Insurance costs specifically for those labour intensive industries such as hospitality and hotels. </w:t>
      </w:r>
    </w:p>
    <w:p w:rsidR="005E7F05" w:rsidP="005E7F05">
      <w:pPr>
        <w:pStyle w:val="ListParagraph"/>
      </w:pPr>
    </w:p>
    <w:p w:rsidR="005E7F05" w:rsidP="009266D9">
      <w:pPr>
        <w:pStyle w:val="ListParagraph"/>
        <w:numPr>
          <w:ilvl w:val="0"/>
          <w:numId w:val="4"/>
        </w:numPr>
        <w:spacing w:line="240" w:lineRule="auto"/>
      </w:pPr>
      <w:r w:rsidRPr="002F59CB">
        <w:t xml:space="preserve">Taken together, increases in employer National Insurance Contributions, reforms to business rates, and the introduction of a Visitor Levy materially raise the cost base for </w:t>
      </w:r>
      <w:r>
        <w:t>the</w:t>
      </w:r>
      <w:r w:rsidRPr="002F59CB">
        <w:t xml:space="preserve"> sector.</w:t>
      </w:r>
      <w:r>
        <w:t xml:space="preserve"> For example, t</w:t>
      </w:r>
      <w:r w:rsidRPr="002F3773" w:rsidR="002F3773">
        <w:t xml:space="preserve">he introduction of the high-value business rates multiplier from April 2026 </w:t>
      </w:r>
      <w:r w:rsidR="00391EAE">
        <w:t>means that for</w:t>
      </w:r>
      <w:r w:rsidRPr="002F3773" w:rsidR="002F3773">
        <w:t xml:space="preserve"> major venues valued above £500,000, some members</w:t>
      </w:r>
      <w:r w:rsidR="00391EAE">
        <w:t xml:space="preserve"> are</w:t>
      </w:r>
      <w:r w:rsidRPr="002F3773" w:rsidR="002F3773">
        <w:t xml:space="preserve"> reporting potential tax increases of up to 40%.</w:t>
      </w:r>
      <w:r w:rsidR="00F529DF">
        <w:t xml:space="preserve"> </w:t>
      </w:r>
    </w:p>
    <w:p w:rsidR="005E7F05" w:rsidP="005E7F05">
      <w:pPr>
        <w:pStyle w:val="ListParagraph"/>
      </w:pPr>
    </w:p>
    <w:p w:rsidR="002F59CB" w:rsidP="009266D9">
      <w:pPr>
        <w:pStyle w:val="ListParagraph"/>
        <w:numPr>
          <w:ilvl w:val="0"/>
          <w:numId w:val="4"/>
        </w:numPr>
        <w:spacing w:line="240" w:lineRule="auto"/>
      </w:pPr>
      <w:r>
        <w:t>I</w:t>
      </w:r>
      <w:r w:rsidRPr="00F529DF" w:rsidR="00F529DF">
        <w:t>nternational event organisers and exhibitors are highly mobile and make location decisions based on cost, ease of access and competitiveness. As costs in the UK rise relative to competitor destinations in Europe and beyond, the risk is not simply margin compression for UK businesses - it is the relocation of entire events. This brings with it significant economic loss, reduced international visibility, diminished trade opportunities</w:t>
      </w:r>
      <w:r w:rsidR="00391EAE">
        <w:t xml:space="preserve">, and reduced </w:t>
      </w:r>
      <w:r w:rsidR="00D86AC0">
        <w:t xml:space="preserve">inbound business tourism. </w:t>
      </w:r>
    </w:p>
    <w:p w:rsidR="006D04D8" w:rsidP="009266D9">
      <w:pPr>
        <w:spacing w:line="240" w:lineRule="auto"/>
      </w:pPr>
    </w:p>
    <w:p w:rsidR="006D04D8" w:rsidRPr="00F366FA" w:rsidP="009266D9">
      <w:pPr>
        <w:spacing w:line="240" w:lineRule="auto"/>
      </w:pPr>
    </w:p>
    <w:p w:rsidR="00AA3221" w:rsidP="009266D9">
      <w:pPr>
        <w:spacing w:line="240" w:lineRule="auto"/>
      </w:pPr>
    </w:p>
    <w:sectPr w:rsidSect="006D04D8">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E19373F"/>
    <w:multiLevelType w:val="hybridMultilevel"/>
    <w:tmpl w:val="64125BE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348B02EA"/>
    <w:multiLevelType w:val="hybridMultilevel"/>
    <w:tmpl w:val="CEFAF65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36634400"/>
    <w:multiLevelType w:val="hybridMultilevel"/>
    <w:tmpl w:val="0D34FAB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54B97D7F"/>
    <w:multiLevelType w:val="hybridMultilevel"/>
    <w:tmpl w:val="3A50732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5F336382"/>
    <w:multiLevelType w:val="hybridMultilevel"/>
    <w:tmpl w:val="C2A24BC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5DA3BEF"/>
    <w:multiLevelType w:val="hybridMultilevel"/>
    <w:tmpl w:val="F336DDD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A8F2D5F"/>
    <w:multiLevelType w:val="hybridMultilevel"/>
    <w:tmpl w:val="1868C31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75CF4F33"/>
    <w:multiLevelType w:val="hybridMultilevel"/>
    <w:tmpl w:val="39B2D75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6"/>
  </w:num>
  <w:num w:numId="2">
    <w:abstractNumId w:val="3"/>
  </w:num>
  <w:num w:numId="3">
    <w:abstractNumId w:val="2"/>
  </w:num>
  <w:num w:numId="4">
    <w:abstractNumId w:val="4"/>
  </w:num>
  <w:num w:numId="5">
    <w:abstractNumId w:val="1"/>
  </w:num>
  <w:num w:numId="6">
    <w:abstractNumId w:val="5"/>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04D8"/>
    <w:pPr>
      <w:spacing w:line="279" w:lineRule="auto"/>
    </w:pPr>
    <w:rPr>
      <w:rFonts w:eastAsiaTheme="minorEastAsia"/>
      <w:kern w:val="0"/>
      <w:lang w:eastAsia="ja-JP"/>
    </w:rPr>
  </w:style>
  <w:style w:type="paragraph" w:styleId="Heading1">
    <w:name w:val="heading 1"/>
    <w:basedOn w:val="Normal"/>
    <w:next w:val="Normal"/>
    <w:link w:val="Heading1Char"/>
    <w:uiPriority w:val="9"/>
    <w:qFormat/>
    <w:rsid w:val="006D04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04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04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04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04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04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04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04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04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04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04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04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04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04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04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04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04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04D8"/>
    <w:rPr>
      <w:rFonts w:eastAsiaTheme="majorEastAsia" w:cstheme="majorBidi"/>
      <w:color w:val="272727" w:themeColor="text1" w:themeTint="D8"/>
    </w:rPr>
  </w:style>
  <w:style w:type="paragraph" w:styleId="Title">
    <w:name w:val="Title"/>
    <w:basedOn w:val="Normal"/>
    <w:next w:val="Normal"/>
    <w:link w:val="TitleChar"/>
    <w:uiPriority w:val="10"/>
    <w:qFormat/>
    <w:rsid w:val="006D04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04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04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04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04D8"/>
    <w:pPr>
      <w:spacing w:before="160"/>
      <w:jc w:val="center"/>
    </w:pPr>
    <w:rPr>
      <w:i/>
      <w:iCs/>
      <w:color w:val="404040" w:themeColor="text1" w:themeTint="BF"/>
    </w:rPr>
  </w:style>
  <w:style w:type="character" w:customStyle="1" w:styleId="QuoteChar">
    <w:name w:val="Quote Char"/>
    <w:basedOn w:val="DefaultParagraphFont"/>
    <w:link w:val="Quote"/>
    <w:uiPriority w:val="29"/>
    <w:rsid w:val="006D04D8"/>
    <w:rPr>
      <w:i/>
      <w:iCs/>
      <w:color w:val="404040" w:themeColor="text1" w:themeTint="BF"/>
    </w:rPr>
  </w:style>
  <w:style w:type="paragraph" w:styleId="ListParagraph">
    <w:name w:val="List Paragraph"/>
    <w:basedOn w:val="Normal"/>
    <w:uiPriority w:val="34"/>
    <w:qFormat/>
    <w:rsid w:val="006D04D8"/>
    <w:pPr>
      <w:ind w:left="720"/>
      <w:contextualSpacing/>
    </w:pPr>
  </w:style>
  <w:style w:type="character" w:styleId="IntenseEmphasis">
    <w:name w:val="Intense Emphasis"/>
    <w:basedOn w:val="DefaultParagraphFont"/>
    <w:uiPriority w:val="21"/>
    <w:qFormat/>
    <w:rsid w:val="006D04D8"/>
    <w:rPr>
      <w:i/>
      <w:iCs/>
      <w:color w:val="0F4761" w:themeColor="accent1" w:themeShade="BF"/>
    </w:rPr>
  </w:style>
  <w:style w:type="paragraph" w:styleId="IntenseQuote">
    <w:name w:val="Intense Quote"/>
    <w:basedOn w:val="Normal"/>
    <w:next w:val="Normal"/>
    <w:link w:val="IntenseQuoteChar"/>
    <w:uiPriority w:val="30"/>
    <w:qFormat/>
    <w:rsid w:val="006D04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04D8"/>
    <w:rPr>
      <w:i/>
      <w:iCs/>
      <w:color w:val="0F4761" w:themeColor="accent1" w:themeShade="BF"/>
    </w:rPr>
  </w:style>
  <w:style w:type="character" w:styleId="IntenseReference">
    <w:name w:val="Intense Reference"/>
    <w:basedOn w:val="DefaultParagraphFont"/>
    <w:uiPriority w:val="32"/>
    <w:qFormat/>
    <w:rsid w:val="006D04D8"/>
    <w:rPr>
      <w:b/>
      <w:bCs/>
      <w:smallCaps/>
      <w:color w:val="0F4761" w:themeColor="accent1" w:themeShade="BF"/>
      <w:spacing w:val="5"/>
    </w:rPr>
  </w:style>
  <w:style w:type="character" w:styleId="CommentReference">
    <w:name w:val="annotation reference"/>
    <w:basedOn w:val="DefaultParagraphFont"/>
    <w:uiPriority w:val="99"/>
    <w:semiHidden/>
    <w:unhideWhenUsed/>
    <w:rsid w:val="006D04D8"/>
    <w:rPr>
      <w:sz w:val="16"/>
      <w:szCs w:val="16"/>
    </w:rPr>
  </w:style>
  <w:style w:type="paragraph" w:styleId="CommentText">
    <w:name w:val="annotation text"/>
    <w:basedOn w:val="Normal"/>
    <w:link w:val="CommentTextChar"/>
    <w:uiPriority w:val="99"/>
    <w:unhideWhenUsed/>
    <w:rsid w:val="006D04D8"/>
    <w:pPr>
      <w:spacing w:line="240" w:lineRule="auto"/>
    </w:pPr>
    <w:rPr>
      <w:sz w:val="20"/>
      <w:szCs w:val="20"/>
    </w:rPr>
  </w:style>
  <w:style w:type="character" w:customStyle="1" w:styleId="CommentTextChar">
    <w:name w:val="Comment Text Char"/>
    <w:basedOn w:val="DefaultParagraphFont"/>
    <w:link w:val="CommentText"/>
    <w:uiPriority w:val="99"/>
    <w:rsid w:val="006D04D8"/>
    <w:rPr>
      <w:rFonts w:eastAsiaTheme="minorEastAsia"/>
      <w:kern w:val="0"/>
      <w:sz w:val="20"/>
      <w:szCs w:val="20"/>
      <w:lang w:eastAsia="ja-JP"/>
    </w:rPr>
  </w:style>
  <w:style w:type="paragraph" w:styleId="CommentSubject">
    <w:name w:val="annotation subject"/>
    <w:basedOn w:val="CommentText"/>
    <w:next w:val="CommentText"/>
    <w:link w:val="CommentSubjectChar"/>
    <w:uiPriority w:val="99"/>
    <w:semiHidden/>
    <w:unhideWhenUsed/>
    <w:rsid w:val="00BB787D"/>
    <w:rPr>
      <w:b/>
      <w:bCs/>
    </w:rPr>
  </w:style>
  <w:style w:type="character" w:customStyle="1" w:styleId="CommentSubjectChar">
    <w:name w:val="Comment Subject Char"/>
    <w:basedOn w:val="CommentTextChar"/>
    <w:link w:val="CommentSubject"/>
    <w:uiPriority w:val="99"/>
    <w:semiHidden/>
    <w:rsid w:val="00BB787D"/>
    <w:rPr>
      <w:rFonts w:eastAsiaTheme="minorEastAsia"/>
      <w:b/>
      <w:bCs/>
      <w:kern w:val="0"/>
      <w:sz w:val="20"/>
      <w:szCs w:val="20"/>
      <w:lang w:eastAsia="ja-JP"/>
    </w:rPr>
  </w:style>
  <w:style w:type="paragraph" w:styleId="NoSpacing">
    <w:name w:val="No Spacing"/>
    <w:uiPriority w:val="1"/>
    <w:qFormat/>
    <w:rsid w:val="007E6581"/>
    <w:pPr>
      <w:spacing w:after="0" w:line="240" w:lineRule="auto"/>
    </w:pPr>
  </w:style>
  <w:style w:type="paragraph" w:styleId="Revision">
    <w:name w:val="Revision"/>
    <w:hidden/>
    <w:uiPriority w:val="99"/>
    <w:semiHidden/>
    <w:rsid w:val="008C6E6E"/>
    <w:pPr>
      <w:spacing w:after="0" w:line="240" w:lineRule="auto"/>
    </w:pPr>
    <w:rPr>
      <w:rFonts w:eastAsiaTheme="minorEastAsia"/>
      <w:kern w:val="0"/>
      <w:lang w:eastAsia="ja-JP"/>
    </w:rPr>
  </w:style>
  <w:style w:type="paragraph" w:styleId="Header">
    <w:name w:val="header"/>
    <w:basedOn w:val="Normal"/>
    <w:link w:val="HeaderChar"/>
    <w:uiPriority w:val="99"/>
    <w:unhideWhenUsed/>
    <w:rsid w:val="004446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4633"/>
    <w:rPr>
      <w:rFonts w:eastAsiaTheme="minorEastAsia"/>
      <w:kern w:val="0"/>
      <w:lang w:eastAsia="ja-JP"/>
    </w:rPr>
  </w:style>
  <w:style w:type="paragraph" w:styleId="Footer">
    <w:name w:val="footer"/>
    <w:basedOn w:val="Normal"/>
    <w:link w:val="FooterChar"/>
    <w:uiPriority w:val="99"/>
    <w:unhideWhenUsed/>
    <w:rsid w:val="004446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4633"/>
    <w:rPr>
      <w:rFonts w:eastAsiaTheme="minorEastAsia"/>
      <w:kern w:val="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9248704-04fe-4a95-9d2d-367f049c5e74"/>
    <lcf76f155ced4ddcb4097134ff3c332f xmlns="e39199e6-aa56-45af-9951-40fae72a946e">
      <Terms xmlns="http://schemas.microsoft.com/office/infopath/2007/PartnerControls"/>
    </lcf76f155ced4ddcb4097134ff3c332f>
    <_Flow_SignoffStatus xmlns="e39199e6-aa56-45af-9951-40fae72a946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3CE45E10B2B0840B813DCA3347B2FF6" ma:contentTypeVersion="21" ma:contentTypeDescription="Create a new document." ma:contentTypeScope="" ma:versionID="85d4cdd4d3c41362ee4c4411168513f6">
  <xsd:schema xmlns:xsd="http://www.w3.org/2001/XMLSchema" xmlns:xs="http://www.w3.org/2001/XMLSchema" xmlns:p="http://schemas.microsoft.com/office/2006/metadata/properties" xmlns:ns2="e39199e6-aa56-45af-9951-40fae72a946e" xmlns:ns3="69248704-04fe-4a95-9d2d-367f049c5e74" targetNamespace="http://schemas.microsoft.com/office/2006/metadata/properties" ma:root="true" ma:fieldsID="a08a4c7fcef6c659b91d39609e4e2173" ns2:_="" ns3:_="">
    <xsd:import namespace="e39199e6-aa56-45af-9951-40fae72a946e"/>
    <xsd:import namespace="69248704-04fe-4a95-9d2d-367f049c5e7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Location" minOccurs="0"/>
                <xsd:element ref="ns2:_Flow_SignoffStatus"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9199e6-aa56-45af-9951-40fae72a94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4aede49-1b6f-4e93-abec-361f87ccc203"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_Flow_SignoffStatus" ma:index="23" nillable="true" ma:displayName="Sign-off status" ma:internalName="Sign_x002d_off_x0020_status">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248704-04fe-4a95-9d2d-367f049c5e7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47bcc85-8894-4a28-82d2-2f420dc71539}" ma:internalName="TaxCatchAll" ma:showField="CatchAllData" ma:web="69248704-04fe-4a95-9d2d-367f049c5e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E70CD6-BE79-457F-BFF7-2BB62ED699C8}">
  <ds:schemaRefs>
    <ds:schemaRef ds:uri="http://schemas.microsoft.com/office/2006/metadata/properties"/>
    <ds:schemaRef ds:uri="http://schemas.microsoft.com/office/infopath/2007/PartnerControls"/>
    <ds:schemaRef ds:uri="69248704-04fe-4a95-9d2d-367f049c5e74"/>
    <ds:schemaRef ds:uri="e39199e6-aa56-45af-9951-40fae72a946e"/>
  </ds:schemaRefs>
</ds:datastoreItem>
</file>

<file path=customXml/itemProps2.xml><?xml version="1.0" encoding="utf-8"?>
<ds:datastoreItem xmlns:ds="http://schemas.openxmlformats.org/officeDocument/2006/customXml" ds:itemID="{BF1B7A9E-9F7D-41C1-B30B-3CC6732271B4}">
  <ds:schemaRefs>
    <ds:schemaRef ds:uri="http://schemas.microsoft.com/sharepoint/v3/contenttype/forms"/>
  </ds:schemaRefs>
</ds:datastoreItem>
</file>

<file path=customXml/itemProps3.xml><?xml version="1.0" encoding="utf-8"?>
<ds:datastoreItem xmlns:ds="http://schemas.openxmlformats.org/officeDocument/2006/customXml" ds:itemID="{9A3C4DE6-F77C-45F4-A058-4A331D519300}">
  <ds:schemaRefs>
    <ds:schemaRef ds:uri="http://schemas.openxmlformats.org/officeDocument/2006/bibliography"/>
  </ds:schemaRefs>
</ds:datastoreItem>
</file>

<file path=customXml/itemProps4.xml><?xml version="1.0" encoding="utf-8"?>
<ds:datastoreItem xmlns:ds="http://schemas.openxmlformats.org/officeDocument/2006/customXml" ds:itemID="{964D4E56-E853-43C0-A78C-86B2BC2461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9199e6-aa56-45af-9951-40fae72a946e"/>
    <ds:schemaRef ds:uri="69248704-04fe-4a95-9d2d-367f049c5e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TOU0044</dc:title>
  <cp:revision>0</cp:revision>
</cp:coreProperties>
</file>