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678DE" w:rsidRPr="00560C4C" w:rsidP="001678DE">
      <w:pPr>
        <w:spacing w:line="360" w:lineRule="auto"/>
        <w:jc w:val="center"/>
        <w:rPr>
          <w:rFonts w:ascii="Calibri" w:hAnsi="Calibri" w:cs="Calibri"/>
          <w:sz w:val="28"/>
          <w:szCs w:val="28"/>
        </w:rPr>
      </w:pPr>
      <w:r w:rsidRPr="00560C4C">
        <w:rPr>
          <w:rFonts w:ascii="Calibri" w:hAnsi="Calibri" w:cs="Calibri"/>
          <w:sz w:val="28"/>
          <w:szCs w:val="28"/>
        </w:rPr>
        <w:t>Written evidence submitted by</w:t>
      </w:r>
      <w:r w:rsidRPr="00922D69">
        <w:rPr>
          <w:rFonts w:ascii="Calibri" w:hAnsi="Calibri" w:cs="Calibri"/>
          <w:sz w:val="28"/>
          <w:szCs w:val="28"/>
        </w:rPr>
        <w:t xml:space="preserve"> </w:t>
      </w:r>
      <w:r w:rsidRPr="001678DE">
        <w:rPr>
          <w:rFonts w:ascii="Calibri" w:hAnsi="Calibri" w:cs="Calibri"/>
          <w:sz w:val="28"/>
          <w:szCs w:val="28"/>
        </w:rPr>
        <w:t>Centre for Cities</w:t>
      </w:r>
    </w:p>
    <w:p w:rsidR="001678DE">
      <w:pPr>
        <w:rPr>
          <w:b/>
          <w:bCs/>
        </w:rPr>
      </w:pPr>
    </w:p>
    <w:p w:rsidR="00720263" w:rsidRPr="00F32663">
      <w:pPr>
        <w:rPr>
          <w:b/>
          <w:bCs/>
          <w:i/>
          <w:iCs/>
        </w:rPr>
      </w:pPr>
      <w:r w:rsidRPr="00F32663">
        <w:rPr>
          <w:b/>
          <w:bCs/>
          <w:i/>
          <w:iCs/>
        </w:rPr>
        <w:t xml:space="preserve">v. What are the arguments for and against the proposal to give mayoral strategic authorities the power to introduce an overnight visitor levy? </w:t>
      </w:r>
    </w:p>
    <w:p w:rsidR="00720263" w:rsidP="5F4F2136">
      <w:r>
        <w:t>Overnight</w:t>
      </w:r>
      <w:r>
        <w:t xml:space="preserve"> visitor levies are charges on overnight accommodation</w:t>
      </w:r>
      <w:r>
        <w:t xml:space="preserve"> in a given area</w:t>
      </w:r>
      <w:r>
        <w:t xml:space="preserve">, typically set by the </w:t>
      </w:r>
      <w:r>
        <w:t>local or regional government</w:t>
      </w:r>
      <w:r>
        <w:t xml:space="preserve">. </w:t>
      </w:r>
    </w:p>
    <w:p w:rsidR="00720263" w:rsidP="0783E895">
      <w:r>
        <w:t xml:space="preserve">England is </w:t>
      </w:r>
      <w:r>
        <w:t xml:space="preserve">currently an </w:t>
      </w:r>
      <w:r>
        <w:t xml:space="preserve">international </w:t>
      </w:r>
      <w:r>
        <w:t xml:space="preserve">outlier </w:t>
      </w:r>
      <w:r>
        <w:t xml:space="preserve">as English </w:t>
      </w:r>
      <w:r>
        <w:t xml:space="preserve">local </w:t>
      </w:r>
      <w:r>
        <w:t>government</w:t>
      </w:r>
      <w:r>
        <w:t xml:space="preserve"> lacks the power to set and collect visitor</w:t>
      </w:r>
      <w:r>
        <w:t xml:space="preserve"> lev</w:t>
      </w:r>
      <w:r>
        <w:t>ies</w:t>
      </w:r>
      <w:r>
        <w:t xml:space="preserve">. </w:t>
      </w:r>
      <w:r>
        <w:t xml:space="preserve">Every other member state of the G7 allows local government to </w:t>
      </w:r>
      <w:r>
        <w:t xml:space="preserve">collect visitor levies, along with Scotland and Wales, </w:t>
      </w:r>
      <w:r>
        <w:t>as well as other European countries such as</w:t>
      </w:r>
      <w:r>
        <w:t xml:space="preserve"> Spain, the Netherlands and </w:t>
      </w:r>
      <w:r>
        <w:t>the Czech Republic</w:t>
      </w:r>
      <w:r>
        <w:t xml:space="preserve">. Countries that do not currently have local visitor levies, such as </w:t>
      </w:r>
      <w:r>
        <w:t xml:space="preserve">Norway and </w:t>
      </w:r>
      <w:r>
        <w:t>Finl</w:t>
      </w:r>
      <w:r>
        <w:t>and</w:t>
      </w:r>
      <w:r>
        <w:t>, are in the process of introducing them.</w:t>
      </w:r>
    </w:p>
    <w:p w:rsidR="00720263" w:rsidP="5F4F2136">
      <w:r>
        <w:t xml:space="preserve">Centre for Cities supports </w:t>
      </w:r>
      <w:r>
        <w:t xml:space="preserve">the Government’s plans </w:t>
      </w:r>
      <w:r>
        <w:t>to give mayoral strategic authorities visitor levy powers</w:t>
      </w:r>
      <w:r>
        <w:t>,</w:t>
      </w:r>
      <w:r>
        <w:t xml:space="preserve"> with th</w:t>
      </w:r>
      <w:r>
        <w:t>e</w:t>
      </w:r>
      <w:r w:rsidRPr="00134AD0">
        <w:rPr>
          <w:b/>
        </w:rPr>
        <w:t xml:space="preserve"> main </w:t>
      </w:r>
      <w:r w:rsidRPr="00134AD0">
        <w:rPr>
          <w:b/>
        </w:rPr>
        <w:t xml:space="preserve">arguments for </w:t>
      </w:r>
      <w:r>
        <w:rPr>
          <w:b/>
          <w:bCs/>
        </w:rPr>
        <w:t>introduci</w:t>
      </w:r>
      <w:r>
        <w:rPr>
          <w:b/>
          <w:bCs/>
        </w:rPr>
        <w:t xml:space="preserve">ng </w:t>
      </w:r>
      <w:r w:rsidRPr="00134AD0">
        <w:rPr>
          <w:b/>
          <w:bCs/>
        </w:rPr>
        <w:t>the</w:t>
      </w:r>
      <w:r w:rsidRPr="00134AD0">
        <w:rPr>
          <w:b/>
        </w:rPr>
        <w:t xml:space="preserve"> powers </w:t>
      </w:r>
      <w:r>
        <w:rPr>
          <w:b/>
          <w:bCs/>
        </w:rPr>
        <w:t>being</w:t>
      </w:r>
      <w:r>
        <w:t xml:space="preserve">: </w:t>
      </w:r>
    </w:p>
    <w:p w:rsidR="00720263" w:rsidRPr="00CC0C0F" w:rsidP="00735AFE">
      <w:pPr>
        <w:pStyle w:val="ListParagraph"/>
        <w:numPr>
          <w:ilvl w:val="0"/>
          <w:numId w:val="2"/>
        </w:numPr>
        <w:rPr>
          <w:b/>
        </w:rPr>
      </w:pPr>
      <w:r w:rsidRPr="00CC0C0F">
        <w:rPr>
          <w:b/>
        </w:rPr>
        <w:t xml:space="preserve">Visitor levies create local growth </w:t>
      </w:r>
      <w:r w:rsidRPr="00CC0C0F">
        <w:rPr>
          <w:b/>
        </w:rPr>
        <w:t>incentives</w:t>
      </w:r>
      <w:r w:rsidRPr="00CC0C0F">
        <w:rPr>
          <w:b/>
        </w:rPr>
        <w:t xml:space="preserve">. </w:t>
      </w:r>
    </w:p>
    <w:p w:rsidR="00720263" w:rsidP="00C1266D">
      <w:pPr>
        <w:pStyle w:val="ListParagraph"/>
        <w:numPr>
          <w:ilvl w:val="1"/>
          <w:numId w:val="2"/>
        </w:numPr>
      </w:pPr>
      <w:r>
        <w:t xml:space="preserve">In England’s exceptionally centralised local government finance system, </w:t>
      </w:r>
      <w:r>
        <w:t xml:space="preserve">local areas which </w:t>
      </w:r>
      <w:r>
        <w:t>successfully</w:t>
      </w:r>
      <w:r>
        <w:t xml:space="preserve"> grow their local econom</w:t>
      </w:r>
      <w:r>
        <w:t>y are effectively penalised</w:t>
      </w:r>
      <w:r>
        <w:t xml:space="preserve">, as they end up receiving </w:t>
      </w:r>
      <w:r>
        <w:t xml:space="preserve">smaller grants from central </w:t>
      </w:r>
      <w:r>
        <w:t>government. A visitor levy</w:t>
      </w:r>
      <w:r>
        <w:t xml:space="preserve"> disconnected from this equalisation mechanisms</w:t>
      </w:r>
      <w:r>
        <w:t xml:space="preserve"> changes this by creating a</w:t>
      </w:r>
      <w:r>
        <w:t xml:space="preserve">n incentive </w:t>
      </w:r>
      <w:r>
        <w:t xml:space="preserve">for </w:t>
      </w:r>
      <w:r>
        <w:t xml:space="preserve">mayors and councils </w:t>
      </w:r>
      <w:r>
        <w:t xml:space="preserve">to invest in </w:t>
      </w:r>
      <w:r>
        <w:t>their</w:t>
      </w:r>
      <w:r>
        <w:t xml:space="preserve"> visitor economy </w:t>
      </w:r>
      <w:r>
        <w:t>to</w:t>
      </w:r>
      <w:r>
        <w:t xml:space="preserve"> grow the</w:t>
      </w:r>
      <w:r>
        <w:t xml:space="preserve"> local and national</w:t>
      </w:r>
      <w:r>
        <w:t xml:space="preserve"> tax base.  </w:t>
      </w:r>
    </w:p>
    <w:p w:rsidR="00720263" w:rsidP="0018365A">
      <w:pPr>
        <w:pStyle w:val="ListParagraph"/>
        <w:numPr>
          <w:ilvl w:val="1"/>
          <w:numId w:val="2"/>
        </w:numPr>
      </w:pPr>
      <w:r>
        <w:t xml:space="preserve">This incentive </w:t>
      </w:r>
      <w:r>
        <w:t>is applicable to</w:t>
      </w:r>
      <w:r>
        <w:t xml:space="preserve"> major </w:t>
      </w:r>
      <w:r>
        <w:t xml:space="preserve">cities </w:t>
      </w:r>
      <w:r>
        <w:t>such as New York, Barcelona and Tokyo</w:t>
      </w:r>
      <w:r>
        <w:t xml:space="preserve">, domestic tourist locations such as Huntsville (Canada) and </w:t>
      </w:r>
      <w:r>
        <w:t>Nîmes</w:t>
      </w:r>
      <w:r>
        <w:t xml:space="preserve"> (</w:t>
      </w:r>
      <w:r>
        <w:t>France</w:t>
      </w:r>
      <w:r>
        <w:t>)</w:t>
      </w:r>
      <w:r>
        <w:t>, and places off the beaten track s</w:t>
      </w:r>
      <w:r>
        <w:t>uch as Essen</w:t>
      </w:r>
      <w:r>
        <w:t xml:space="preserve"> and Eisenach</w:t>
      </w:r>
      <w:r>
        <w:t xml:space="preserve"> (Germany)</w:t>
      </w:r>
      <w:r>
        <w:t xml:space="preserve"> and</w:t>
      </w:r>
      <w:r>
        <w:t xml:space="preserve"> Kitakyushu (Japan)</w:t>
      </w:r>
      <w:r>
        <w:t xml:space="preserve">. </w:t>
      </w:r>
    </w:p>
    <w:p w:rsidR="00720263" w:rsidRPr="00596EC3" w:rsidP="008C4B67">
      <w:pPr>
        <w:pStyle w:val="ListParagraph"/>
        <w:numPr>
          <w:ilvl w:val="0"/>
          <w:numId w:val="2"/>
        </w:numPr>
        <w:rPr>
          <w:b/>
        </w:rPr>
      </w:pPr>
      <w:r w:rsidRPr="00596EC3">
        <w:rPr>
          <w:b/>
        </w:rPr>
        <w:t xml:space="preserve">Revenue can be invested in supporting the local visitor economy. </w:t>
      </w:r>
    </w:p>
    <w:p w:rsidR="00720263" w:rsidP="002E3A95">
      <w:pPr>
        <w:pStyle w:val="ListParagraph"/>
        <w:numPr>
          <w:ilvl w:val="1"/>
          <w:numId w:val="2"/>
        </w:numPr>
      </w:pPr>
      <w:r>
        <w:t>Visitor levies provide local revenue to deal with the</w:t>
      </w:r>
      <w:r>
        <w:t xml:space="preserve"> highly</w:t>
      </w:r>
      <w:r>
        <w:t xml:space="preserve"> localised costs of tourism including </w:t>
      </w:r>
      <w:r>
        <w:t>burdens on infrastructure, public realm and policing</w:t>
      </w:r>
      <w:r>
        <w:t>, and to support the development of the visitor economy and tourism offerings</w:t>
      </w:r>
      <w:r>
        <w:t xml:space="preserve">. </w:t>
      </w:r>
    </w:p>
    <w:p w:rsidR="00720263" w:rsidP="002E3A95">
      <w:pPr>
        <w:pStyle w:val="ListParagraph"/>
        <w:numPr>
          <w:ilvl w:val="1"/>
          <w:numId w:val="2"/>
        </w:numPr>
      </w:pPr>
      <w:r>
        <w:t xml:space="preserve">Mayors should have the freedom to choose whether to implement a levy and how revenues are spent. This helps to keep the </w:t>
      </w:r>
      <w:r>
        <w:t xml:space="preserve">visitor levy </w:t>
      </w:r>
      <w:r>
        <w:t>accountable and maximise their financial incentives to do whatever the local visitor economy needs to grow and succeed</w:t>
      </w:r>
      <w:r>
        <w:t xml:space="preserve">. </w:t>
      </w:r>
    </w:p>
    <w:p w:rsidR="00720263" w:rsidRPr="003B784B" w:rsidP="0783E895">
      <w:pPr>
        <w:pStyle w:val="ListParagraph"/>
        <w:numPr>
          <w:ilvl w:val="0"/>
          <w:numId w:val="2"/>
        </w:numPr>
        <w:rPr>
          <w:b/>
        </w:rPr>
      </w:pPr>
      <w:r w:rsidRPr="003B784B">
        <w:rPr>
          <w:b/>
        </w:rPr>
        <w:t>Setting levies locally allows places to minimise the impact on the visitor economy</w:t>
      </w:r>
    </w:p>
    <w:p w:rsidR="00720263" w:rsidP="000142FC">
      <w:pPr>
        <w:pStyle w:val="ListParagraph"/>
        <w:numPr>
          <w:ilvl w:val="1"/>
          <w:numId w:val="2"/>
        </w:numPr>
      </w:pPr>
      <w:r>
        <w:t>Visitor levies can be designed to balance capturing revenue from visitors with ensuring continued visitor demand. Research on 24 major European cities suggests that visitors are insensitive to levies. Visitors to more ‘marginal’ tourist destinations appear to be more price sensitive</w:t>
      </w:r>
      <w:r>
        <w:t>, and should be expected to have lower levies than other parts of the country</w:t>
      </w:r>
      <w:r>
        <w:t xml:space="preserve">. </w:t>
      </w:r>
    </w:p>
    <w:p w:rsidR="00720263" w:rsidRPr="007F7F0E" w:rsidP="00970652">
      <w:pPr>
        <w:pStyle w:val="ListParagraph"/>
        <w:numPr>
          <w:ilvl w:val="0"/>
          <w:numId w:val="2"/>
        </w:numPr>
        <w:rPr>
          <w:b/>
        </w:rPr>
      </w:pPr>
      <w:r w:rsidRPr="007F7F0E">
        <w:rPr>
          <w:b/>
        </w:rPr>
        <w:t>Visitor levies are a</w:t>
      </w:r>
      <w:r w:rsidRPr="007F7F0E">
        <w:rPr>
          <w:b/>
        </w:rPr>
        <w:t xml:space="preserve"> first step towards fiscal devolution</w:t>
      </w:r>
      <w:r w:rsidRPr="007F7F0E">
        <w:rPr>
          <w:b/>
        </w:rPr>
        <w:t xml:space="preserve"> within England</w:t>
      </w:r>
      <w:r w:rsidRPr="007F7F0E">
        <w:rPr>
          <w:b/>
        </w:rPr>
        <w:t>.</w:t>
      </w:r>
    </w:p>
    <w:p w:rsidR="00720263" w:rsidP="00970652">
      <w:pPr>
        <w:pStyle w:val="ListParagraph"/>
        <w:numPr>
          <w:ilvl w:val="1"/>
          <w:numId w:val="2"/>
        </w:numPr>
      </w:pPr>
      <w:r>
        <w:t xml:space="preserve">The Chancellor has set </w:t>
      </w:r>
      <w:r>
        <w:t>th</w:t>
      </w:r>
      <w:r>
        <w:t>e Government’s</w:t>
      </w:r>
      <w:r>
        <w:t xml:space="preserve"> intention to create a roadmap for fiscal devolution.</w:t>
      </w:r>
      <w:r>
        <w:t xml:space="preserve"> Visitor levies are widely used internationally </w:t>
      </w:r>
      <w:r>
        <w:t xml:space="preserve">and provide a </w:t>
      </w:r>
      <w:r>
        <w:t xml:space="preserve">big </w:t>
      </w:r>
      <w:r>
        <w:t xml:space="preserve">first step towards fiscal devolution </w:t>
      </w:r>
      <w:r>
        <w:t>in England</w:t>
      </w:r>
      <w:r>
        <w:t>. They are an</w:t>
      </w:r>
      <w:r>
        <w:t xml:space="preserve"> opportunity to </w:t>
      </w:r>
      <w:r>
        <w:t xml:space="preserve">advance the </w:t>
      </w:r>
      <w:r>
        <w:t xml:space="preserve">national and local </w:t>
      </w:r>
      <w:r>
        <w:t xml:space="preserve">debate on allowing places to vary local taxation, increasing growth across the country while repairing local authority </w:t>
      </w:r>
      <w:r>
        <w:t>resource.</w:t>
      </w:r>
    </w:p>
    <w:p w:rsidR="00720263" w:rsidP="00C57340">
      <w:r>
        <w:t>Centre for Cities research on visitor levies</w:t>
      </w:r>
      <w:r>
        <w:t xml:space="preserve"> </w:t>
      </w:r>
      <w:r>
        <w:t>outlines</w:t>
      </w:r>
      <w:r>
        <w:t xml:space="preserve"> </w:t>
      </w:r>
      <w:r w:rsidRPr="0093543E">
        <w:rPr>
          <w:b/>
        </w:rPr>
        <w:t>the key considerations for places</w:t>
      </w:r>
      <w:r w:rsidRPr="0093543E">
        <w:rPr>
          <w:b/>
        </w:rPr>
        <w:t xml:space="preserve"> when implementing a levy</w:t>
      </w:r>
      <w:r w:rsidRPr="0093543E">
        <w:rPr>
          <w:b/>
        </w:rPr>
        <w:t>.</w:t>
      </w:r>
      <w:r>
        <w:t xml:space="preserve"> These are: </w:t>
      </w:r>
    </w:p>
    <w:p w:rsidR="00720263" w:rsidP="5F4F2136">
      <w:pPr>
        <w:pStyle w:val="ListParagraph"/>
        <w:numPr>
          <w:ilvl w:val="0"/>
          <w:numId w:val="2"/>
        </w:numPr>
      </w:pPr>
      <w:r w:rsidRPr="005D793D">
        <w:rPr>
          <w:b/>
        </w:rPr>
        <w:t>Places should opt for percentage rate levies over flat rate fees</w:t>
      </w:r>
      <w:r w:rsidRPr="005D793D">
        <w:rPr>
          <w:b/>
        </w:rPr>
        <w:t>,</w:t>
      </w:r>
      <w:r w:rsidRPr="005D793D">
        <w:rPr>
          <w:b/>
        </w:rPr>
        <w:t xml:space="preserve"> particularly </w:t>
      </w:r>
      <w:r w:rsidRPr="005D793D">
        <w:rPr>
          <w:b/>
        </w:rPr>
        <w:t>in</w:t>
      </w:r>
      <w:r w:rsidRPr="005D793D">
        <w:rPr>
          <w:b/>
        </w:rPr>
        <w:t xml:space="preserve"> </w:t>
      </w:r>
      <w:r w:rsidRPr="005D793D">
        <w:rPr>
          <w:b/>
        </w:rPr>
        <w:t>urban areas and major visitor destinations.</w:t>
      </w:r>
      <w:r>
        <w:t xml:space="preserve"> Percentage rate levies are more flexible and offer a range of advantages</w:t>
      </w:r>
      <w:r>
        <w:t>, in</w:t>
      </w:r>
      <w:r>
        <w:t>cluding</w:t>
      </w:r>
      <w:r>
        <w:t xml:space="preserve">: </w:t>
      </w:r>
    </w:p>
    <w:p w:rsidR="00720263" w:rsidP="00CA1D01">
      <w:pPr>
        <w:pStyle w:val="ListParagraph"/>
        <w:numPr>
          <w:ilvl w:val="1"/>
          <w:numId w:val="2"/>
        </w:numPr>
      </w:pPr>
      <w:r>
        <w:t xml:space="preserve">Percentage rate levies are more buoyant – revenues respond to growth in the visitor economy, variations in accommodation pricing and to seasonal or event-based peaks in demand. </w:t>
      </w:r>
      <w:r>
        <w:t xml:space="preserve">This provides a strong incentive for places to grow their visitor economy, including by reinvesting levy revenues. </w:t>
      </w:r>
    </w:p>
    <w:p w:rsidR="00720263" w:rsidP="00CA1D01">
      <w:pPr>
        <w:pStyle w:val="ListParagraph"/>
        <w:numPr>
          <w:ilvl w:val="1"/>
          <w:numId w:val="2"/>
        </w:numPr>
      </w:pPr>
      <w:r>
        <w:t xml:space="preserve">Percentage rate levies </w:t>
      </w:r>
      <w:r>
        <w:t>are more progressive, ensuring</w:t>
      </w:r>
      <w:r>
        <w:t xml:space="preserve"> the burden of a visitor lev</w:t>
      </w:r>
      <w:r>
        <w:t>y</w:t>
      </w:r>
      <w:r>
        <w:t xml:space="preserve"> falls on those with the greatest ability to pay</w:t>
      </w:r>
      <w:r>
        <w:t xml:space="preserve">. </w:t>
      </w:r>
      <w:r>
        <w:t>Flat levies place the greatest burden on budget travellers and are a much larger share of their accommodation costs.</w:t>
      </w:r>
    </w:p>
    <w:p w:rsidR="00720263" w:rsidP="00CA1D01">
      <w:pPr>
        <w:pStyle w:val="ListParagraph"/>
        <w:numPr>
          <w:ilvl w:val="1"/>
          <w:numId w:val="2"/>
        </w:numPr>
      </w:pPr>
      <w:r>
        <w:t xml:space="preserve">As they are more progressive, percentage rate </w:t>
      </w:r>
      <w:r>
        <w:t>levies raise</w:t>
      </w:r>
      <w:r>
        <w:t xml:space="preserve"> more revenue. For example, visitor levies raise</w:t>
      </w:r>
      <w:r>
        <w:t xml:space="preserve"> £35 million in Tokyo</w:t>
      </w:r>
      <w:r>
        <w:t xml:space="preserve"> but </w:t>
      </w:r>
      <w:r>
        <w:t>£493 million in New York</w:t>
      </w:r>
      <w:r>
        <w:t>, even though Tokyo receives more visitors</w:t>
      </w:r>
      <w:r>
        <w:t>. This reflects local levy design – Tokyo operates a flat rate levy and therefore raises much less than New York City despite having more visitors.</w:t>
      </w:r>
    </w:p>
    <w:p w:rsidR="00720263" w:rsidP="00CA1D01">
      <w:pPr>
        <w:pStyle w:val="ListParagraph"/>
        <w:numPr>
          <w:ilvl w:val="1"/>
          <w:numId w:val="2"/>
        </w:numPr>
      </w:pPr>
      <w:r>
        <w:t xml:space="preserve">Percentage rate levies reduce the long-term administrative burden for places as there is less need to </w:t>
      </w:r>
      <w:r>
        <w:t xml:space="preserve">review and update to respond to changing demand or inflation. </w:t>
      </w:r>
    </w:p>
    <w:p w:rsidR="00720263" w:rsidP="00CA1D01">
      <w:pPr>
        <w:pStyle w:val="ListParagraph"/>
        <w:numPr>
          <w:ilvl w:val="1"/>
          <w:numId w:val="2"/>
        </w:numPr>
      </w:pPr>
      <w:r>
        <w:t>Flat</w:t>
      </w:r>
      <w:r>
        <w:t xml:space="preserve"> rate levies are</w:t>
      </w:r>
      <w:r>
        <w:t xml:space="preserve"> </w:t>
      </w:r>
      <w:r>
        <w:t>best suited to places with minimal variation in visitor economy or accommodation offer</w:t>
      </w:r>
      <w:r>
        <w:t xml:space="preserve">, such as rural areas </w:t>
      </w:r>
      <w:r>
        <w:t>where tourism is based on</w:t>
      </w:r>
      <w:r>
        <w:t xml:space="preserve"> holiday cottages or campsites.</w:t>
      </w:r>
      <w:r>
        <w:t xml:space="preserve"> </w:t>
      </w:r>
      <w:r>
        <w:t xml:space="preserve"> </w:t>
      </w:r>
      <w:r>
        <w:t xml:space="preserve"> </w:t>
      </w:r>
      <w:r>
        <w:t xml:space="preserve"> </w:t>
      </w:r>
    </w:p>
    <w:p w:rsidR="00720263" w:rsidP="0047642B">
      <w:pPr>
        <w:pStyle w:val="ListParagraph"/>
        <w:numPr>
          <w:ilvl w:val="1"/>
          <w:numId w:val="2"/>
        </w:numPr>
      </w:pPr>
      <w:r>
        <w:t xml:space="preserve">Jurisdictions that allow local governments to collect percentage and flat levies see </w:t>
      </w:r>
      <w:r>
        <w:t>many places</w:t>
      </w:r>
      <w:r>
        <w:t xml:space="preserve"> with little visitor economy potential</w:t>
      </w:r>
      <w:r>
        <w:t xml:space="preserve"> not collect a levy, and those that do</w:t>
      </w:r>
      <w:r>
        <w:t xml:space="preserve"> prefer percentage rate levies. For example, </w:t>
      </w:r>
      <w:r>
        <w:t xml:space="preserve">in </w:t>
      </w:r>
      <w:r>
        <w:t xml:space="preserve">Ontario where there are 414 local authorities, only 87 set a visitor levy. Of these, 86 set a percentage rate levy – the only council that sets a flat rate (Niagara Falls) is switching </w:t>
      </w:r>
      <w:r>
        <w:t>to a percentage rate next year.</w:t>
      </w:r>
    </w:p>
    <w:p w:rsidR="00720263" w:rsidP="0047642B">
      <w:pPr>
        <w:pStyle w:val="ListParagraph"/>
        <w:ind w:left="1440"/>
      </w:pPr>
    </w:p>
    <w:p w:rsidR="00720263" w:rsidRPr="0047642B" w:rsidP="00C57340">
      <w:pPr>
        <w:pStyle w:val="ListParagraph"/>
        <w:numPr>
          <w:ilvl w:val="0"/>
          <w:numId w:val="2"/>
        </w:numPr>
        <w:rPr>
          <w:b/>
          <w:bCs/>
        </w:rPr>
      </w:pPr>
      <w:r w:rsidRPr="0047642B">
        <w:rPr>
          <w:b/>
          <w:bCs/>
        </w:rPr>
        <w:t xml:space="preserve">Potential impact on demand: </w:t>
      </w:r>
    </w:p>
    <w:p w:rsidR="00720263" w:rsidP="002F7A84">
      <w:pPr>
        <w:pStyle w:val="ListParagraph"/>
        <w:numPr>
          <w:ilvl w:val="1"/>
          <w:numId w:val="2"/>
        </w:numPr>
      </w:pPr>
      <w:r>
        <w:t>As noted above, research on European cities suggests visitors are insensitive to levies in major tourist destinations. However, a</w:t>
      </w:r>
      <w:r>
        <w:t>dditional costs may impact visitor numbers for more marginal destinations</w:t>
      </w:r>
      <w:r>
        <w:t xml:space="preserve"> or for more price-sensitive groups. </w:t>
      </w:r>
      <w:r>
        <w:t xml:space="preserve">Mayors should have the flexibility to set levy rates that </w:t>
      </w:r>
      <w:r>
        <w:t>work with their local visitor economies</w:t>
      </w:r>
      <w:r>
        <w:t xml:space="preserve">, </w:t>
      </w:r>
      <w:r>
        <w:t>to revise levy rates as needed</w:t>
      </w:r>
      <w:r>
        <w:t xml:space="preserve">, and to </w:t>
      </w:r>
      <w:r>
        <w:t xml:space="preserve">set exemptions for </w:t>
      </w:r>
      <w:r>
        <w:t>groups such as people in temporary accommodation</w:t>
      </w:r>
      <w:r>
        <w:t>.</w:t>
      </w:r>
    </w:p>
    <w:p w:rsidR="00720263" w:rsidP="0047642B">
      <w:pPr>
        <w:pStyle w:val="ListParagraph"/>
        <w:ind w:left="1440"/>
      </w:pPr>
    </w:p>
    <w:p w:rsidR="00720263" w:rsidRPr="0047642B" w:rsidP="00FD66D4">
      <w:pPr>
        <w:pStyle w:val="ListParagraph"/>
        <w:numPr>
          <w:ilvl w:val="0"/>
          <w:numId w:val="2"/>
        </w:numPr>
        <w:rPr>
          <w:b/>
          <w:bCs/>
        </w:rPr>
      </w:pPr>
      <w:r w:rsidRPr="0047642B">
        <w:rPr>
          <w:b/>
          <w:bCs/>
        </w:rPr>
        <w:t>Potential impact on accommodation providers</w:t>
      </w:r>
      <w:r w:rsidRPr="0047642B">
        <w:rPr>
          <w:b/>
          <w:bCs/>
        </w:rPr>
        <w:t xml:space="preserve"> and mayoral strategic authorities</w:t>
      </w:r>
      <w:r w:rsidRPr="0047642B">
        <w:rPr>
          <w:b/>
          <w:bCs/>
        </w:rPr>
        <w:t xml:space="preserve">: </w:t>
      </w:r>
    </w:p>
    <w:p w:rsidR="00720263" w:rsidP="00672270">
      <w:pPr>
        <w:pStyle w:val="ListParagraph"/>
        <w:numPr>
          <w:ilvl w:val="1"/>
          <w:numId w:val="2"/>
        </w:numPr>
      </w:pPr>
      <w:r>
        <w:t xml:space="preserve">Visitor levies place an administrative burden on </w:t>
      </w:r>
      <w:r>
        <w:t>accommodation providers</w:t>
      </w:r>
      <w:r>
        <w:t xml:space="preserve">. To mitigate this, </w:t>
      </w:r>
      <w:r>
        <w:t xml:space="preserve">mayoral strategic authorities should have the option to </w:t>
      </w:r>
      <w:r>
        <w:t xml:space="preserve">reimburse some revenue to providers. For example, </w:t>
      </w:r>
      <w:r>
        <w:t>Edinburgh</w:t>
      </w:r>
      <w:r>
        <w:t xml:space="preserve"> reimburses 2 per cent of levy revenue to accommodation providers. </w:t>
      </w:r>
      <w:r>
        <w:t xml:space="preserve"> </w:t>
      </w:r>
    </w:p>
    <w:p w:rsidR="00720263" w:rsidP="00672270">
      <w:pPr>
        <w:pStyle w:val="ListParagraph"/>
        <w:numPr>
          <w:ilvl w:val="1"/>
          <w:numId w:val="2"/>
        </w:numPr>
      </w:pPr>
      <w:r>
        <w:t xml:space="preserve">To minimise the burden on accommodation providers, mayoral strategic authorities should focus on developing clear and consistent visitor levy guidance and on avoiding adding </w:t>
      </w:r>
      <w:r>
        <w:t xml:space="preserve">complexity to the levy system. </w:t>
      </w:r>
    </w:p>
    <w:p w:rsidR="00720263" w:rsidP="00672270">
      <w:pPr>
        <w:pStyle w:val="ListParagraph"/>
        <w:numPr>
          <w:ilvl w:val="1"/>
          <w:numId w:val="2"/>
        </w:numPr>
      </w:pPr>
      <w:r>
        <w:t xml:space="preserve">Flat rate levies can </w:t>
      </w:r>
      <w:r>
        <w:t xml:space="preserve">add complexity </w:t>
      </w:r>
      <w:r>
        <w:t xml:space="preserve">and administrative burden </w:t>
      </w:r>
      <w:r>
        <w:t xml:space="preserve">to the system </w:t>
      </w:r>
      <w:r>
        <w:t xml:space="preserve">as authorities </w:t>
      </w:r>
      <w:r>
        <w:t>must</w:t>
      </w:r>
      <w:r>
        <w:t xml:space="preserve"> mitigate against their regressive nature and limited revenue raising potential by adding exemptions or </w:t>
      </w:r>
      <w:r>
        <w:t xml:space="preserve">banded pricing. </w:t>
      </w:r>
    </w:p>
    <w:p w:rsidR="00720263" w:rsidRPr="00F32663">
      <w:pPr>
        <w:rPr>
          <w:b/>
          <w:bCs/>
          <w:i/>
          <w:iCs/>
        </w:rPr>
      </w:pPr>
      <w:r w:rsidRPr="00F32663">
        <w:rPr>
          <w:b/>
          <w:bCs/>
          <w:i/>
          <w:iCs/>
        </w:rPr>
        <w:t>If a levy is introduced, how should it best be spent to attract tourism and investment?</w:t>
      </w:r>
    </w:p>
    <w:p w:rsidR="00720263">
      <w:r>
        <w:t xml:space="preserve">To maximise the impact of the levy, revenue should be used to grow the taxbase and </w:t>
      </w:r>
      <w:r>
        <w:t xml:space="preserve">support local economic growth beyond the visitor economy. </w:t>
      </w:r>
      <w:r>
        <w:t>As a result, the visitor levy should be separate to the ‘equalisation’ of the rest of the local finance system that damages local incentives</w:t>
      </w:r>
      <w:r>
        <w:t xml:space="preserve">. </w:t>
      </w:r>
    </w:p>
    <w:p w:rsidR="00720263">
      <w:r>
        <w:t>Strict hypothecation of revenues for specific uses should be avoided</w:t>
      </w:r>
      <w:r>
        <w:t xml:space="preserve">, including hypothecation for </w:t>
      </w:r>
      <w:r>
        <w:t>developing the visitor economy</w:t>
      </w:r>
      <w:r>
        <w:t xml:space="preserve">. The reality and variation between different places and visitor economies means they will have different priorities and need the flexibility to vary spending decisions. Hypothecation for spending in areas which are not a local priority </w:t>
      </w:r>
      <w:r>
        <w:t xml:space="preserve">risks reducing the incentive places have to support and invest </w:t>
      </w:r>
      <w:r>
        <w:t>using levy revenue</w:t>
      </w:r>
      <w:r>
        <w:t xml:space="preserve">. </w:t>
      </w:r>
    </w:p>
    <w:p w:rsidR="00720263">
      <w:r>
        <w:t xml:space="preserve">This </w:t>
      </w:r>
      <w:r>
        <w:t>extends to hypothecating</w:t>
      </w:r>
      <w:r>
        <w:t xml:space="preserve"> funds for </w:t>
      </w:r>
      <w:r>
        <w:t xml:space="preserve">national visitor economy initiatives such as free entry to museums. This would mean local revenues </w:t>
      </w:r>
      <w:r>
        <w:t xml:space="preserve">are used to </w:t>
      </w:r>
      <w:r>
        <w:t xml:space="preserve">subsidise </w:t>
      </w:r>
      <w:r>
        <w:t xml:space="preserve">a national </w:t>
      </w:r>
      <w:r>
        <w:t xml:space="preserve">policy which only benefits certain places. For example, </w:t>
      </w:r>
      <w:r>
        <w:t xml:space="preserve">there are no national museums in the West Midlands or North East, so </w:t>
      </w:r>
      <w:r>
        <w:t xml:space="preserve">these places should not </w:t>
      </w:r>
      <w:r>
        <w:t xml:space="preserve">be expected to fund the policy with local tax revenue. </w:t>
      </w:r>
      <w:r>
        <w:t>And for London</w:t>
      </w:r>
      <w:r>
        <w:t xml:space="preserve"> which accounts for 85 per cent of national museum visits</w:t>
      </w:r>
      <w:r>
        <w:t xml:space="preserve">, revenue from a visitor levy won’t be enough to </w:t>
      </w:r>
      <w:r>
        <w:t>cover the cost of fre</w:t>
      </w:r>
      <w:r>
        <w:t xml:space="preserve">e museum entry. </w:t>
      </w:r>
      <w:r>
        <w:t xml:space="preserve">If the GLA were to implement a 5 per cent </w:t>
      </w:r>
      <w:r>
        <w:t>visitor</w:t>
      </w:r>
      <w:r>
        <w:t xml:space="preserve"> levy (high by European standards), the revenue </w:t>
      </w:r>
      <w:r>
        <w:t xml:space="preserve">would </w:t>
      </w:r>
      <w:r>
        <w:t xml:space="preserve">only </w:t>
      </w:r>
      <w:r>
        <w:t xml:space="preserve">cover around half the cost of subsidising free museum entry. </w:t>
      </w:r>
      <w:r>
        <w:t xml:space="preserve">Subsidising local museum entry should be just one of the revenue-use options available to mayors. </w:t>
      </w:r>
    </w:p>
    <w:p w:rsidR="00720263">
      <w:r>
        <w:t xml:space="preserve">International examples </w:t>
      </w:r>
      <w:r>
        <w:t xml:space="preserve">also </w:t>
      </w:r>
      <w:r>
        <w:t>show that</w:t>
      </w:r>
      <w:r>
        <w:t xml:space="preserve"> hypothecation is </w:t>
      </w:r>
      <w:r>
        <w:t xml:space="preserve">hard </w:t>
      </w:r>
      <w:r>
        <w:t>to mandate and implement.</w:t>
      </w:r>
      <w:r>
        <w:t xml:space="preserve"> It is difficult to </w:t>
      </w:r>
      <w:r>
        <w:t xml:space="preserve">define, </w:t>
      </w:r>
      <w:r>
        <w:t xml:space="preserve">administer and monitor activities which fall within the target of ringfenced funds. </w:t>
      </w:r>
      <w:r>
        <w:t>For example, public transport, waste collection/sanitation and public realm</w:t>
      </w:r>
      <w:r>
        <w:t>, and policing</w:t>
      </w:r>
      <w:r>
        <w:t xml:space="preserve"> are a key part of the visitor experience but would not necessarily be included if revenue is strictly hypothecated for tourism development.    </w:t>
      </w:r>
    </w:p>
    <w:p w:rsidR="00720263">
      <w:r>
        <w:t>T</w:t>
      </w:r>
      <w:r>
        <w:t xml:space="preserve">his means </w:t>
      </w:r>
      <w:r>
        <w:t>m</w:t>
      </w:r>
      <w:r>
        <w:t>ayors should</w:t>
      </w:r>
      <w:r>
        <w:t xml:space="preserve"> have</w:t>
      </w:r>
      <w:r>
        <w:t xml:space="preserve"> discretion over how revenue is spent </w:t>
      </w:r>
      <w:r>
        <w:t xml:space="preserve">to strengthen the incentive for them to grow their </w:t>
      </w:r>
      <w:r>
        <w:t xml:space="preserve">local </w:t>
      </w:r>
      <w:r>
        <w:t xml:space="preserve">visitor economy, add accountability to the </w:t>
      </w:r>
      <w:r>
        <w:t xml:space="preserve">levy powers and </w:t>
      </w:r>
      <w:r>
        <w:t xml:space="preserve">to give strategic authorities a reliable, flexible funding stream </w:t>
      </w:r>
      <w:r>
        <w:t>to support them to deliver their objectives</w:t>
      </w:r>
      <w:r>
        <w:t xml:space="preserve">. </w:t>
      </w:r>
    </w:p>
    <w:p w:rsidR="00720263" w:rsidRPr="00F32663">
      <w:pPr>
        <w:rPr>
          <w:b/>
          <w:bCs/>
          <w:i/>
          <w:iCs/>
        </w:rPr>
      </w:pPr>
      <w:r w:rsidRPr="00F32663">
        <w:rPr>
          <w:b/>
          <w:bCs/>
          <w:i/>
          <w:iCs/>
        </w:rPr>
        <w:t xml:space="preserve">For further Centre for Cities research on </w:t>
      </w:r>
      <w:r w:rsidRPr="00F32663">
        <w:rPr>
          <w:b/>
          <w:bCs/>
          <w:i/>
          <w:iCs/>
        </w:rPr>
        <w:t>visitor levies</w:t>
      </w:r>
      <w:r w:rsidRPr="00F32663">
        <w:rPr>
          <w:b/>
          <w:bCs/>
          <w:i/>
          <w:iCs/>
        </w:rPr>
        <w:t xml:space="preserve"> see: </w:t>
      </w:r>
    </w:p>
    <w:p w:rsidR="00720263" w:rsidRPr="00E57621" w:rsidP="0030688F">
      <w:pPr>
        <w:pStyle w:val="ListParagraph"/>
        <w:numPr>
          <w:ilvl w:val="0"/>
          <w:numId w:val="1"/>
        </w:numPr>
      </w:pPr>
      <w:r>
        <w:t xml:space="preserve">Rollison C and Johnson Z (2026), </w:t>
      </w:r>
      <w:r>
        <w:fldChar w:fldCharType="begin"/>
      </w:r>
      <w:r>
        <w:instrText xml:space="preserve"> HYPERLINK "https://www.centreforcities.org/publication/around-the-world-how-do-visitor-levies-work-in-other-countries/" </w:instrText>
      </w:r>
      <w:r>
        <w:fldChar w:fldCharType="separate"/>
      </w:r>
      <w:r w:rsidRPr="0030688F">
        <w:rPr>
          <w:rStyle w:val="Hyperlink"/>
        </w:rPr>
        <w:t>Around the world: How do visitor levies work in other countries?</w:t>
      </w:r>
      <w:r>
        <w:fldChar w:fldCharType="end"/>
      </w:r>
      <w:r w:rsidRPr="00E57621">
        <w:t xml:space="preserve"> </w:t>
      </w:r>
      <w:r>
        <w:t xml:space="preserve">Centre for Cities. </w:t>
      </w:r>
    </w:p>
    <w:p w:rsidR="00720263" w:rsidRPr="00E57621" w:rsidP="0030688F">
      <w:pPr>
        <w:pStyle w:val="ListParagraph"/>
        <w:numPr>
          <w:ilvl w:val="0"/>
          <w:numId w:val="1"/>
        </w:numPr>
      </w:pPr>
      <w:r>
        <w:t xml:space="preserve">Breach A (2025), </w:t>
      </w:r>
      <w:r>
        <w:fldChar w:fldCharType="begin"/>
      </w:r>
      <w:r>
        <w:instrText xml:space="preserve"> HYPERLINK "https://www.centreforcities.org/publication/how-should-a-tourist-tax-work-for-englands-mayors/" </w:instrText>
      </w:r>
      <w:r>
        <w:fldChar w:fldCharType="separate"/>
      </w:r>
      <w:r w:rsidRPr="0030688F">
        <w:rPr>
          <w:rStyle w:val="Hyperlink"/>
        </w:rPr>
        <w:t>How should a tourist tax work for England’s mayors?</w:t>
      </w:r>
      <w:r>
        <w:fldChar w:fldCharType="end"/>
      </w:r>
      <w:r>
        <w:t xml:space="preserve"> Centre for Cities.</w:t>
      </w:r>
    </w:p>
    <w:p w:rsidR="00720263" w:rsidRPr="00E57621" w:rsidP="00E57621">
      <w:pPr>
        <w:pStyle w:val="ListParagraph"/>
        <w:numPr>
          <w:ilvl w:val="0"/>
          <w:numId w:val="1"/>
        </w:numPr>
      </w:pPr>
      <w:r>
        <w:t xml:space="preserve">Breach A (2025), </w:t>
      </w:r>
      <w:r>
        <w:fldChar w:fldCharType="begin"/>
      </w:r>
      <w:r>
        <w:instrText xml:space="preserve"> HYPERLINK "https://www.centreforcities.org/wp-content/uploads/2025/11/12.11.25-Devolution-for-London-2.pdf" </w:instrText>
      </w:r>
      <w:r>
        <w:fldChar w:fldCharType="separate"/>
      </w:r>
      <w:r w:rsidRPr="5F4F2136">
        <w:rPr>
          <w:rStyle w:val="Hyperlink"/>
        </w:rPr>
        <w:t>Devolution for London: Evidence from G7 Cities</w:t>
      </w:r>
      <w:r>
        <w:fldChar w:fldCharType="end"/>
      </w:r>
      <w:r>
        <w:t xml:space="preserve">. Centre for Cities. </w:t>
      </w:r>
      <w:r>
        <w:t xml:space="preserve"> </w:t>
      </w:r>
    </w:p>
    <w:p w:rsidR="00720263" w:rsidP="5F4F2136">
      <w:pPr>
        <w:pStyle w:val="ListParagraph"/>
        <w:numPr>
          <w:ilvl w:val="0"/>
          <w:numId w:val="1"/>
        </w:numPr>
      </w:pPr>
      <w:r>
        <w:t xml:space="preserve">Johnson Z (2026), </w:t>
      </w:r>
      <w:r>
        <w:fldChar w:fldCharType="begin"/>
      </w:r>
      <w:r>
        <w:instrText xml:space="preserve"> HYPERLINK "https://www.centreforcities.org/blog/postcards-from-canada-ontarios-visitor-levy/" </w:instrText>
      </w:r>
      <w:r>
        <w:fldChar w:fldCharType="separate"/>
      </w:r>
      <w:r w:rsidRPr="0783E895">
        <w:rPr>
          <w:rStyle w:val="Hyperlink"/>
        </w:rPr>
        <w:t>Postcards from Canada: Ontario’s visitor levy and its lessons for English fiscal devolution</w:t>
      </w:r>
      <w:r>
        <w:fldChar w:fldCharType="end"/>
      </w:r>
      <w:r>
        <w:t>, Centre for Cities</w:t>
      </w:r>
    </w:p>
    <w:p w:rsidR="00720263" w:rsidP="0783E895">
      <w:pPr>
        <w:pStyle w:val="ListParagraph"/>
        <w:numPr>
          <w:ilvl w:val="0"/>
          <w:numId w:val="1"/>
        </w:numPr>
      </w:pPr>
      <w:r>
        <w:t xml:space="preserve">Johnson R (2025), </w:t>
      </w:r>
      <w:r>
        <w:fldChar w:fldCharType="begin"/>
      </w:r>
      <w:r>
        <w:instrText xml:space="preserve"> HYPERLINK "https://www.centreforcities.org/blog/tourist-taxes-are-not-about-keeping-museums-free/" </w:instrText>
      </w:r>
      <w:r>
        <w:fldChar w:fldCharType="separate"/>
      </w:r>
      <w:r w:rsidRPr="0783E895">
        <w:rPr>
          <w:rStyle w:val="Hyperlink"/>
        </w:rPr>
        <w:t>Tourist taxes are not about keeping museums free</w:t>
      </w:r>
      <w:r>
        <w:fldChar w:fldCharType="end"/>
      </w:r>
      <w:r>
        <w:t>, Centre for Cities</w:t>
      </w:r>
    </w:p>
    <w:p w:rsidR="00720263" w:rsidP="5F4F2136">
      <w:pPr>
        <w:ind w:left="360"/>
      </w:pPr>
    </w:p>
    <w:p w:rsidR="00720263" w:rsidRPr="00E57621" w:rsidP="0030688F">
      <w:pPr>
        <w:ind w:left="360"/>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E555B1"/>
    <w:multiLevelType w:val="hybridMultilevel"/>
    <w:tmpl w:val="4C92F4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46307E3"/>
    <w:multiLevelType w:val="hybridMultilevel"/>
    <w:tmpl w:val="87FC61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4905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05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05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05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05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05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05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05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05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5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05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05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05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05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05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05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05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05ED"/>
    <w:rPr>
      <w:rFonts w:eastAsiaTheme="majorEastAsia" w:cstheme="majorBidi"/>
      <w:color w:val="272727" w:themeColor="text1" w:themeTint="D8"/>
    </w:rPr>
  </w:style>
  <w:style w:type="paragraph" w:styleId="Title">
    <w:name w:val="Title"/>
    <w:basedOn w:val="Normal"/>
    <w:next w:val="Normal"/>
    <w:link w:val="TitleChar"/>
    <w:uiPriority w:val="10"/>
    <w:qFormat/>
    <w:rsid w:val="004905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05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05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05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05ED"/>
    <w:pPr>
      <w:spacing w:before="160"/>
      <w:jc w:val="center"/>
    </w:pPr>
    <w:rPr>
      <w:i/>
      <w:iCs/>
      <w:color w:val="404040" w:themeColor="text1" w:themeTint="BF"/>
    </w:rPr>
  </w:style>
  <w:style w:type="character" w:customStyle="1" w:styleId="QuoteChar">
    <w:name w:val="Quote Char"/>
    <w:basedOn w:val="DefaultParagraphFont"/>
    <w:link w:val="Quote"/>
    <w:uiPriority w:val="29"/>
    <w:rsid w:val="004905ED"/>
    <w:rPr>
      <w:i/>
      <w:iCs/>
      <w:color w:val="404040" w:themeColor="text1" w:themeTint="BF"/>
    </w:rPr>
  </w:style>
  <w:style w:type="paragraph" w:styleId="ListParagraph">
    <w:name w:val="List Paragraph"/>
    <w:basedOn w:val="Normal"/>
    <w:uiPriority w:val="34"/>
    <w:qFormat/>
    <w:rsid w:val="004905ED"/>
    <w:pPr>
      <w:ind w:left="720"/>
      <w:contextualSpacing/>
    </w:pPr>
  </w:style>
  <w:style w:type="character" w:styleId="IntenseEmphasis">
    <w:name w:val="Intense Emphasis"/>
    <w:basedOn w:val="DefaultParagraphFont"/>
    <w:uiPriority w:val="21"/>
    <w:qFormat/>
    <w:rsid w:val="004905ED"/>
    <w:rPr>
      <w:i/>
      <w:iCs/>
      <w:color w:val="0F4761" w:themeColor="accent1" w:themeShade="BF"/>
    </w:rPr>
  </w:style>
  <w:style w:type="paragraph" w:styleId="IntenseQuote">
    <w:name w:val="Intense Quote"/>
    <w:basedOn w:val="Normal"/>
    <w:next w:val="Normal"/>
    <w:link w:val="IntenseQuoteChar"/>
    <w:uiPriority w:val="30"/>
    <w:qFormat/>
    <w:rsid w:val="004905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05ED"/>
    <w:rPr>
      <w:i/>
      <w:iCs/>
      <w:color w:val="0F4761" w:themeColor="accent1" w:themeShade="BF"/>
    </w:rPr>
  </w:style>
  <w:style w:type="character" w:styleId="IntenseReference">
    <w:name w:val="Intense Reference"/>
    <w:basedOn w:val="DefaultParagraphFont"/>
    <w:uiPriority w:val="32"/>
    <w:qFormat/>
    <w:rsid w:val="004905ED"/>
    <w:rPr>
      <w:b/>
      <w:bCs/>
      <w:smallCaps/>
      <w:color w:val="0F4761" w:themeColor="accent1" w:themeShade="BF"/>
      <w:spacing w:val="5"/>
    </w:rPr>
  </w:style>
  <w:style w:type="character" w:styleId="Hyperlink">
    <w:name w:val="Hyperlink"/>
    <w:basedOn w:val="DefaultParagraphFont"/>
    <w:uiPriority w:val="99"/>
    <w:unhideWhenUsed/>
    <w:rsid w:val="00D85529"/>
    <w:rPr>
      <w:color w:val="467886" w:themeColor="hyperlink"/>
      <w:u w:val="single"/>
    </w:rPr>
  </w:style>
  <w:style w:type="character" w:customStyle="1" w:styleId="UnresolvedMention1">
    <w:name w:val="Unresolved Mention1"/>
    <w:basedOn w:val="DefaultParagraphFont"/>
    <w:uiPriority w:val="99"/>
    <w:semiHidden/>
    <w:unhideWhenUsed/>
    <w:rsid w:val="00D85529"/>
    <w:rPr>
      <w:color w:val="605E5C"/>
      <w:shd w:val="clear" w:color="auto" w:fill="E1DFDD"/>
    </w:rPr>
  </w:style>
  <w:style w:type="paragraph" w:styleId="CommentText">
    <w:name w:val="annotation text"/>
    <w:basedOn w:val="Normal"/>
    <w:link w:val="CommentTextChar"/>
    <w:uiPriority w:val="99"/>
    <w:unhideWhenUsed/>
    <w:rsid w:val="00EE509F"/>
    <w:pPr>
      <w:spacing w:line="240" w:lineRule="auto"/>
    </w:pPr>
    <w:rPr>
      <w:sz w:val="20"/>
      <w:szCs w:val="20"/>
    </w:rPr>
  </w:style>
  <w:style w:type="character" w:customStyle="1" w:styleId="CommentTextChar">
    <w:name w:val="Comment Text Char"/>
    <w:basedOn w:val="DefaultParagraphFont"/>
    <w:link w:val="CommentText"/>
    <w:uiPriority w:val="99"/>
    <w:rsid w:val="00EE509F"/>
    <w:rPr>
      <w:sz w:val="20"/>
      <w:szCs w:val="20"/>
    </w:rPr>
  </w:style>
  <w:style w:type="character" w:styleId="CommentReference">
    <w:name w:val="annotation reference"/>
    <w:basedOn w:val="DefaultParagraphFont"/>
    <w:uiPriority w:val="99"/>
    <w:semiHidden/>
    <w:unhideWhenUsed/>
    <w:rsid w:val="00EE509F"/>
    <w:rPr>
      <w:sz w:val="16"/>
      <w:szCs w:val="16"/>
    </w:rPr>
  </w:style>
  <w:style w:type="paragraph" w:styleId="Revision">
    <w:name w:val="Revision"/>
    <w:hidden/>
    <w:uiPriority w:val="99"/>
    <w:semiHidden/>
    <w:rsid w:val="00F26A9B"/>
    <w:pPr>
      <w:spacing w:after="0" w:line="240" w:lineRule="auto"/>
    </w:pPr>
  </w:style>
  <w:style w:type="character" w:styleId="FollowedHyperlink">
    <w:name w:val="FollowedHyperlink"/>
    <w:basedOn w:val="DefaultParagraphFont"/>
    <w:uiPriority w:val="99"/>
    <w:semiHidden/>
    <w:unhideWhenUsed/>
    <w:rsid w:val="006F6D61"/>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C029B2"/>
    <w:rPr>
      <w:b/>
      <w:bCs/>
    </w:rPr>
  </w:style>
  <w:style w:type="character" w:customStyle="1" w:styleId="CommentSubjectChar">
    <w:name w:val="Comment Subject Char"/>
    <w:basedOn w:val="CommentTextChar"/>
    <w:link w:val="CommentSubject"/>
    <w:uiPriority w:val="99"/>
    <w:semiHidden/>
    <w:rsid w:val="00C029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a436561-34c6-48a8-833e-99c650fd3fe3">
      <Terms xmlns="http://schemas.microsoft.com/office/infopath/2007/PartnerControls"/>
    </lcf76f155ced4ddcb4097134ff3c332f>
    <TaxCatchAll xmlns="25475540-9773-43a3-8df6-094be5ca171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5F8246D3F7C2B47A494A339FDF5CC4A" ma:contentTypeVersion="19" ma:contentTypeDescription="Create a new document." ma:contentTypeScope="" ma:versionID="1278db173d2d3bcde9707bf4d297b27b">
  <xsd:schema xmlns:xsd="http://www.w3.org/2001/XMLSchema" xmlns:xs="http://www.w3.org/2001/XMLSchema" xmlns:p="http://schemas.microsoft.com/office/2006/metadata/properties" xmlns:ns2="7a436561-34c6-48a8-833e-99c650fd3fe3" xmlns:ns3="25475540-9773-43a3-8df6-094be5ca1716" targetNamespace="http://schemas.microsoft.com/office/2006/metadata/properties" ma:root="true" ma:fieldsID="c9847249f348b3e34c2ed58e6836b737" ns2:_="" ns3:_="">
    <xsd:import namespace="7a436561-34c6-48a8-833e-99c650fd3fe3"/>
    <xsd:import namespace="25475540-9773-43a3-8df6-094be5ca17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436561-34c6-48a8-833e-99c650fd3f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e321298-61a5-4500-88b3-c95152561dc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475540-9773-43a3-8df6-094be5ca171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7a071af-2787-4fad-b13c-c768b2278048}" ma:internalName="TaxCatchAll" ma:showField="CatchAllData" ma:web="25475540-9773-43a3-8df6-094be5ca17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00E766-D143-4029-A343-2071A2EB4212}">
  <ds:schemaRefs>
    <ds:schemaRef ds:uri="http://schemas.microsoft.com/office/2006/metadata/properties"/>
    <ds:schemaRef ds:uri="http://schemas.microsoft.com/office/infopath/2007/PartnerControls"/>
    <ds:schemaRef ds:uri="7a436561-34c6-48a8-833e-99c650fd3fe3"/>
    <ds:schemaRef ds:uri="25475540-9773-43a3-8df6-094be5ca1716"/>
  </ds:schemaRefs>
</ds:datastoreItem>
</file>

<file path=customXml/itemProps2.xml><?xml version="1.0" encoding="utf-8"?>
<ds:datastoreItem xmlns:ds="http://schemas.openxmlformats.org/officeDocument/2006/customXml" ds:itemID="{01F02B47-16C1-452D-B25F-1FD91E5B17FC}">
  <ds:schemaRefs>
    <ds:schemaRef ds:uri="http://schemas.microsoft.com/sharepoint/v3/contenttype/forms"/>
  </ds:schemaRefs>
</ds:datastoreItem>
</file>

<file path=customXml/itemProps3.xml><?xml version="1.0" encoding="utf-8"?>
<ds:datastoreItem xmlns:ds="http://schemas.openxmlformats.org/officeDocument/2006/customXml" ds:itemID="{9841B01E-8DDA-4AB3-ADF3-4904B38C86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436561-34c6-48a8-833e-99c650fd3fe3"/>
    <ds:schemaRef ds:uri="25475540-9773-43a3-8df6-094be5ca17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TOU0043</dc:title>
  <cp:revision>0</cp:revision>
</cp:coreProperties>
</file>