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6824" w:rsidRPr="00560C4C" w:rsidP="00796824">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Pr>
          <w:rFonts w:ascii="Calibri" w:hAnsi="Calibri" w:cs="Calibri"/>
          <w:sz w:val="28"/>
          <w:szCs w:val="28"/>
        </w:rPr>
        <w:t xml:space="preserve"> ABTA</w:t>
      </w:r>
    </w:p>
    <w:p w:rsidR="00852045" w:rsidP="002652A5">
      <w:pPr>
        <w:rPr>
          <w:b/>
          <w:bCs/>
        </w:rPr>
      </w:pPr>
      <w:r>
        <w:rPr>
          <w:b/>
          <w:bCs/>
        </w:rPr>
        <w:br/>
      </w:r>
      <w:r>
        <w:rPr>
          <w:b/>
          <w:bCs/>
        </w:rPr>
        <w:t>Ex</w:t>
      </w:r>
      <w:r>
        <w:rPr>
          <w:b/>
          <w:bCs/>
        </w:rPr>
        <w:t>ecutive Summary</w:t>
      </w:r>
    </w:p>
    <w:p w:rsidR="00852045" w:rsidRPr="00D56195" w:rsidP="00D56195">
      <w:r w:rsidRPr="00D56195">
        <w:t>ABTA welcomes the Culture, Media and Sport Committee’s inquiry into UK tourism at a pivotal moment for the sector. Travel and tourism is a major contributor to the UK economy, supporting millions of jobs and generating significant Exchequer revenue, yet its competitiveness has been steadily eroded by cumulative policy decisions. Successive increases in taxation, rising operational and employment costs, regulatory burdens and growing border friction have made the UK a higher</w:t>
      </w:r>
      <w:r w:rsidRPr="00D56195">
        <w:rPr>
          <w:rFonts w:ascii="Cambria Math" w:hAnsi="Cambria Math" w:cs="Cambria Math"/>
        </w:rPr>
        <w:t>‑</w:t>
      </w:r>
      <w:r w:rsidRPr="00D56195">
        <w:t>cost, less competitive destination relative to international peers. This has implications not only for inbound tourism and the Government’s ambition to reach 50 million annual overseas visits, but also for the wider tourism ecosystem, including domestic and outbound travel, which underpins airline connectivity, route viability and access for international visitors across the UK’s regions.</w:t>
      </w:r>
    </w:p>
    <w:p w:rsidR="00852045" w:rsidRPr="00D56195" w:rsidP="00D56195">
      <w:r w:rsidRPr="00D56195">
        <w:t xml:space="preserve">ABTA’s submission emphasises the interconnected nature of inbound, outbound and domestic travel, and the need for policy to reflect this reality. Outbound travel provides the commercial base for air and </w:t>
      </w:r>
      <w:r>
        <w:t>maritime</w:t>
      </w:r>
      <w:r w:rsidRPr="00D56195">
        <w:t xml:space="preserve"> </w:t>
      </w:r>
      <w:r w:rsidRPr="00D56195">
        <w:t xml:space="preserve">connectivity that enables inbound growth, yet is increasingly constrained by rising costs such as Air Passenger Duty and wider regulatory pressures. The proposed introduction of overnight visitor levies risks compounding these challenges, suppressing demand and weakening competitiveness at a time when other countries are actively cutting aviation taxes to attract investment. Alongside this, workforce shortages driven by skills pipeline challenges and the absence of labour mobility arrangements are </w:t>
      </w:r>
      <w:r w:rsidRPr="00D56195">
        <w:t>constraining growth. ABTA therefore calls for a shift in approach: treating tourism as a strategic growth sector; improving international cost competitiveness; ensuring sustainability policies support, rather than hinder, growth; strengthening cross</w:t>
      </w:r>
      <w:r w:rsidRPr="00D56195">
        <w:rPr>
          <w:rFonts w:ascii="Cambria Math" w:hAnsi="Cambria Math" w:cs="Cambria Math"/>
        </w:rPr>
        <w:t>‑</w:t>
      </w:r>
      <w:r w:rsidRPr="00D56195">
        <w:t>government coordination; and progressing a Youth Experience Scheme with the EU to support both inbound and outbound tourism. Without such action, the UK risks falling further behind competitors in securing visitors, investment and long</w:t>
      </w:r>
      <w:r w:rsidRPr="00D56195">
        <w:rPr>
          <w:rFonts w:ascii="Cambria Math" w:hAnsi="Cambria Math" w:cs="Cambria Math"/>
        </w:rPr>
        <w:t>‑</w:t>
      </w:r>
      <w:r w:rsidRPr="00D56195">
        <w:t>term economic benefits fro</w:t>
      </w:r>
      <w:r w:rsidRPr="00D56195">
        <w:t>m tourism.</w:t>
      </w:r>
    </w:p>
    <w:p w:rsidR="00852045" w:rsidRPr="00E83F49" w:rsidP="002652A5">
      <w:pPr>
        <w:rPr>
          <w:b/>
          <w:bCs/>
        </w:rPr>
      </w:pPr>
      <w:r w:rsidRPr="00E83F49">
        <w:rPr>
          <w:b/>
          <w:bCs/>
        </w:rPr>
        <w:t>About ABTA</w:t>
      </w:r>
      <w:r>
        <w:rPr>
          <w:rStyle w:val="FootnoteReference"/>
          <w:b/>
          <w:bCs/>
        </w:rPr>
        <w:footnoteReference w:id="2"/>
      </w:r>
    </w:p>
    <w:p w:rsidR="00852045" w:rsidP="002652A5">
      <w:r w:rsidRPr="00562B82">
        <w:t xml:space="preserve">ABTA is the UK’s leading travel trade association, representing over </w:t>
      </w:r>
      <w:r>
        <w:t>3</w:t>
      </w:r>
      <w:r w:rsidRPr="00562B82">
        <w:t>,</w:t>
      </w:r>
      <w:r>
        <w:t>5</w:t>
      </w:r>
      <w:r w:rsidRPr="00562B82">
        <w:t>00 travel brands with a combined annual turnover exceeding £4</w:t>
      </w:r>
      <w:r>
        <w:t>2</w:t>
      </w:r>
      <w:r w:rsidRPr="00562B82">
        <w:t xml:space="preserve"> billion. </w:t>
      </w:r>
      <w:r w:rsidRPr="0083705D">
        <w:t xml:space="preserve">ABTA has been a </w:t>
      </w:r>
      <w:r w:rsidRPr="0083705D">
        <w:t>D</w:t>
      </w:r>
      <w:r>
        <w:t xml:space="preserve">epartment for </w:t>
      </w:r>
      <w:r w:rsidRPr="0083705D">
        <w:t>B</w:t>
      </w:r>
      <w:r>
        <w:t xml:space="preserve">usiness and </w:t>
      </w:r>
      <w:r w:rsidRPr="0083705D">
        <w:t>T</w:t>
      </w:r>
      <w:r>
        <w:t>rade</w:t>
      </w:r>
      <w:r w:rsidRPr="0083705D">
        <w:t xml:space="preserve"> </w:t>
      </w:r>
      <w:r w:rsidRPr="0083705D">
        <w:t>Approved Body under the Package Travel Regulations since 1993 and is the largest of the three Approved Bodies, holding over £1 billion in bonds each year.</w:t>
      </w:r>
    </w:p>
    <w:p w:rsidR="00852045" w:rsidP="002652A5">
      <w:r w:rsidRPr="00562B82">
        <w:t xml:space="preserve">Outbound travel alone generates more than £52 billion in GVA and supports over 818,000 jobs across the UK — with potential to grow to £62 billion and 964,000 jobs by 2030 under the right framework. </w:t>
      </w:r>
      <w:r w:rsidRPr="00BD70AF">
        <w:t xml:space="preserve">International travel — encompassing both outbound and inbound journeys — contributes £83 billion </w:t>
      </w:r>
      <w:r>
        <w:t>in GVA</w:t>
      </w:r>
      <w:r w:rsidRPr="00BD70AF">
        <w:t xml:space="preserve"> and supports around 1.4 million jobs.</w:t>
      </w:r>
    </w:p>
    <w:p w:rsidR="00852045" w:rsidRPr="002652A5" w:rsidP="002652A5">
      <w:r w:rsidRPr="00562B82">
        <w:t xml:space="preserve">Around 90% of ABTA members are SMEs, many based on local high streets and supporting communities nationwide. </w:t>
      </w:r>
      <w:r>
        <w:t>Outbound travel</w:t>
      </w:r>
      <w:r w:rsidRPr="00562B82">
        <w:t xml:space="preserve"> contributes £9.9 billion annually to the Exchequer through APD, VAT and employment taxes</w:t>
      </w:r>
      <w:r>
        <w:t>;</w:t>
      </w:r>
      <w:r>
        <w:t xml:space="preserve"> this rises to </w:t>
      </w:r>
      <w:r>
        <w:t>£17.1 billion for international travel</w:t>
      </w:r>
      <w:r>
        <w:t xml:space="preserve"> (inbound and outbound)</w:t>
      </w:r>
      <w:r w:rsidRPr="00562B82">
        <w:t>.</w:t>
      </w:r>
      <w:r>
        <w:t xml:space="preserve"> </w:t>
      </w:r>
      <w:r>
        <w:t>ABTA members span all parts of the travel and tourism economy, including outbound, inbound and domestic</w:t>
      </w:r>
      <w:r>
        <w:t xml:space="preserve">. Whilst the majority of ABTA members </w:t>
      </w:r>
      <w:r>
        <w:t>focus on outbound travel, they also make a valuable contribution to inbound and domestic travel, including household names such as the Merlin Group and the young-person</w:t>
      </w:r>
      <w:r>
        <w:t xml:space="preserve"> domestic</w:t>
      </w:r>
      <w:r>
        <w:t xml:space="preserve"> activity h</w:t>
      </w:r>
      <w:r>
        <w:t>oliday provider PGL Travel.</w:t>
      </w:r>
      <w:r>
        <w:t xml:space="preserve"> </w:t>
      </w:r>
    </w:p>
    <w:p w:rsidR="00852045" w:rsidRPr="00E83F49" w:rsidP="002652A5">
      <w:pPr>
        <w:rPr>
          <w:b/>
          <w:bCs/>
        </w:rPr>
      </w:pPr>
      <w:r w:rsidRPr="00E83F49">
        <w:rPr>
          <w:b/>
          <w:bCs/>
        </w:rPr>
        <w:t>Introduction</w:t>
      </w:r>
    </w:p>
    <w:p w:rsidR="00852045" w:rsidP="002652A5">
      <w:r>
        <w:t>ABTA welcomes the Culture, Media and Sport</w:t>
      </w:r>
      <w:r>
        <w:t xml:space="preserve"> (CMS)</w:t>
      </w:r>
      <w:r>
        <w:t xml:space="preserve"> Committee launching an inquiry into UK tourism</w:t>
      </w:r>
      <w:r>
        <w:t xml:space="preserve">. </w:t>
      </w:r>
      <w:r>
        <w:t xml:space="preserve">It has been a time of immense change </w:t>
      </w:r>
      <w:r>
        <w:t>since the Committee’s previous inquiry and report</w:t>
      </w:r>
      <w:r>
        <w:t>,</w:t>
      </w:r>
      <w:r>
        <w:t xml:space="preserve"> ‘</w:t>
      </w:r>
      <w:r w:rsidRPr="00062489">
        <w:rPr>
          <w:i/>
          <w:iCs/>
        </w:rPr>
        <w:t>Promoting Britain Abroad</w:t>
      </w:r>
      <w:r>
        <w:t xml:space="preserve">’ in </w:t>
      </w:r>
      <w:r>
        <w:t>2022</w:t>
      </w:r>
      <w:r>
        <w:rPr>
          <w:rStyle w:val="FootnoteReference"/>
        </w:rPr>
        <w:footnoteReference w:id="3"/>
      </w:r>
      <w:r>
        <w:t xml:space="preserve"> which rightly </w:t>
      </w:r>
      <w:r>
        <w:t xml:space="preserve">advised the previous government of the CMS Committee’s concerns about </w:t>
      </w:r>
      <w:r>
        <w:t>issues such as</w:t>
      </w:r>
      <w:r>
        <w:t xml:space="preserve"> UK competitiveness</w:t>
      </w:r>
      <w:r>
        <w:t xml:space="preserve">, </w:t>
      </w:r>
      <w:r>
        <w:t>workforce supply issues</w:t>
      </w:r>
      <w:r>
        <w:t xml:space="preserve"> and </w:t>
      </w:r>
      <w:r>
        <w:t>the need for government cross-departmental working</w:t>
      </w:r>
      <w:r>
        <w:t>.</w:t>
      </w:r>
    </w:p>
    <w:p w:rsidR="00852045" w:rsidP="002652A5">
      <w:r>
        <w:t xml:space="preserve">Whilst this </w:t>
      </w:r>
      <w:r>
        <w:t xml:space="preserve">tourism inquiry </w:t>
      </w:r>
      <w:r>
        <w:t>focuses on inbound visitors, growing the inbound and domestic markets, and achieving the government’s target of</w:t>
      </w:r>
      <w:r>
        <w:t xml:space="preserve"> 50 million international visitors to the UK, ABTA would like to highlight the importance of outbound travel and how </w:t>
      </w:r>
      <w:r>
        <w:t>it</w:t>
      </w:r>
      <w:r>
        <w:t xml:space="preserve"> </w:t>
      </w:r>
      <w:r>
        <w:t>underpins the rest of the UK tourism economy.</w:t>
      </w:r>
    </w:p>
    <w:p w:rsidR="00852045" w:rsidP="009A33E2">
      <w:r>
        <w:t>Although inbound and domestic tourism are critical to the UK economy and to sustaining visitor attractions, outbound travel plays a fundamental role in underpinning the entire tourism ecosystem. Outbound demand provides the commercial foundation for airline route networks, supporting flight frequency, capacity and destination choice across UK airports. This connectivity, in turn, is essential to maintaining access for international visitors</w:t>
      </w:r>
      <w:r>
        <w:t>, including business travellers,</w:t>
      </w:r>
      <w:r>
        <w:t xml:space="preserve"> to the UK.</w:t>
      </w:r>
    </w:p>
    <w:p w:rsidR="00852045" w:rsidP="009A33E2">
      <w:r>
        <w:t xml:space="preserve">As </w:t>
      </w:r>
      <w:r>
        <w:t>shown in the graph below, outbound travel accounts for</w:t>
      </w:r>
      <w:r>
        <w:t xml:space="preserve"> the vast majority of passenger traffic at UK airports. Without this outbound foundation, many routes would be commercially unviable, leading to reduced air services and weaker connectivity. This would inevitably have a knock</w:t>
      </w:r>
      <w:r>
        <w:rPr>
          <w:rFonts w:ascii="Cambria Math" w:hAnsi="Cambria Math" w:cs="Cambria Math"/>
        </w:rPr>
        <w:t>‑</w:t>
      </w:r>
      <w:r>
        <w:t>on effect on inbound tourism, making it harder for international visitors to reach UK destinations</w:t>
      </w:r>
      <w:r>
        <w:t>, including those near regional airports,</w:t>
      </w:r>
      <w:r>
        <w:t xml:space="preserve"> and undermining growth across the wider visitor economy.</w:t>
      </w:r>
    </w:p>
    <w:p w:rsidR="00852045" w:rsidP="002652A5">
      <w:r w:rsidRPr="00014EB3">
        <w:rPr>
          <w:noProof/>
        </w:rPr>
        <w:drawing>
          <wp:inline distT="0" distB="0" distL="0" distR="0">
            <wp:extent cx="5353050" cy="4318054"/>
            <wp:effectExtent l="0" t="0" r="0" b="6350"/>
            <wp:docPr id="29906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65853" name=""/>
                    <pic:cNvPicPr/>
                  </pic:nvPicPr>
                  <pic:blipFill>
                    <a:blip xmlns:r="http://schemas.openxmlformats.org/officeDocument/2006/relationships" r:embed="rId6"/>
                    <a:stretch>
                      <a:fillRect/>
                    </a:stretch>
                  </pic:blipFill>
                  <pic:spPr>
                    <a:xfrm>
                      <a:off x="0" y="0"/>
                      <a:ext cx="5355880" cy="4320337"/>
                    </a:xfrm>
                    <a:prstGeom prst="rect">
                      <a:avLst/>
                    </a:prstGeom>
                  </pic:spPr>
                </pic:pic>
              </a:graphicData>
            </a:graphic>
          </wp:inline>
        </w:drawing>
      </w:r>
      <w:r>
        <w:rPr>
          <w:rStyle w:val="FootnoteReference"/>
        </w:rPr>
        <w:footnoteReference w:id="4"/>
      </w:r>
    </w:p>
    <w:p w:rsidR="00852045" w:rsidRPr="0030076B" w:rsidP="002652A5">
      <w:pPr>
        <w:rPr>
          <w:b/>
          <w:bCs/>
          <w:i/>
          <w:iCs/>
        </w:rPr>
      </w:pPr>
      <w:r w:rsidRPr="0030076B">
        <w:rPr>
          <w:b/>
          <w:bCs/>
          <w:i/>
          <w:iCs/>
        </w:rPr>
        <w:t>1) How effective are government policies in supporting the growth, competitiveness and long-term resilience of the tourism sector?</w:t>
      </w:r>
    </w:p>
    <w:p w:rsidR="00852045" w:rsidRPr="0030076B" w:rsidP="002652A5">
      <w:pPr>
        <w:rPr>
          <w:b/>
          <w:bCs/>
          <w:i/>
          <w:iCs/>
        </w:rPr>
      </w:pPr>
      <w:r w:rsidRPr="0030076B">
        <w:rPr>
          <w:b/>
          <w:bCs/>
          <w:i/>
          <w:iCs/>
        </w:rPr>
        <w:t>i. What are the main barriers to international competitiveness? How effectively does the UK promote itself overseas as a destination and what more could be done to strengthen its international profile?</w:t>
      </w:r>
    </w:p>
    <w:p w:rsidR="00852045" w:rsidRPr="0030076B" w:rsidP="002652A5">
      <w:pPr>
        <w:rPr>
          <w:b/>
          <w:bCs/>
          <w:i/>
          <w:iCs/>
        </w:rPr>
      </w:pPr>
      <w:r w:rsidRPr="0030076B">
        <w:rPr>
          <w:b/>
          <w:bCs/>
          <w:i/>
          <w:iCs/>
        </w:rPr>
        <w:t>ii. How does the UK’s recent tourism performance (including visitor numbers, length of stay and visitor spend) compare with other major European tourism destinations?</w:t>
      </w:r>
    </w:p>
    <w:p w:rsidR="00852045" w:rsidRPr="0030076B" w:rsidP="002652A5">
      <w:pPr>
        <w:rPr>
          <w:b/>
          <w:bCs/>
          <w:i/>
          <w:iCs/>
        </w:rPr>
      </w:pPr>
      <w:r w:rsidRPr="0030076B">
        <w:rPr>
          <w:b/>
          <w:bCs/>
          <w:i/>
          <w:iCs/>
        </w:rPr>
        <w:t>iii. What factors explain any divergence in growth trends between the UK and European countries?</w:t>
      </w:r>
    </w:p>
    <w:p w:rsidR="00852045" w:rsidRPr="0030076B" w:rsidP="002652A5">
      <w:pPr>
        <w:rPr>
          <w:b/>
          <w:bCs/>
          <w:i/>
          <w:iCs/>
        </w:rPr>
      </w:pPr>
      <w:r w:rsidRPr="0030076B">
        <w:rPr>
          <w:b/>
          <w:bCs/>
          <w:i/>
          <w:iCs/>
        </w:rPr>
        <w:t>iv. What are the specific drivers of international tourism to the UK, what is the economic value of each of those drivers and how can their value be increased?</w:t>
      </w:r>
    </w:p>
    <w:p w:rsidR="00852045" w:rsidRPr="0030076B" w:rsidP="006B2513">
      <w:pPr>
        <w:rPr>
          <w:b/>
          <w:bCs/>
          <w:i/>
          <w:iCs/>
        </w:rPr>
      </w:pPr>
      <w:r w:rsidRPr="0030076B">
        <w:rPr>
          <w:b/>
          <w:bCs/>
          <w:i/>
          <w:iCs/>
        </w:rPr>
        <w:t>v. What are the arguments for and against the proposal to give mayoral strategic authorities the power to introduce an overnight visitor levy? If a levy is introduced, how should it best be spent to attract tourism and investment?</w:t>
      </w:r>
    </w:p>
    <w:p w:rsidR="00852045" w:rsidRPr="005C23D0" w:rsidP="006B2513">
      <w:pPr>
        <w:rPr>
          <w:b/>
          <w:bCs/>
        </w:rPr>
      </w:pPr>
      <w:r w:rsidRPr="005C23D0">
        <w:rPr>
          <w:b/>
          <w:bCs/>
        </w:rPr>
        <w:t>Factors Undermining the UK’s Tourism Competitiveness</w:t>
      </w:r>
    </w:p>
    <w:p w:rsidR="00852045" w:rsidP="006B2513">
      <w:r>
        <w:t xml:space="preserve">Competitiveness is currently one of the most acute challenges facing the UK travel and tourism sector. Over several years, and under successive governments, rising costs, increased taxation and cumulative regulatory pressures have steadily eroded the UK’s relative attractiveness as a destination in which to visit, do business and operate travel services. These pressures affect all parts of the UK </w:t>
      </w:r>
      <w:r>
        <w:t>tourism ecosystem – inbound, outbound and domestic – undermining growth, resilience and long</w:t>
      </w:r>
      <w:r>
        <w:rPr>
          <w:rFonts w:ascii="Cambria Math" w:hAnsi="Cambria Math" w:cs="Cambria Math"/>
        </w:rPr>
        <w:t>‑</w:t>
      </w:r>
      <w:r>
        <w:t>term competitiveness.</w:t>
      </w:r>
    </w:p>
    <w:p w:rsidR="00852045" w:rsidRPr="00242E8F" w:rsidP="006B2513">
      <w:r>
        <w:t>The World Economic Forum’s 2024 Travel and Tourism Development Index ranked the UK 78th globally for prioritisation of travel and tourism, and 113th for price competitiveness</w:t>
      </w:r>
      <w:r>
        <w:t xml:space="preserve"> (each from 119)</w:t>
      </w:r>
      <w:r>
        <w:t>, underlining the extent to which policy decisions have weakened the UK’s competitive position relative to peer destinations. Rather than being treated as a strategic growth sector, tourism is increasingly viewed as a source of fiscal revenue, with limited consideration given to price sensitivity, international competition or cumulative impacts</w:t>
      </w:r>
      <w:r>
        <w:rPr>
          <w:vertAlign w:val="superscript"/>
        </w:rPr>
        <w:footnoteReference w:id="5"/>
      </w:r>
      <w:r w:rsidRPr="00242E8F">
        <w:t>.</w:t>
      </w:r>
    </w:p>
    <w:p w:rsidR="00852045" w:rsidP="00242E8F">
      <w:r w:rsidRPr="009243E9">
        <w:t>A central barrier to the UK’s international competitiveness is its high and rising cost base, driven by taxation, labour costs and regulatory burdens. In the 2024 Autumn Budget, the Government increased Air Passenger Duty (APD) by £2 on short</w:t>
      </w:r>
      <w:r w:rsidRPr="009243E9">
        <w:rPr>
          <w:rFonts w:ascii="Cambria Math" w:hAnsi="Cambria Math" w:cs="Cambria Math"/>
        </w:rPr>
        <w:t>‑</w:t>
      </w:r>
      <w:r w:rsidRPr="009243E9">
        <w:t xml:space="preserve">haul economy flights and </w:t>
      </w:r>
      <w:r w:rsidRPr="009243E9">
        <w:rPr>
          <w:rFonts w:ascii="Calibri" w:hAnsi="Calibri" w:cs="Calibri"/>
        </w:rPr>
        <w:t>£</w:t>
      </w:r>
      <w:r w:rsidRPr="009243E9">
        <w:t>12 on long</w:t>
      </w:r>
      <w:r w:rsidRPr="009243E9">
        <w:rPr>
          <w:rFonts w:ascii="Cambria Math" w:hAnsi="Cambria Math" w:cs="Cambria Math"/>
        </w:rPr>
        <w:t>‑</w:t>
      </w:r>
      <w:r w:rsidRPr="009243E9">
        <w:t>haul economy flights from April 2026</w:t>
      </w:r>
      <w:r w:rsidRPr="009243E9">
        <w:rPr>
          <w:rFonts w:ascii="Calibri" w:hAnsi="Calibri" w:cs="Calibri"/>
        </w:rPr>
        <w:t>—</w:t>
      </w:r>
      <w:r w:rsidRPr="009243E9">
        <w:t>above inflation in most cases</w:t>
      </w:r>
      <w:r w:rsidRPr="009243E9">
        <w:rPr>
          <w:rFonts w:ascii="Calibri" w:hAnsi="Calibri" w:cs="Calibri"/>
        </w:rPr>
        <w:t>—</w:t>
      </w:r>
      <w:r w:rsidRPr="009243E9">
        <w:t>further increasing costs for both inbound and outbound travel. Budget 2025 confirmed that APD will continue to rise in line with inflation from April 2027 across all bands.</w:t>
      </w:r>
      <w:r>
        <w:t xml:space="preserve"> </w:t>
      </w:r>
      <w:r>
        <w:t>Price i</w:t>
      </w:r>
      <w:r>
        <w:t xml:space="preserve">ncreases were also placed on children </w:t>
      </w:r>
      <w:r>
        <w:t>flying in premium economy</w:t>
      </w:r>
      <w:r>
        <w:t>.</w:t>
      </w:r>
      <w:r w:rsidRPr="009243E9">
        <w:t xml:space="preserve"> The UK already has one of the highest taxes on flying globally, and these further increases disproportionately affect price</w:t>
      </w:r>
      <w:r w:rsidRPr="009243E9">
        <w:rPr>
          <w:rFonts w:ascii="Cambria Math" w:hAnsi="Cambria Math" w:cs="Cambria Math"/>
        </w:rPr>
        <w:t>‑</w:t>
      </w:r>
      <w:r w:rsidRPr="009243E9">
        <w:t>sensitive markets and short</w:t>
      </w:r>
      <w:r w:rsidRPr="009243E9">
        <w:rPr>
          <w:rFonts w:ascii="Cambria Math" w:hAnsi="Cambria Math" w:cs="Cambria Math"/>
        </w:rPr>
        <w:t>‑</w:t>
      </w:r>
      <w:r w:rsidRPr="009243E9">
        <w:t>break trave</w:t>
      </w:r>
      <w:r w:rsidRPr="009243E9">
        <w:t>l, where the UK competes most directly with European destinations.</w:t>
      </w:r>
      <w:r w:rsidRPr="00242E8F">
        <w:t xml:space="preserve"> </w:t>
      </w:r>
    </w:p>
    <w:p w:rsidR="00852045" w:rsidRPr="00242E8F" w:rsidP="00242E8F">
      <w:r w:rsidRPr="00F566B7">
        <w:t>Joint research by Airports UK, Airlines UK and Airlines for America raises further concerns. The study found that the UK scored 42% on a competitiveness index, compared with 71% for the United States</w:t>
      </w:r>
      <w:r>
        <w:rPr>
          <w:rStyle w:val="FootnoteReference"/>
        </w:rPr>
        <w:footnoteReference w:id="6"/>
      </w:r>
      <w:r>
        <w:t xml:space="preserve">. </w:t>
      </w:r>
      <w:r w:rsidRPr="00C60387">
        <w:t>While the research highlights UK strengths such as skills, connectivity and other enabling factors, it also points to growing pressures from rising costs. These include increases in aviation taxes, high business rates, and additional regulatory costs associated with sustainable aviation fuel and the UK Emissions Trading Scheme. Most concerningly, the research estimates that these cumulative and additional costs could drive passenger ticket prices to rise by 32% above inflation by 2031, with a potential kn</w:t>
      </w:r>
      <w:r w:rsidRPr="00C60387">
        <w:t>ock</w:t>
      </w:r>
      <w:r w:rsidRPr="00C60387">
        <w:rPr>
          <w:rFonts w:ascii="Cambria Math" w:hAnsi="Cambria Math" w:cs="Cambria Math"/>
        </w:rPr>
        <w:t>‑</w:t>
      </w:r>
      <w:r w:rsidRPr="00C60387">
        <w:t>on effect of reducing inbound demand by between 15% and 44%</w:t>
      </w:r>
      <w:r>
        <w:rPr>
          <w:rStyle w:val="FootnoteReference"/>
        </w:rPr>
        <w:footnoteReference w:id="7"/>
      </w:r>
      <w:r w:rsidRPr="00C60387">
        <w:t>.</w:t>
      </w:r>
    </w:p>
    <w:p w:rsidR="00852045" w:rsidRPr="00242E8F" w:rsidP="00242E8F">
      <w:r w:rsidRPr="00242E8F">
        <w:t>The 2024 Autumn Budget also significantly increased employment costs for ABTA members</w:t>
      </w:r>
      <w:r>
        <w:t xml:space="preserve"> and all </w:t>
      </w:r>
      <w:r>
        <w:t>areas of travel and tourism</w:t>
      </w:r>
      <w:r w:rsidRPr="00242E8F">
        <w:t xml:space="preserve">, constraining their ability to invest and grow. Measures included higher employers’ National Insurance Contributions, increases to the National Living Wage, and further financial issues with the removal of </w:t>
      </w:r>
      <w:r>
        <w:t xml:space="preserve">leisure, hospitality and retail </w:t>
      </w:r>
      <w:r w:rsidRPr="00242E8F">
        <w:t>business rates relief in</w:t>
      </w:r>
      <w:r>
        <w:t xml:space="preserve"> the</w:t>
      </w:r>
      <w:r w:rsidRPr="00242E8F">
        <w:t xml:space="preserve"> 2025</w:t>
      </w:r>
      <w:r>
        <w:t xml:space="preserve"> </w:t>
      </w:r>
      <w:r w:rsidRPr="00242E8F">
        <w:t>Budget</w:t>
      </w:r>
      <w:r w:rsidRPr="00242E8F">
        <w:t>.</w:t>
      </w:r>
    </w:p>
    <w:p w:rsidR="00852045" w:rsidP="00242E8F">
      <w:r>
        <w:t xml:space="preserve">It should </w:t>
      </w:r>
      <w:r>
        <w:t xml:space="preserve">also </w:t>
      </w:r>
      <w:r>
        <w:t xml:space="preserve">be noted that the </w:t>
      </w:r>
      <w:r w:rsidRPr="00E227A1">
        <w:t xml:space="preserve">Emissions Trading Scheme (ETS) is </w:t>
      </w:r>
      <w:r>
        <w:t xml:space="preserve">also </w:t>
      </w:r>
      <w:r w:rsidRPr="00E227A1">
        <w:t>set to expand to include the cruise sector. As one of the fastest</w:t>
      </w:r>
      <w:r>
        <w:rPr>
          <w:rFonts w:ascii="Cambria Math" w:hAnsi="Cambria Math" w:cs="Cambria Math"/>
        </w:rPr>
        <w:t xml:space="preserve"> </w:t>
      </w:r>
      <w:r w:rsidRPr="00E227A1">
        <w:t xml:space="preserve">growing areas of travel, the inclusion of cruise within the ETS will inevitably have </w:t>
      </w:r>
      <w:r>
        <w:t>knock-on</w:t>
      </w:r>
      <w:r w:rsidRPr="00E227A1">
        <w:t xml:space="preserve"> effects for passenger costs and destination competitiveness.</w:t>
      </w:r>
      <w:r>
        <w:t xml:space="preserve"> There are efforts within the International Maritime Organisation (IMO) to reach a global agreement on approaches to </w:t>
      </w:r>
      <w:r>
        <w:t>decarbonisation</w:t>
      </w:r>
      <w:r>
        <w:t xml:space="preserve"> in cruise, and ABTA believes these should be allowed to conclude, recognising the benefits of a global app</w:t>
      </w:r>
      <w:r>
        <w:t>roach which also includes the wider shipping sector.</w:t>
      </w:r>
    </w:p>
    <w:p w:rsidR="00852045" w:rsidP="0070306B">
      <w:r>
        <w:t>Alongside this, the Sustainable Aviation Fuel (SAF) mandate and associated legislation commit UK aviation to progressively increasing the proportion of SAF blended with conventional jet fuel over the coming years. While sustainability is a genuine and shared priority for the travel industry—and the aviation sector has engaged constructively with government on the design of the scheme—the additional costs associated with SAF will increasingly be passed through to passengers</w:t>
      </w:r>
      <w:r>
        <w:t>,</w:t>
      </w:r>
      <w:r>
        <w:t xml:space="preserve"> and </w:t>
      </w:r>
      <w:r>
        <w:t xml:space="preserve">an </w:t>
      </w:r>
      <w:r>
        <w:t xml:space="preserve">appropriate balance must be struck between driving forward </w:t>
      </w:r>
      <w:r>
        <w:t>decarbonisation</w:t>
      </w:r>
      <w:r>
        <w:t xml:space="preserve"> and </w:t>
      </w:r>
      <w:r>
        <w:t>ensuring that travel remains affordable for all consumers</w:t>
      </w:r>
      <w:r>
        <w:t>.</w:t>
      </w:r>
      <w:r>
        <w:t xml:space="preserve"> We must not </w:t>
      </w:r>
      <w:r>
        <w:t xml:space="preserve">price people out of the skies and exclude entire parts of society from the huge </w:t>
      </w:r>
      <w:r>
        <w:t>opportunities</w:t>
      </w:r>
      <w:r>
        <w:t xml:space="preserve"> and benefits of overseas travel</w:t>
      </w:r>
      <w:r>
        <w:t>.</w:t>
      </w:r>
      <w:r>
        <w:t xml:space="preserve"> </w:t>
      </w:r>
    </w:p>
    <w:p w:rsidR="00852045" w:rsidP="0070306B">
      <w:r>
        <w:t>Border policy is another important factor affecting competitiveness. Even relatively small additional charges or administrative steps can influence travel decisions, particularly for price</w:t>
      </w:r>
      <w:r>
        <w:rPr>
          <w:rFonts w:ascii="Cambria Math" w:hAnsi="Cambria Math" w:cs="Cambria Math"/>
        </w:rPr>
        <w:t>‑</w:t>
      </w:r>
      <w:r>
        <w:t>sensitive visitors and short</w:t>
      </w:r>
      <w:r>
        <w:rPr>
          <w:rFonts w:ascii="Cambria Math" w:hAnsi="Cambria Math" w:cs="Cambria Math"/>
        </w:rPr>
        <w:t>‑</w:t>
      </w:r>
      <w:r>
        <w:t xml:space="preserve">break travel, placing the UK at a disadvantage relative to destinations with lower barriers to entry. The recent decision to increase the cost of the ETA to </w:t>
      </w:r>
      <w:r>
        <w:rPr>
          <w:rFonts w:ascii="Calibri" w:hAnsi="Calibri" w:cs="Calibri"/>
        </w:rPr>
        <w:t>£</w:t>
      </w:r>
      <w:r>
        <w:t>20 is therefore concerning. This charge</w:t>
      </w:r>
      <w:r>
        <w:rPr>
          <w:rFonts w:ascii="Calibri" w:hAnsi="Calibri" w:cs="Calibri"/>
        </w:rPr>
        <w:t>—</w:t>
      </w:r>
      <w:r>
        <w:t>intended to cover the operational costs of the system rather than function as a tax</w:t>
      </w:r>
      <w:r>
        <w:rPr>
          <w:rFonts w:ascii="Calibri" w:hAnsi="Calibri" w:cs="Calibri"/>
        </w:rPr>
        <w:t>—</w:t>
      </w:r>
      <w:r>
        <w:t>has increased by 100% within a year and risks suppressing demand. Treating visitors primarily as a source of revenue, without sufficient regard to price sensitivity or the UK’s position in a highly co</w:t>
      </w:r>
      <w:r>
        <w:t>mpetitive global market, risks damaging long</w:t>
      </w:r>
      <w:r>
        <w:rPr>
          <w:rFonts w:ascii="Cambria Math" w:hAnsi="Cambria Math" w:cs="Cambria Math"/>
        </w:rPr>
        <w:t>‑</w:t>
      </w:r>
      <w:r>
        <w:t>term growth.</w:t>
      </w:r>
    </w:p>
    <w:p w:rsidR="00852045" w:rsidP="00840012">
      <w:r>
        <w:t xml:space="preserve">While not a UK policy decision, the outbound travel sector is also adjusting to the introduction of the EU’s Entry/Exit System (EES), which is experiencing variable implementation across member states. The EU is due to introduce its own travel authorisation scheme, </w:t>
      </w:r>
      <w:r>
        <w:t>the Electronic Travel Information Authorisation System (</w:t>
      </w:r>
      <w:r>
        <w:t>ETIAS</w:t>
      </w:r>
      <w:r>
        <w:t>)</w:t>
      </w:r>
      <w:r>
        <w:t>, currently scheduled for late 2026. As these systems bed in, they are likely to affect travel behaviour and consumer confidence, particularly during the initial stages of implementation.</w:t>
      </w:r>
      <w:r>
        <w:t xml:space="preserve"> ABTA has asked the UK government to work with industry to call upon European governments and the European Commission to take pragmatic steps to avoid significant disruption to travel. These measures include full use of the </w:t>
      </w:r>
      <w:r>
        <w:t>contingency</w:t>
      </w:r>
      <w:r>
        <w:t xml:space="preserve"> measures available in the l</w:t>
      </w:r>
      <w:r>
        <w:t xml:space="preserve">egislation, </w:t>
      </w:r>
      <w:r>
        <w:t xml:space="preserve">proper investment in staffing of the borders, and more countries signing up to use the Travel To Europe app, which enables some of the checks to be </w:t>
      </w:r>
      <w:r>
        <w:t>up streamed</w:t>
      </w:r>
      <w:r>
        <w:t>.</w:t>
      </w:r>
    </w:p>
    <w:p w:rsidR="00852045" w:rsidP="00840012">
      <w:r>
        <w:t>In addition to these pressures, the sector faces the potential introduction of an overnight visitor levy in England, which could reduce inbound visitor numbers and threaten the Government’s ambition to achieve 50 million annual visits. This is not an England</w:t>
      </w:r>
      <w:r>
        <w:rPr>
          <w:rFonts w:ascii="Cambria Math" w:hAnsi="Cambria Math" w:cs="Cambria Math"/>
        </w:rPr>
        <w:t>‑</w:t>
      </w:r>
      <w:r>
        <w:t>only issue: Scotland has already legislated to allow local authorities to introduce visitor levies, and Wales has announced similar plans. Taken together, these developments risk further weakening the UK</w:t>
      </w:r>
      <w:r>
        <w:rPr>
          <w:rFonts w:ascii="Calibri" w:hAnsi="Calibri" w:cs="Calibri"/>
        </w:rPr>
        <w:t>’</w:t>
      </w:r>
      <w:r>
        <w:t>s international competitiveness and undermining economic growth—the Government’s stated priority for this Parliament. The implications of visitor levies are explored in greater detail below.</w:t>
      </w:r>
    </w:p>
    <w:p w:rsidR="00852045" w:rsidP="0093408B">
      <w:r>
        <w:t>For the cruise sector, there are additional concerns regarding proposals for a cruise tax in Scotland, consulted on by the previous Scottish administration. Although no such tax has yet been introduced, the consultation prompted a significant number of submissions from the travel and cruise industries</w:t>
      </w:r>
      <w:r>
        <w:t>,</w:t>
      </w:r>
      <w:r>
        <w:t xml:space="preserve"> highlighting the potential damage to connectivity, port calls and local economies.</w:t>
      </w:r>
    </w:p>
    <w:p w:rsidR="00852045" w:rsidP="0093408B">
      <w:r>
        <w:t>This is not an exhaustive list of the challenges currently facing inbound and outbound travel, but it illustrates the cumulative and interconnected pressures the sector is being asked to absorb, many of which directly affect the UK’s ability to compete internationally.</w:t>
      </w:r>
    </w:p>
    <w:p w:rsidR="00852045" w:rsidRPr="00400325" w:rsidP="0093408B">
      <w:pPr>
        <w:rPr>
          <w:b/>
          <w:bCs/>
        </w:rPr>
      </w:pPr>
      <w:r w:rsidRPr="00400325">
        <w:rPr>
          <w:b/>
          <w:bCs/>
        </w:rPr>
        <w:t>The English Visitor levy</w:t>
      </w:r>
    </w:p>
    <w:p w:rsidR="00852045" w:rsidP="008863F3">
      <w:r>
        <w:t xml:space="preserve">Against </w:t>
      </w:r>
      <w:r>
        <w:t>the competitiveness</w:t>
      </w:r>
      <w:r>
        <w:t xml:space="preserve"> background, outlined above,</w:t>
      </w:r>
      <w:r>
        <w:t xml:space="preserve"> ABTA is concerned that an additional levy on </w:t>
      </w:r>
      <w:r>
        <w:t>overnight</w:t>
      </w:r>
      <w:r>
        <w:t xml:space="preserve"> visitors </w:t>
      </w:r>
      <w:r>
        <w:t>within England</w:t>
      </w:r>
      <w:r>
        <w:t xml:space="preserve"> risks further suppressing demand in a highly price</w:t>
      </w:r>
      <w:r>
        <w:rPr>
          <w:rFonts w:ascii="Cambria Math" w:hAnsi="Cambria Math" w:cs="Cambria Math"/>
        </w:rPr>
        <w:t xml:space="preserve"> </w:t>
      </w:r>
      <w:r>
        <w:t>sensitive global market, undermining growth at a time when the Government has set an ambition to increase inbound visits.</w:t>
      </w:r>
    </w:p>
    <w:p w:rsidR="00852045" w:rsidP="008863F3">
      <w:r w:rsidRPr="00AF3803">
        <w:t>Polling commissioned by UK Hospitality demonstrates clear public opposition to an overnight visitor levy, with 56% of respondents opposing the proposal compared with just 24% who support it</w:t>
      </w:r>
      <w:r>
        <w:rPr>
          <w:rStyle w:val="FootnoteReference"/>
        </w:rPr>
        <w:footnoteReference w:id="8"/>
      </w:r>
      <w:r w:rsidRPr="00AF3803">
        <w:t>. The research also found that nearly one in five people would be deterred from booking a holiday in England by any increase in cost, with opposition strongest among households already facing cost</w:t>
      </w:r>
      <w:r w:rsidRPr="00AF3803">
        <w:rPr>
          <w:rFonts w:ascii="Cambria Math" w:hAnsi="Cambria Math" w:cs="Cambria Math"/>
        </w:rPr>
        <w:t>‑</w:t>
      </w:r>
      <w:r w:rsidRPr="00AF3803">
        <w:t>of</w:t>
      </w:r>
      <w:r w:rsidRPr="00AF3803">
        <w:rPr>
          <w:rFonts w:ascii="Cambria Math" w:hAnsi="Cambria Math" w:cs="Cambria Math"/>
        </w:rPr>
        <w:t>‑</w:t>
      </w:r>
      <w:r w:rsidRPr="00AF3803">
        <w:t>living pressures</w:t>
      </w:r>
      <w:r>
        <w:rPr>
          <w:rStyle w:val="FootnoteReference"/>
        </w:rPr>
        <w:footnoteReference w:id="9"/>
      </w:r>
      <w:r w:rsidRPr="00AF3803">
        <w:t>.</w:t>
      </w:r>
    </w:p>
    <w:p w:rsidR="00852045" w:rsidP="008863F3">
      <w:r>
        <w:t xml:space="preserve">Elsewhere, the </w:t>
      </w:r>
      <w:r w:rsidRPr="0090709C">
        <w:t>World Travel &amp; Tourism Council (WTTC) warned</w:t>
      </w:r>
      <w:r>
        <w:t xml:space="preserve"> in February 2026</w:t>
      </w:r>
      <w:r w:rsidRPr="0090709C">
        <w:t xml:space="preserve"> that new local tourism levies in England would dent economic growth, restrict job creation and further weaken the UK’s international competitiveness. WTTC highlight</w:t>
      </w:r>
      <w:r>
        <w:t>ed</w:t>
      </w:r>
      <w:r w:rsidRPr="0090709C">
        <w:t xml:space="preserve"> that the UK is underperforming</w:t>
      </w:r>
      <w:r>
        <w:t xml:space="preserve"> compared to</w:t>
      </w:r>
      <w:r w:rsidRPr="0090709C">
        <w:t xml:space="preserve"> global peers</w:t>
      </w:r>
      <w:r>
        <w:t>,</w:t>
      </w:r>
      <w:r w:rsidRPr="0090709C">
        <w:t xml:space="preserve"> </w:t>
      </w:r>
      <w:r>
        <w:t xml:space="preserve">as </w:t>
      </w:r>
      <w:r w:rsidRPr="001E70FD">
        <w:t>analysis show</w:t>
      </w:r>
      <w:r>
        <w:t>ed</w:t>
      </w:r>
      <w:r w:rsidRPr="001E70FD">
        <w:t xml:space="preserve"> global Travel &amp; Tourism GDP grew by 6.7% in 2025, compared with just 4.3% in the UK</w:t>
      </w:r>
      <w:r>
        <w:rPr>
          <w:rStyle w:val="FootnoteReference"/>
        </w:rPr>
        <w:footnoteReference w:id="10"/>
      </w:r>
      <w:r>
        <w:t xml:space="preserve"> – meaning that an </w:t>
      </w:r>
      <w:r w:rsidRPr="0090709C">
        <w:t>additional visitor charge risk</w:t>
      </w:r>
      <w:r>
        <w:t>s</w:t>
      </w:r>
      <w:r w:rsidRPr="0090709C">
        <w:t xml:space="preserve"> diverting investment and visitor spending to more affordable destinations, exacerbating existing competitiveness challenges.</w:t>
      </w:r>
    </w:p>
    <w:p w:rsidR="00852045" w:rsidP="008863F3">
      <w:r>
        <w:t>The proposed levy must also be considered in the context of existing and cumulative cost pressures on both visitors and businesses, including increases to Air Passenger Duty, higher employment costs, the removal of business rates relief and the recent doubling of the Electronic Travel Authorisation fee. Introducing new visitor charges in England—alongside existing and proposed levies in Scotland and Wales—risks creating a fragmented, higher</w:t>
      </w:r>
      <w:r>
        <w:rPr>
          <w:rFonts w:ascii="Cambria Math" w:hAnsi="Cambria Math" w:cs="Cambria Math"/>
        </w:rPr>
        <w:t xml:space="preserve"> </w:t>
      </w:r>
      <w:r>
        <w:t>cost UK destination and weakening the country</w:t>
      </w:r>
      <w:r>
        <w:rPr>
          <w:rFonts w:ascii="Calibri" w:hAnsi="Calibri" w:cs="Calibri"/>
        </w:rPr>
        <w:t>’</w:t>
      </w:r>
      <w:r>
        <w:t xml:space="preserve">s overall competitiveness. </w:t>
      </w:r>
      <w:r>
        <w:t xml:space="preserve">The King’s Speech, on 13 May, confirmed that the </w:t>
      </w:r>
      <w:r>
        <w:t xml:space="preserve">Government </w:t>
      </w:r>
      <w:r>
        <w:t xml:space="preserve">intends to </w:t>
      </w:r>
      <w:r>
        <w:t>proceed</w:t>
      </w:r>
      <w:r>
        <w:t xml:space="preserve"> with the legislation to enable overnight levies to be introduced,</w:t>
      </w:r>
      <w:r>
        <w:t xml:space="preserve"> despite the</w:t>
      </w:r>
      <w:r>
        <w:t xml:space="preserve"> </w:t>
      </w:r>
      <w:r>
        <w:t>significant</w:t>
      </w:r>
      <w:r>
        <w:t xml:space="preserve"> concerns</w:t>
      </w:r>
      <w:r>
        <w:t xml:space="preserve"> raised by industry. ABTA is clear that</w:t>
      </w:r>
      <w:r>
        <w:t xml:space="preserve"> any levy </w:t>
      </w:r>
      <w:r>
        <w:t>must</w:t>
      </w:r>
      <w:r>
        <w:t xml:space="preserve"> be tightly constrained within a clear national framework, transparently administered</w:t>
      </w:r>
      <w:r>
        <w:t>,</w:t>
      </w:r>
      <w:r>
        <w:t xml:space="preserve"> and </w:t>
      </w:r>
      <w:r>
        <w:t xml:space="preserve">with revenues </w:t>
      </w:r>
      <w:r>
        <w:t xml:space="preserve">ringfenced for reinvestment in </w:t>
      </w:r>
      <w:r>
        <w:t>spending that benefits the local</w:t>
      </w:r>
      <w:r>
        <w:t xml:space="preserve"> visitor economy, rather than used to address unrelated funding pressures</w:t>
      </w:r>
      <w:r>
        <w:t xml:space="preserve"> on local authorities</w:t>
      </w:r>
      <w:r>
        <w:t>.</w:t>
      </w:r>
      <w:r>
        <w:t xml:space="preserve"> Examples of </w:t>
      </w:r>
      <w:r>
        <w:t>investments</w:t>
      </w:r>
      <w:r>
        <w:t xml:space="preserve"> that could benefit local tourism products include transport improvements</w:t>
      </w:r>
      <w:r>
        <w:t xml:space="preserve">, investment in </w:t>
      </w:r>
      <w:r>
        <w:t xml:space="preserve">improving </w:t>
      </w:r>
      <w:r>
        <w:t>places</w:t>
      </w:r>
      <w:r>
        <w:t xml:space="preserve">, </w:t>
      </w:r>
      <w:r>
        <w:t>and spending on marketing of destinations to grow visitor numbers</w:t>
      </w:r>
      <w:r>
        <w:t>.</w:t>
      </w:r>
    </w:p>
    <w:p w:rsidR="00852045" w:rsidRPr="0030076B" w:rsidP="00A13BAD">
      <w:pPr>
        <w:spacing w:before="100" w:beforeAutospacing="1" w:after="100" w:afterAutospacing="1" w:line="300" w:lineRule="atLeast"/>
        <w:outlineLvl w:val="1"/>
        <w:rPr>
          <w:rFonts w:ascii="Calibri" w:eastAsia="Times New Roman" w:hAnsi="Calibri" w:cs="Calibri"/>
          <w:b/>
          <w:bCs/>
          <w:kern w:val="0"/>
          <w:lang w:eastAsia="en-GB"/>
        </w:rPr>
      </w:pPr>
      <w:r w:rsidRPr="0030076B">
        <w:rPr>
          <w:rFonts w:ascii="Calibri" w:eastAsia="Times New Roman" w:hAnsi="Calibri" w:cs="Calibri"/>
          <w:b/>
          <w:bCs/>
          <w:kern w:val="0"/>
          <w:lang w:eastAsia="en-GB"/>
        </w:rPr>
        <w:t>Recommendations</w:t>
      </w:r>
    </w:p>
    <w:p w:rsidR="00852045" w:rsidRPr="0030076B" w:rsidP="00242E8F">
      <w:pPr>
        <w:rPr>
          <w:rFonts w:ascii="Calibri" w:hAnsi="Calibri" w:cs="Calibri"/>
        </w:rPr>
      </w:pPr>
      <w:r w:rsidRPr="0030076B">
        <w:rPr>
          <w:rFonts w:ascii="Calibri" w:hAnsi="Calibri" w:cs="Calibri"/>
        </w:rPr>
        <w:t xml:space="preserve">Regarding </w:t>
      </w:r>
      <w:r w:rsidRPr="0030076B">
        <w:rPr>
          <w:rFonts w:ascii="Calibri" w:hAnsi="Calibri" w:cs="Calibri"/>
        </w:rPr>
        <w:t xml:space="preserve">the above issues, </w:t>
      </w:r>
      <w:r w:rsidRPr="0030076B">
        <w:rPr>
          <w:rFonts w:ascii="Calibri" w:hAnsi="Calibri" w:cs="Calibri"/>
        </w:rPr>
        <w:t xml:space="preserve">ABTA </w:t>
      </w:r>
      <w:r w:rsidRPr="0030076B">
        <w:rPr>
          <w:rFonts w:ascii="Calibri" w:hAnsi="Calibri" w:cs="Calibri"/>
        </w:rPr>
        <w:t>has identified the</w:t>
      </w:r>
      <w:r w:rsidRPr="0030076B">
        <w:rPr>
          <w:rFonts w:ascii="Calibri" w:hAnsi="Calibri" w:cs="Calibri"/>
        </w:rPr>
        <w:t xml:space="preserve"> following areas for the Committee to consider </w:t>
      </w:r>
      <w:r w:rsidRPr="0030076B">
        <w:rPr>
          <w:rFonts w:ascii="Calibri" w:hAnsi="Calibri" w:cs="Calibri"/>
        </w:rPr>
        <w:t>regarding</w:t>
      </w:r>
      <w:r w:rsidRPr="0030076B">
        <w:rPr>
          <w:rFonts w:ascii="Calibri" w:hAnsi="Calibri" w:cs="Calibri"/>
        </w:rPr>
        <w:t xml:space="preserve"> addressing </w:t>
      </w:r>
      <w:r w:rsidRPr="0030076B">
        <w:rPr>
          <w:rFonts w:ascii="Calibri" w:hAnsi="Calibri" w:cs="Calibri"/>
        </w:rPr>
        <w:t xml:space="preserve">issues such as </w:t>
      </w:r>
      <w:r w:rsidRPr="0030076B">
        <w:rPr>
          <w:rFonts w:ascii="Calibri" w:hAnsi="Calibri" w:cs="Calibri"/>
        </w:rPr>
        <w:t>competitiveness:</w:t>
      </w:r>
      <w:r w:rsidRPr="0030076B">
        <w:rPr>
          <w:rFonts w:ascii="Calibri" w:hAnsi="Calibri" w:cs="Calibri"/>
        </w:rPr>
        <w:t xml:space="preserve"> </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Elevate travel and tourism as a strategic growth sector</w:t>
      </w:r>
      <w:r w:rsidRPr="0030076B">
        <w:rPr>
          <w:rFonts w:ascii="Calibri" w:eastAsia="Times New Roman" w:hAnsi="Calibri" w:cs="Calibri"/>
          <w:kern w:val="0"/>
          <w:lang w:eastAsia="en-GB"/>
        </w:rPr>
        <w:t xml:space="preserve"> across government, with clearer cross</w:t>
      </w:r>
      <w:r w:rsidRPr="0030076B">
        <w:rPr>
          <w:rFonts w:ascii="Calibri" w:eastAsia="Times New Roman" w:hAnsi="Calibri" w:cs="Calibri"/>
          <w:kern w:val="0"/>
          <w:lang w:eastAsia="en-GB"/>
        </w:rPr>
        <w:noBreakHyphen/>
      </w:r>
      <w:r w:rsidRPr="0030076B">
        <w:rPr>
          <w:rFonts w:ascii="Calibri" w:eastAsia="Times New Roman" w:hAnsi="Calibri" w:cs="Calibri"/>
          <w:kern w:val="0"/>
          <w:lang w:eastAsia="en-GB"/>
        </w:rPr>
        <w:t>departmental coordination and systematic assessment of cumulative policy impacts on competitiveness.</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Improve international cost competitiveness</w:t>
      </w:r>
      <w:r w:rsidRPr="0030076B">
        <w:rPr>
          <w:rFonts w:ascii="Calibri" w:eastAsia="Times New Roman" w:hAnsi="Calibri" w:cs="Calibri"/>
          <w:kern w:val="0"/>
          <w:lang w:eastAsia="en-GB"/>
        </w:rPr>
        <w:t>, including:</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 xml:space="preserve">a </w:t>
      </w:r>
      <w:r w:rsidRPr="0030076B">
        <w:rPr>
          <w:rFonts w:ascii="Calibri" w:eastAsia="Times New Roman" w:hAnsi="Calibri" w:cs="Calibri"/>
          <w:kern w:val="0"/>
          <w:lang w:eastAsia="en-GB"/>
        </w:rPr>
        <w:t xml:space="preserve">commitment to not </w:t>
      </w:r>
      <w:r w:rsidRPr="0030076B">
        <w:rPr>
          <w:rFonts w:ascii="Calibri" w:eastAsia="Times New Roman" w:hAnsi="Calibri" w:cs="Calibri"/>
          <w:kern w:val="0"/>
          <w:lang w:eastAsia="en-GB"/>
        </w:rPr>
        <w:t>increase</w:t>
      </w:r>
      <w:r w:rsidRPr="0030076B">
        <w:rPr>
          <w:rFonts w:ascii="Calibri" w:eastAsia="Times New Roman" w:hAnsi="Calibri" w:cs="Calibri"/>
          <w:kern w:val="0"/>
          <w:lang w:eastAsia="en-GB"/>
        </w:rPr>
        <w:t xml:space="preserve"> Air Passenger Duty (APD)</w:t>
      </w:r>
      <w:r w:rsidRPr="0030076B">
        <w:rPr>
          <w:rFonts w:ascii="Calibri" w:eastAsia="Times New Roman" w:hAnsi="Calibri" w:cs="Calibri"/>
          <w:kern w:val="0"/>
          <w:lang w:eastAsia="en-GB"/>
        </w:rPr>
        <w:t xml:space="preserve"> in the short and medium term</w:t>
      </w:r>
      <w:r w:rsidRPr="0030076B">
        <w:rPr>
          <w:rFonts w:ascii="Calibri" w:eastAsia="Times New Roman" w:hAnsi="Calibri" w:cs="Calibri"/>
          <w:kern w:val="0"/>
          <w:lang w:eastAsia="en-GB"/>
        </w:rPr>
        <w:t>, particularly short</w:t>
      </w:r>
      <w:r w:rsidRPr="0030076B">
        <w:rPr>
          <w:rFonts w:ascii="Calibri" w:eastAsia="Times New Roman" w:hAnsi="Calibri" w:cs="Calibri"/>
          <w:kern w:val="0"/>
          <w:lang w:eastAsia="en-GB"/>
        </w:rPr>
        <w:noBreakHyphen/>
        <w:t>haul rates and future inflation</w:t>
      </w:r>
      <w:r w:rsidRPr="0030076B">
        <w:rPr>
          <w:rFonts w:ascii="Calibri" w:eastAsia="Times New Roman" w:hAnsi="Calibri" w:cs="Calibri"/>
          <w:kern w:val="0"/>
          <w:lang w:eastAsia="en-GB"/>
        </w:rPr>
        <w:noBreakHyphen/>
        <w:t>linked increases;</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the complete removal of children from Air Passenger Duty, regardless of travel class</w:t>
      </w:r>
      <w:r w:rsidRPr="0030076B">
        <w:rPr>
          <w:rFonts w:ascii="Calibri" w:eastAsia="Times New Roman" w:hAnsi="Calibri" w:cs="Calibri"/>
          <w:kern w:val="0"/>
          <w:lang w:eastAsia="en-GB"/>
        </w:rPr>
        <w:t>, to reduce costs for families and support inbound, outbound and domestic travel;</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measures to reduce business rates and employment cost pressures on tourism businesses.</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Ensure sustainability policy supports competitiveness</w:t>
      </w:r>
      <w:r w:rsidRPr="0030076B">
        <w:rPr>
          <w:rFonts w:ascii="Calibri" w:eastAsia="Times New Roman" w:hAnsi="Calibri" w:cs="Calibri"/>
          <w:kern w:val="0"/>
          <w:lang w:eastAsia="en-GB"/>
        </w:rPr>
        <w:t>, by:</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managing the cost impacts of the Sustainable Aviation Fuel mandate;</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carefully assessing the expansion of the UK Emissions Trading Scheme, including to cruise;</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Reduce border friction and protect price</w:t>
      </w:r>
      <w:r w:rsidRPr="0030076B">
        <w:rPr>
          <w:rFonts w:ascii="Calibri" w:eastAsia="Times New Roman" w:hAnsi="Calibri" w:cs="Calibri"/>
          <w:b/>
          <w:bCs/>
          <w:kern w:val="0"/>
          <w:lang w:eastAsia="en-GB"/>
        </w:rPr>
        <w:noBreakHyphen/>
        <w:t>sensitive demand</w:t>
      </w:r>
      <w:r w:rsidRPr="0030076B">
        <w:rPr>
          <w:rFonts w:ascii="Calibri" w:eastAsia="Times New Roman" w:hAnsi="Calibri" w:cs="Calibri"/>
          <w:kern w:val="0"/>
          <w:lang w:eastAsia="en-GB"/>
        </w:rPr>
        <w:t>, including:</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Prevent further price increases for the UK’s Electronic Travel Authorisation fee to ensure it is about cost</w:t>
      </w:r>
      <w:r w:rsidRPr="0030076B">
        <w:rPr>
          <w:rFonts w:ascii="Calibri" w:eastAsia="Times New Roman" w:hAnsi="Calibri" w:cs="Calibri"/>
          <w:kern w:val="0"/>
          <w:lang w:eastAsia="en-GB"/>
        </w:rPr>
        <w:noBreakHyphen/>
        <w:t>recovery rather than revenue</w:t>
      </w:r>
      <w:r w:rsidRPr="0030076B">
        <w:rPr>
          <w:rFonts w:ascii="Calibri" w:eastAsia="Times New Roman" w:hAnsi="Calibri" w:cs="Calibri"/>
          <w:kern w:val="0"/>
          <w:lang w:eastAsia="en-GB"/>
        </w:rPr>
        <w:noBreakHyphen/>
        <w:t>raising;</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 xml:space="preserve">Work with EU counterparts to prioritise simplicity, efficiency and traveller experiences between UK and EU </w:t>
      </w:r>
      <w:r w:rsidRPr="0030076B">
        <w:rPr>
          <w:rFonts w:ascii="Calibri" w:eastAsia="Times New Roman" w:hAnsi="Calibri" w:cs="Calibri"/>
          <w:kern w:val="0"/>
          <w:lang w:eastAsia="en-GB"/>
        </w:rPr>
        <w:t>borders.</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Monitor and mitigate external pressures</w:t>
      </w:r>
      <w:r w:rsidRPr="0030076B">
        <w:rPr>
          <w:rFonts w:ascii="Calibri" w:eastAsia="Times New Roman" w:hAnsi="Calibri" w:cs="Calibri"/>
          <w:kern w:val="0"/>
          <w:lang w:eastAsia="en-GB"/>
        </w:rPr>
        <w:t>, including the rollout of EU border systems and wider geopolitical risks, to avoid compounding demand shocks through domestic policy choices.</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Recognise the interconnectedness of outbound, inbound and domestic travel</w:t>
      </w:r>
      <w:r w:rsidRPr="0030076B">
        <w:rPr>
          <w:rFonts w:ascii="Calibri" w:eastAsia="Times New Roman" w:hAnsi="Calibri" w:cs="Calibri"/>
          <w:kern w:val="0"/>
          <w:lang w:eastAsia="en-GB"/>
        </w:rPr>
        <w:t>, ensuring policy decisions do not undermine route viability, connectivity or access for inbound visitors.</w:t>
      </w:r>
    </w:p>
    <w:p w:rsidR="00852045" w:rsidRPr="0030076B" w:rsidP="002560B5">
      <w:pPr>
        <w:numPr>
          <w:ilvl w:val="0"/>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b/>
          <w:bCs/>
          <w:kern w:val="0"/>
          <w:lang w:eastAsia="en-GB"/>
        </w:rPr>
        <w:t>Exercise caution on visitor levies</w:t>
      </w:r>
      <w:r w:rsidRPr="0030076B">
        <w:rPr>
          <w:rFonts w:ascii="Calibri" w:eastAsia="Times New Roman" w:hAnsi="Calibri" w:cs="Calibri"/>
          <w:kern w:val="0"/>
          <w:lang w:eastAsia="en-GB"/>
        </w:rPr>
        <w:t>, including:</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assessing cumulative impacts across England, Scotland and Wales;</w:t>
      </w:r>
    </w:p>
    <w:p w:rsidR="00852045" w:rsidRPr="0030076B" w:rsidP="002560B5">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avoiding measures that suppress demand or weaken international competitiveness;</w:t>
      </w:r>
    </w:p>
    <w:p w:rsidR="00852045" w:rsidRPr="0030076B" w:rsidP="00242E8F">
      <w:pPr>
        <w:numPr>
          <w:ilvl w:val="1"/>
          <w:numId w:val="2"/>
        </w:numPr>
        <w:spacing w:before="100" w:beforeAutospacing="1" w:after="100" w:afterAutospacing="1" w:line="300" w:lineRule="atLeast"/>
        <w:rPr>
          <w:rFonts w:ascii="Calibri" w:eastAsia="Times New Roman" w:hAnsi="Calibri" w:cs="Calibri"/>
          <w:kern w:val="0"/>
          <w:lang w:eastAsia="en-GB"/>
        </w:rPr>
      </w:pPr>
      <w:r w:rsidRPr="0030076B">
        <w:rPr>
          <w:rFonts w:ascii="Calibri" w:eastAsia="Times New Roman" w:hAnsi="Calibri" w:cs="Calibri"/>
          <w:kern w:val="0"/>
          <w:lang w:eastAsia="en-GB"/>
        </w:rPr>
        <w:t xml:space="preserve">ringfencing </w:t>
      </w:r>
      <w:r w:rsidRPr="0030076B">
        <w:rPr>
          <w:rFonts w:ascii="Calibri" w:eastAsia="Times New Roman" w:hAnsi="Calibri" w:cs="Calibri"/>
          <w:kern w:val="0"/>
          <w:lang w:eastAsia="en-GB"/>
        </w:rPr>
        <w:t>a proportion of</w:t>
      </w:r>
      <w:r w:rsidRPr="0030076B">
        <w:rPr>
          <w:rFonts w:ascii="Calibri" w:eastAsia="Times New Roman" w:hAnsi="Calibri" w:cs="Calibri"/>
          <w:kern w:val="0"/>
          <w:lang w:eastAsia="en-GB"/>
        </w:rPr>
        <w:t xml:space="preserve"> levy revenues for tourism promotion, infrastructure, workforce skills and sustainable growth.</w:t>
      </w:r>
    </w:p>
    <w:p w:rsidR="00852045" w:rsidRPr="00242E8F" w:rsidP="00784B97">
      <w:pPr>
        <w:rPr>
          <w:b/>
          <w:bCs/>
        </w:rPr>
      </w:pPr>
      <w:r w:rsidRPr="00242E8F">
        <w:rPr>
          <w:b/>
          <w:bCs/>
        </w:rPr>
        <w:t>Middle East</w:t>
      </w:r>
    </w:p>
    <w:p w:rsidR="00852045" w:rsidP="00784B97">
      <w:r>
        <w:t>At the time of writing, developments in the Middle East — including the Iran–US conflict and the resulting pressures on fuel supplies and maritime traffic through the Strait of Hormuz — are causing significant concern for the international travel sector, encompassing both outbound and inbound travel. Disruption risks extend beyond aviation to include other forms of international travel, such as cruise operations. ABTA, alongside the wider travel industry, is closely monitoring the situation and continuing t</w:t>
      </w:r>
      <w:r>
        <w:t>o provide support and guidance to members and travellers.</w:t>
      </w:r>
    </w:p>
    <w:p w:rsidR="00852045" w:rsidP="00784B97">
      <w:r>
        <w:t xml:space="preserve">As the situation remains fluid and efforts to secure a negotiated end to the conflict are ongoing, </w:t>
      </w:r>
      <w:r>
        <w:t>the UK Government must continue</w:t>
      </w:r>
      <w:r>
        <w:t xml:space="preserve"> to monitor developments closely. </w:t>
      </w:r>
      <w:r>
        <w:t>If</w:t>
      </w:r>
      <w:r>
        <w:t xml:space="preserve"> necessary, consideration should be given to </w:t>
      </w:r>
      <w:r>
        <w:t xml:space="preserve">the support </w:t>
      </w:r>
      <w:r>
        <w:t xml:space="preserve">required to help the travel and tourism industry mitigate impacts, safeguard </w:t>
      </w:r>
      <w:r>
        <w:t>flight routes, avoid business closures, and sustain connectivity and travel demand in the years ahead.</w:t>
      </w:r>
      <w:r>
        <w:t xml:space="preserve"> For example, the Government has announced measures to look at slot allocation rules for airlines. Any proposals must be viewed with consideration </w:t>
      </w:r>
      <w:r>
        <w:t>of</w:t>
      </w:r>
      <w:r>
        <w:t xml:space="preserve"> the entire travel and tourism supply </w:t>
      </w:r>
      <w:r>
        <w:t>chain</w:t>
      </w:r>
      <w:r>
        <w:t>, including tour operators and travel agents.</w:t>
      </w:r>
      <w:r>
        <w:t xml:space="preserve"> </w:t>
      </w:r>
    </w:p>
    <w:p w:rsidR="00852045" w:rsidRPr="002652A5" w:rsidP="002652A5"/>
    <w:p w:rsidR="00852045" w:rsidRPr="0030076B" w:rsidP="002652A5">
      <w:pPr>
        <w:rPr>
          <w:b/>
          <w:bCs/>
          <w:i/>
          <w:iCs/>
        </w:rPr>
      </w:pPr>
      <w:r w:rsidRPr="0030076B">
        <w:rPr>
          <w:b/>
          <w:bCs/>
          <w:i/>
          <w:iCs/>
        </w:rPr>
        <w:t>2) How effectively do government structures and working arrangements support the tourism sector?</w:t>
      </w:r>
    </w:p>
    <w:p w:rsidR="00852045" w:rsidRPr="0030076B" w:rsidP="002652A5">
      <w:pPr>
        <w:rPr>
          <w:b/>
          <w:bCs/>
          <w:i/>
          <w:iCs/>
        </w:rPr>
      </w:pPr>
      <w:r w:rsidRPr="0030076B">
        <w:rPr>
          <w:b/>
          <w:bCs/>
          <w:i/>
          <w:iCs/>
        </w:rPr>
        <w:t>i. How well do VisitBritain/VisitEngland</w:t>
      </w:r>
      <w:r w:rsidRPr="0030076B">
        <w:rPr>
          <w:b/>
          <w:bCs/>
          <w:i/>
          <w:iCs/>
        </w:rPr>
        <w:t xml:space="preserve"> and Destination Management Organisations support the sector? How well do they compare to equivalent bodies in other countries?</w:t>
      </w:r>
    </w:p>
    <w:p w:rsidR="00852045" w:rsidRPr="0030076B" w:rsidP="002652A5">
      <w:pPr>
        <w:rPr>
          <w:b/>
          <w:bCs/>
          <w:i/>
          <w:iCs/>
        </w:rPr>
      </w:pPr>
      <w:r w:rsidRPr="0030076B">
        <w:rPr>
          <w:b/>
          <w:bCs/>
          <w:i/>
          <w:iCs/>
        </w:rPr>
        <w:t>ii. How effectively do the UK and devolved Governments work together to promote tourism and support the sector?</w:t>
      </w:r>
    </w:p>
    <w:p w:rsidR="00852045" w:rsidP="00DA5E77">
      <w:r>
        <w:t>ABTA welcomes the decision by the current Government to re</w:t>
      </w:r>
      <w:r>
        <w:rPr>
          <w:rFonts w:ascii="Cambria Math" w:hAnsi="Cambria Math" w:cs="Cambria Math"/>
        </w:rPr>
        <w:t>‑</w:t>
      </w:r>
      <w:r>
        <w:t>establish the Visitor Economy Advisory Council, providing a joint forum for industry, small businesses and representative organisations to engage directly with government. ABTA also recognises and supports the Government</w:t>
      </w:r>
      <w:r>
        <w:rPr>
          <w:rFonts w:ascii="Calibri" w:hAnsi="Calibri" w:cs="Calibri"/>
        </w:rPr>
        <w:t>’</w:t>
      </w:r>
      <w:r>
        <w:t xml:space="preserve">s stated </w:t>
      </w:r>
      <w:r>
        <w:t>intention to develop a national tourism strategy, which is an important step towards providing greater clarity and direction for the sector</w:t>
      </w:r>
      <w:r>
        <w:rPr>
          <w:rFonts w:ascii="Calibri" w:hAnsi="Calibri" w:cs="Calibri"/>
        </w:rPr>
        <w:t>’</w:t>
      </w:r>
      <w:r>
        <w:t>s long</w:t>
      </w:r>
      <w:r>
        <w:rPr>
          <w:rFonts w:ascii="Cambria Math" w:hAnsi="Cambria Math" w:cs="Cambria Math"/>
        </w:rPr>
        <w:t>‑</w:t>
      </w:r>
      <w:r>
        <w:t>term growth.</w:t>
      </w:r>
    </w:p>
    <w:p w:rsidR="00852045" w:rsidP="00DA5E77">
      <w:r>
        <w:t xml:space="preserve">However, despite these positive developments, ABTA remains concerned that government structures and working arrangements do not consistently support effective policymaking for tourism. In practice, the Department for Culture, Media and Sport (DCMS), which holds responsibility for tourism, is too often not adequately involved in policy development and </w:t>
      </w:r>
      <w:r>
        <w:t>decision-making</w:t>
      </w:r>
      <w:r>
        <w:t xml:space="preserve"> processes that have significant consequences for the sector. A clear example is the proposed English </w:t>
      </w:r>
      <w:r>
        <w:t>overnight</w:t>
      </w:r>
      <w:r>
        <w:t xml:space="preserve"> visitor levy, where the consultation was led jointly by HM Treasury and the Department for Levelling Up, Housing and Communities, despite the direct and substantial implications for tourism policy and destination competitiveness. This highlights a broader lack of </w:t>
      </w:r>
      <w:r>
        <w:t>joined-up</w:t>
      </w:r>
      <w:r>
        <w:t xml:space="preserve"> working across government.</w:t>
      </w:r>
    </w:p>
    <w:p w:rsidR="00852045" w:rsidP="00DA5E77">
      <w:r>
        <w:t>Tourism policy intersects with a wide range of departments, including Transport, the Home Office, HM Treasury and the Department for Business and Trade. ABTA believes that greater cross</w:t>
      </w:r>
      <w:r>
        <w:rPr>
          <w:rFonts w:ascii="Cambria Math" w:hAnsi="Cambria Math" w:cs="Cambria Math"/>
        </w:rPr>
        <w:t>‑</w:t>
      </w:r>
      <w:r>
        <w:t>departmental coordination is essential to ensure that decisions affecting inbound, outbound and domestic tourism are considered holistically, rather than in isolation. Without this, there is a risk that tourism continues to be overlooked as an economic sector, leading to policies that inadvertently undermine growth, resilience and competitiveness.</w:t>
      </w:r>
    </w:p>
    <w:p w:rsidR="00852045" w:rsidP="004D5F98">
      <w:r>
        <w:t>To address this, ABTA recommends the establishment of a formal cross</w:t>
      </w:r>
      <w:r>
        <w:rPr>
          <w:rFonts w:ascii="Cambria Math" w:hAnsi="Cambria Math" w:cs="Cambria Math"/>
        </w:rPr>
        <w:t>‑</w:t>
      </w:r>
      <w:r>
        <w:t>departmental or inter</w:t>
      </w:r>
      <w:r>
        <w:rPr>
          <w:rFonts w:ascii="Cambria Math" w:hAnsi="Cambria Math" w:cs="Cambria Math"/>
        </w:rPr>
        <w:t>‑</w:t>
      </w:r>
      <w:r>
        <w:t>ministerial group on tourism, bringing together relevant Ministers and senior officials to improve communication, coherence and accountability in tourism policymaking. This would help ensure that tourism impacts are systematically considered across government and that policy objectives are aligned. This recommendation echoes the Culture, Media and Sport Committee</w:t>
      </w:r>
      <w:r>
        <w:rPr>
          <w:rFonts w:ascii="Calibri" w:hAnsi="Calibri" w:cs="Calibri"/>
        </w:rPr>
        <w:t>’</w:t>
      </w:r>
      <w:r>
        <w:t>s 2022 report, which specifically identified the need for stronger cross</w:t>
      </w:r>
      <w:r>
        <w:rPr>
          <w:rFonts w:ascii="Cambria Math" w:hAnsi="Cambria Math" w:cs="Cambria Math"/>
        </w:rPr>
        <w:t>‑</w:t>
      </w:r>
      <w:r>
        <w:t xml:space="preserve">government leadership and coordination on tourism </w:t>
      </w:r>
      <w:r>
        <w:t>policy (recommendations 25 and 26)</w:t>
      </w:r>
      <w:r>
        <w:rPr>
          <w:rStyle w:val="FootnoteReference"/>
        </w:rPr>
        <w:footnoteReference w:id="11"/>
      </w:r>
      <w:r>
        <w:t>.</w:t>
      </w:r>
    </w:p>
    <w:p w:rsidR="00852045" w:rsidRPr="002652A5" w:rsidP="002652A5"/>
    <w:p w:rsidR="00852045" w:rsidRPr="0030076B" w:rsidP="002652A5">
      <w:pPr>
        <w:rPr>
          <w:b/>
          <w:bCs/>
          <w:i/>
          <w:iCs/>
        </w:rPr>
      </w:pPr>
      <w:r w:rsidRPr="0030076B">
        <w:rPr>
          <w:b/>
          <w:bCs/>
          <w:i/>
          <w:iCs/>
        </w:rPr>
        <w:t>3) What opportunities exist to increase inward investment into tourism infrastructure and what changes may be needed to encourage it?</w:t>
      </w:r>
    </w:p>
    <w:p w:rsidR="00852045" w:rsidRPr="0030076B" w:rsidP="002652A5">
      <w:pPr>
        <w:rPr>
          <w:b/>
          <w:bCs/>
          <w:i/>
          <w:iCs/>
        </w:rPr>
      </w:pPr>
      <w:r w:rsidRPr="0030076B">
        <w:rPr>
          <w:b/>
          <w:bCs/>
          <w:i/>
          <w:iCs/>
        </w:rPr>
        <w:t>i. Which areas have seen the biggest growth in inbound tourism and why?</w:t>
      </w:r>
    </w:p>
    <w:p w:rsidR="00852045" w:rsidRPr="0030076B" w:rsidP="002652A5">
      <w:pPr>
        <w:rPr>
          <w:b/>
          <w:bCs/>
          <w:i/>
          <w:iCs/>
        </w:rPr>
      </w:pPr>
      <w:r w:rsidRPr="0030076B">
        <w:rPr>
          <w:b/>
          <w:bCs/>
          <w:i/>
          <w:iCs/>
        </w:rPr>
        <w:t>ii. How can investment be unlocked in all parts of the country?</w:t>
      </w:r>
    </w:p>
    <w:p w:rsidR="00852045" w:rsidP="00C41EED">
      <w:r>
        <w:t>A cornerstone of the UK’s tourism and inbound visitor infrastructure is its airports and ports, including regional gateways, which play a critical role in enabling access to destinations across the country. As set out earlier, outbound travel underpins the viability of air routes that also support inbound tourism, meaning connectivity investment cannot be viewed solely through an inbound lens. One of the most significant opportunities to increase inward investment in tourism infrastructure is therefore to a</w:t>
      </w:r>
      <w:r>
        <w:t>ttract and retain a greater number of aviation and cruise routes, particularly outside London and the South East.</w:t>
      </w:r>
    </w:p>
    <w:p w:rsidR="00852045" w:rsidP="00C41EED">
      <w:r>
        <w:t>However, the UK is currently a relatively uncompetitive market for new route development and infrastructure investment. Airlines and operators consider a range of factors when assessing new routes, including taxation, operating costs, workforce availability, long</w:t>
      </w:r>
      <w:r>
        <w:rPr>
          <w:rFonts w:ascii="Cambria Math" w:hAnsi="Cambria Math" w:cs="Cambria Math"/>
        </w:rPr>
        <w:t>‑</w:t>
      </w:r>
      <w:r>
        <w:t>term policy stability, airport charges and the strength of local demand. The UK</w:t>
      </w:r>
      <w:r>
        <w:rPr>
          <w:rFonts w:ascii="Calibri" w:hAnsi="Calibri" w:cs="Calibri"/>
        </w:rPr>
        <w:t>’</w:t>
      </w:r>
      <w:r>
        <w:t>s position as one of the highest</w:t>
      </w:r>
      <w:r>
        <w:rPr>
          <w:rFonts w:ascii="Cambria Math" w:hAnsi="Cambria Math" w:cs="Cambria Math"/>
        </w:rPr>
        <w:t>‑</w:t>
      </w:r>
      <w:r>
        <w:t>tax aviation markets in the world</w:t>
      </w:r>
      <w:r>
        <w:rPr>
          <w:rFonts w:ascii="Calibri" w:hAnsi="Calibri" w:cs="Calibri"/>
        </w:rPr>
        <w:t>—</w:t>
      </w:r>
      <w:r>
        <w:t>driven primarily by Air Passenger Duty (APD)</w:t>
      </w:r>
      <w:r>
        <w:rPr>
          <w:rFonts w:ascii="Calibri" w:hAnsi="Calibri" w:cs="Calibri"/>
        </w:rPr>
        <w:t>—</w:t>
      </w:r>
      <w:r>
        <w:t xml:space="preserve">acts as a material deterrent to investment. While APD is charged on departures from the UK, it still increases the overall cost of </w:t>
      </w:r>
      <w:r>
        <w:t>visiting the UK for inbound travellers, who must pay it on departure, and raises costs for outbound passengers who underpin route viability. Continued increases</w:t>
      </w:r>
      <w:r>
        <w:t>,</w:t>
      </w:r>
      <w:r>
        <w:t xml:space="preserve"> therefore</w:t>
      </w:r>
      <w:r>
        <w:t>,</w:t>
      </w:r>
      <w:r>
        <w:t xml:space="preserve"> undermine the UK’s ability to compete for new routes and associated investment.</w:t>
      </w:r>
    </w:p>
    <w:p w:rsidR="00852045" w:rsidP="00C41EED">
      <w:r>
        <w:t>Other European countries have recognised this challenge and adjusted policy accordingly to strengthen competitiveness.</w:t>
      </w:r>
      <w:r>
        <w:t xml:space="preserve"> </w:t>
      </w:r>
      <w:r w:rsidRPr="00F25CA5">
        <w:t xml:space="preserve">In contrast to the UK’s approach, </w:t>
      </w:r>
      <w:r>
        <w:t>in November 2025</w:t>
      </w:r>
      <w:r>
        <w:t>,</w:t>
      </w:r>
      <w:r>
        <w:t xml:space="preserve"> </w:t>
      </w:r>
      <w:r w:rsidRPr="0030600B">
        <w:t>Germany announced that it will reduce its air traffic tax from 1 July 2026, cutting charges by between €2.50 and €11.40 per passenger, including a reduction on long</w:t>
      </w:r>
      <w:r w:rsidRPr="0030600B">
        <w:rPr>
          <w:rFonts w:ascii="Cambria Math" w:hAnsi="Cambria Math" w:cs="Cambria Math"/>
        </w:rPr>
        <w:t>‑</w:t>
      </w:r>
      <w:r w:rsidRPr="0030600B">
        <w:t xml:space="preserve">haul rates from </w:t>
      </w:r>
      <w:r w:rsidRPr="0030600B">
        <w:rPr>
          <w:rFonts w:ascii="Calibri" w:hAnsi="Calibri" w:cs="Calibri"/>
        </w:rPr>
        <w:t>€</w:t>
      </w:r>
      <w:r w:rsidRPr="0030600B">
        <w:t xml:space="preserve">70.83 to </w:t>
      </w:r>
      <w:r w:rsidRPr="0030600B">
        <w:rPr>
          <w:rFonts w:ascii="Calibri" w:hAnsi="Calibri" w:cs="Calibri"/>
        </w:rPr>
        <w:t>€</w:t>
      </w:r>
      <w:r w:rsidRPr="0030600B">
        <w:t>58.06, explicitly to improve aviation competitiveness, tourism growth and international connectivity</w:t>
      </w:r>
      <w:r>
        <w:rPr>
          <w:rStyle w:val="FootnoteReference"/>
        </w:rPr>
        <w:footnoteReference w:id="12"/>
      </w:r>
      <w:r w:rsidRPr="00F25CA5">
        <w:t>.</w:t>
      </w:r>
      <w:r>
        <w:t xml:space="preserve"> </w:t>
      </w:r>
      <w:r w:rsidRPr="00D7489D">
        <w:t>Sweden has gone further, announcing the abolition of its aviation passenger tax entirely from 1 July 2025, removing charges of between SEK 76 and SEK 504 per passenger (€7–€44 depending on destination) after concluding that the tax was damaging competitiveness and restricting connectivity without delivering meaningful environmental outcomes. These examples demonstrate how competitor nations are actively using fiscal policy to unlock investment and restore route networks</w:t>
      </w:r>
      <w:r>
        <w:rPr>
          <w:rStyle w:val="FootnoteReference"/>
        </w:rPr>
        <w:footnoteReference w:id="13"/>
      </w:r>
      <w:r w:rsidRPr="00525E99">
        <w:t>.</w:t>
      </w:r>
    </w:p>
    <w:p w:rsidR="00852045" w:rsidP="002652A5">
      <w:r w:rsidRPr="005826BC">
        <w:t>To better utilise the UK’s existing infrastructure and unlock new inward investment across all regions, the Government must take steps to reduce policy</w:t>
      </w:r>
      <w:r w:rsidRPr="005826BC">
        <w:rPr>
          <w:rFonts w:ascii="Cambria Math" w:hAnsi="Cambria Math" w:cs="Cambria Math"/>
        </w:rPr>
        <w:t>‑</w:t>
      </w:r>
      <w:r w:rsidRPr="005826BC">
        <w:t>driven cost barriers. A clear commitment not to increase APD in the coming years would send an important signal to investors and route planners, alongside wider reforms such as removing children entirely from APD and reassessing band structures, as outlined earlier. Beyond aviation tax, addressing business rates, employment costs, planning complexity and the cumulative impact of environmental policy costs will also be essential to ensure airports, ports and tourism assets across the UK remain attractive pl</w:t>
      </w:r>
      <w:r w:rsidRPr="005826BC">
        <w:t>aces to invest. Without action in these areas, the UK risks falling further behind competitors in securing the infrastructure investment needed to support sustainable growth in inbound tourism across all parts of the country.</w:t>
      </w:r>
    </w:p>
    <w:p w:rsidR="00852045" w:rsidP="00091B89">
      <w:r>
        <w:t>While this inquiry considers tourism policy at a UK</w:t>
      </w:r>
      <w:r>
        <w:rPr>
          <w:rFonts w:ascii="Cambria Math" w:hAnsi="Cambria Math" w:cs="Cambria Math"/>
        </w:rPr>
        <w:t>‑</w:t>
      </w:r>
      <w:r>
        <w:t>wide level, it should be noted that the Scottish Government is progressing the use of devolved powers to move away from UK Air Passenger Duty (APD) and introduce its own aviation tax through the Air Departure Tax (ADT), which has recently been consulted on and is currently expected to be introduced in April 2027. While proposals indicate that ADT would initially mirror APD and include exemptions for certain public service routes, particularly to island communities, ABTA believes this nonetheless represents</w:t>
      </w:r>
      <w:r>
        <w:t xml:space="preserve"> an important opportunity for Scotland to take a more competitive approach to aviation taxation.</w:t>
      </w:r>
    </w:p>
    <w:p w:rsidR="00852045" w:rsidP="00091B89">
      <w:r>
        <w:t>By using its devolved powers to introduce lower and more competitive rates, Scotland could position itself as a leader within the UK and northern Europe in attracting new air routes, supporting connectivity, and stimulating inbound tourism and wider economic growth. Given the mobility of airline fleets and route planning decisions, a more competitive ADT regime could unlock new investment, increase passenger volumes and ultimately deliver higher economic returns and tax revenues for the Scottish Government,</w:t>
      </w:r>
      <w:r>
        <w:t xml:space="preserve"> illustrating how fiscal levers can be used proactively to strengthen tourism competitiveness.</w:t>
      </w:r>
    </w:p>
    <w:p w:rsidR="00852045" w:rsidP="002E2353">
      <w:r>
        <w:t>In addition to aviation, the UK’s cruise sector represents a significant opportunity to attract inward investment and grow inbound tourism, particularly for coastal and port communities. Cruise is one of the fastest</w:t>
      </w:r>
      <w:r>
        <w:rPr>
          <w:rFonts w:ascii="Cambria Math" w:hAnsi="Cambria Math" w:cs="Cambria Math"/>
        </w:rPr>
        <w:t>‑</w:t>
      </w:r>
      <w:r>
        <w:t>growing segments of global tourism and delivers high</w:t>
      </w:r>
      <w:r>
        <w:rPr>
          <w:rFonts w:ascii="Cambria Math" w:hAnsi="Cambria Math" w:cs="Cambria Math"/>
        </w:rPr>
        <w:t>‑</w:t>
      </w:r>
      <w:r>
        <w:t>value, geographically dispersed economic benefits through port calls, turnaround operations, supply chains</w:t>
      </w:r>
      <w:r>
        <w:t>,</w:t>
      </w:r>
      <w:r>
        <w:t xml:space="preserve"> and onward visitor spend. To remain competitive, the UK must ensure that its ports operate within a stable, cost</w:t>
      </w:r>
      <w:r>
        <w:rPr>
          <w:rFonts w:ascii="Cambria Math" w:hAnsi="Cambria Math" w:cs="Cambria Math"/>
        </w:rPr>
        <w:t>‑</w:t>
      </w:r>
      <w:r>
        <w:t>competitive and internationally attractive policy framework.</w:t>
      </w:r>
    </w:p>
    <w:p w:rsidR="00852045" w:rsidP="002E2353">
      <w:r>
        <w:t>However, there are growing concerns that policy uncertainty and rising cost pressures risk undermining the UK’s competitiveness as a cruise destination. Proposals such as the extension of the UK Emissions Trading Scheme to cruise, alongside discussion of potential cruise</w:t>
      </w:r>
      <w:r>
        <w:rPr>
          <w:rFonts w:ascii="Cambria Math" w:hAnsi="Cambria Math" w:cs="Cambria Math"/>
        </w:rPr>
        <w:t>‑</w:t>
      </w:r>
      <w:r>
        <w:t>specific passenger levies in parts of the UK, risk increasing operating costs at a time when cruise lines have a wide choice of alternative homeports and itineraries across Europe. As with aviation, cruise operators are highly mobile and investment decisions are sensitive to cumulative costs, regulatory complexity and long</w:t>
      </w:r>
      <w:r>
        <w:rPr>
          <w:rFonts w:ascii="Cambria Math" w:hAnsi="Cambria Math" w:cs="Cambria Math"/>
        </w:rPr>
        <w:t>‑</w:t>
      </w:r>
      <w:r>
        <w:t>term policy clarity.</w:t>
      </w:r>
    </w:p>
    <w:p w:rsidR="00852045" w:rsidP="002E2353">
      <w:r>
        <w:t>To unlock further investment in cruise infrastructure and services, the Government should focus on supporting port modernisation, shore</w:t>
      </w:r>
      <w:r>
        <w:rPr>
          <w:rFonts w:ascii="Cambria Math" w:hAnsi="Cambria Math" w:cs="Cambria Math"/>
        </w:rPr>
        <w:t>‑</w:t>
      </w:r>
      <w:r>
        <w:t xml:space="preserve">power deployment and sustainable maritime fuels through incentives and </w:t>
      </w:r>
      <w:r>
        <w:t>partnerships</w:t>
      </w:r>
      <w:r>
        <w:t>, rather than relying on additional taxes or charges that risk diverting ships elsewhere. A competitive cruise policy should prioritise growth, environmental transition and international connectivity in parallel, ensuring the UK remains an attractive location for cruise homeporting and port calls, and that coastal economies fully capture the benefits of this expanding global market.</w:t>
      </w:r>
    </w:p>
    <w:p w:rsidR="00852045" w:rsidRPr="0030076B" w:rsidP="002652A5">
      <w:pPr>
        <w:rPr>
          <w:b/>
          <w:bCs/>
          <w:i/>
          <w:iCs/>
        </w:rPr>
      </w:pPr>
      <w:r w:rsidRPr="0030076B">
        <w:rPr>
          <w:b/>
          <w:bCs/>
          <w:i/>
          <w:iCs/>
        </w:rPr>
        <w:t>4) How well is the visitor economy recovering from the COVID-19 pandemic and what challenges continue to affect business and destinations?</w:t>
      </w:r>
    </w:p>
    <w:p w:rsidR="00852045" w:rsidRPr="002652A5" w:rsidP="002652A5"/>
    <w:p w:rsidR="00852045" w:rsidRPr="0030076B" w:rsidP="002652A5">
      <w:pPr>
        <w:rPr>
          <w:b/>
          <w:bCs/>
          <w:i/>
          <w:iCs/>
        </w:rPr>
      </w:pPr>
      <w:r w:rsidRPr="0030076B">
        <w:rPr>
          <w:b/>
          <w:bCs/>
          <w:i/>
          <w:iCs/>
        </w:rPr>
        <w:t>5) How effectively is the domestic tourism sector functioning across the UK and what factors are shaping current levels of demand and recovery?</w:t>
      </w:r>
    </w:p>
    <w:p w:rsidR="00852045" w:rsidRPr="0030076B" w:rsidP="002652A5">
      <w:pPr>
        <w:rPr>
          <w:b/>
          <w:bCs/>
          <w:i/>
          <w:iCs/>
        </w:rPr>
      </w:pPr>
      <w:r w:rsidRPr="0030076B">
        <w:rPr>
          <w:b/>
          <w:bCs/>
          <w:i/>
          <w:iCs/>
        </w:rPr>
        <w:t>i. To what extent have rising operational and workforce costs affected the affordability and viability of domestic trips for both operators and consumers?</w:t>
      </w:r>
    </w:p>
    <w:p w:rsidR="00852045" w:rsidP="002652A5">
      <w:r w:rsidRPr="0030076B">
        <w:rPr>
          <w:b/>
          <w:bCs/>
          <w:i/>
          <w:iCs/>
        </w:rPr>
        <w:t>ii. What targeted interventions could support domestic tourism businesses to stimulate demand and strengthen year-round visitor numbers?</w:t>
      </w:r>
    </w:p>
    <w:p w:rsidR="00852045" w:rsidP="002652A5">
      <w:r>
        <w:t xml:space="preserve">ABTA refers you to question 1 and its answer regarding competitiveness issues and the </w:t>
      </w:r>
      <w:r>
        <w:t>proposed visitor levy.</w:t>
      </w:r>
    </w:p>
    <w:p w:rsidR="00852045" w:rsidRPr="002652A5" w:rsidP="002652A5"/>
    <w:p w:rsidR="00852045" w:rsidRPr="0030076B" w:rsidP="002652A5">
      <w:pPr>
        <w:rPr>
          <w:b/>
          <w:bCs/>
          <w:i/>
          <w:iCs/>
        </w:rPr>
      </w:pPr>
      <w:r w:rsidRPr="0030076B">
        <w:rPr>
          <w:b/>
          <w:bCs/>
          <w:i/>
          <w:iCs/>
        </w:rPr>
        <w:t>6) How can tourism better support regional growth, community prosperity and wider Government objectives?</w:t>
      </w:r>
    </w:p>
    <w:p w:rsidR="00852045" w:rsidRPr="0030076B" w:rsidP="002652A5">
      <w:pPr>
        <w:rPr>
          <w:b/>
          <w:bCs/>
          <w:i/>
          <w:iCs/>
        </w:rPr>
      </w:pPr>
      <w:r w:rsidRPr="0030076B">
        <w:rPr>
          <w:b/>
          <w:bCs/>
          <w:i/>
          <w:iCs/>
        </w:rPr>
        <w:t>i. What barriers prevent regions from capitalising fully on tourism demand and what opportunities remain overlooked?</w:t>
      </w:r>
    </w:p>
    <w:p w:rsidR="00852045" w:rsidRPr="0030076B" w:rsidP="002652A5">
      <w:pPr>
        <w:rPr>
          <w:b/>
          <w:bCs/>
          <w:i/>
          <w:iCs/>
        </w:rPr>
      </w:pPr>
      <w:r w:rsidRPr="0030076B">
        <w:rPr>
          <w:b/>
          <w:bCs/>
          <w:i/>
          <w:iCs/>
        </w:rPr>
        <w:t>ii. Are transport links, digital connectivity and cultural infrastructure adequate to support regional tourism growth?</w:t>
      </w:r>
    </w:p>
    <w:p w:rsidR="00852045" w:rsidP="002652A5">
      <w:r w:rsidRPr="0030076B">
        <w:rPr>
          <w:b/>
          <w:bCs/>
          <w:i/>
          <w:iCs/>
        </w:rPr>
        <w:t>iii. What are the particular opportunities and challenges for tourism in: a) coastal areas, and b) rural areas</w:t>
      </w:r>
    </w:p>
    <w:p w:rsidR="00852045" w:rsidP="002652A5">
      <w:r>
        <w:t xml:space="preserve">ABTA refers you to </w:t>
      </w:r>
      <w:r>
        <w:t xml:space="preserve">the </w:t>
      </w:r>
      <w:r>
        <w:t xml:space="preserve">answers </w:t>
      </w:r>
      <w:r>
        <w:t xml:space="preserve">to </w:t>
      </w:r>
      <w:r>
        <w:t>questions</w:t>
      </w:r>
      <w:r>
        <w:t xml:space="preserve"> 1 and 3.</w:t>
      </w:r>
    </w:p>
    <w:p w:rsidR="00852045" w:rsidRPr="002652A5" w:rsidP="002652A5"/>
    <w:p w:rsidR="00852045" w:rsidRPr="00ED39C9" w:rsidP="002652A5">
      <w:pPr>
        <w:rPr>
          <w:b/>
          <w:bCs/>
          <w:i/>
          <w:iCs/>
        </w:rPr>
      </w:pPr>
      <w:r w:rsidRPr="00ED39C9">
        <w:rPr>
          <w:b/>
          <w:bCs/>
          <w:i/>
          <w:iCs/>
        </w:rPr>
        <w:t>7) How can the Government and tourism sector maximise the potential of cultural heritage and creative assets to attract visitors?</w:t>
      </w:r>
    </w:p>
    <w:p w:rsidR="00852045" w:rsidP="002652A5">
      <w:r>
        <w:t>ABTA is not responding to the question.</w:t>
      </w:r>
    </w:p>
    <w:p w:rsidR="00852045" w:rsidRPr="002652A5" w:rsidP="002652A5"/>
    <w:p w:rsidR="00852045" w:rsidRPr="00ED39C9" w:rsidP="002652A5">
      <w:pPr>
        <w:rPr>
          <w:b/>
          <w:bCs/>
          <w:i/>
          <w:iCs/>
        </w:rPr>
      </w:pPr>
      <w:r w:rsidRPr="00ED39C9">
        <w:rPr>
          <w:b/>
          <w:bCs/>
          <w:i/>
          <w:iCs/>
        </w:rPr>
        <w:t>8) What are the key issues facing the tourism workforce?</w:t>
      </w:r>
    </w:p>
    <w:p w:rsidR="00852045" w:rsidRPr="00ED39C9" w:rsidP="002652A5">
      <w:pPr>
        <w:rPr>
          <w:i/>
          <w:iCs/>
        </w:rPr>
      </w:pPr>
      <w:r w:rsidRPr="00ED39C9">
        <w:rPr>
          <w:b/>
          <w:bCs/>
          <w:i/>
          <w:iCs/>
        </w:rPr>
        <w:t>i. How have immigration and employment policies and legislation affected the tourism sector?</w:t>
      </w:r>
    </w:p>
    <w:p w:rsidR="00852045" w:rsidRPr="00BA5795" w:rsidP="00BA5795">
      <w:pPr>
        <w:rPr>
          <w:b/>
          <w:bCs/>
        </w:rPr>
      </w:pPr>
      <w:r w:rsidRPr="00BA5795">
        <w:rPr>
          <w:b/>
          <w:bCs/>
        </w:rPr>
        <w:t>Skills, training and education</w:t>
      </w:r>
    </w:p>
    <w:p w:rsidR="00852045" w:rsidP="00BA5795">
      <w:r>
        <w:t>A fundamental workforce challenge facing the tourism sector relates to education, skills development and early career pathways, particularly for young people seeking to enter the industry. Travel and tourism offers a wide range of long</w:t>
      </w:r>
      <w:r>
        <w:rPr>
          <w:rFonts w:ascii="Cambria Math" w:hAnsi="Cambria Math" w:cs="Cambria Math"/>
        </w:rPr>
        <w:t>‑</w:t>
      </w:r>
      <w:r>
        <w:t>term career opportunities, yet the sector continues to face difficulties attracting and retaining young entrants, in part because of fragmented skills policy, limited awareness of career routes and declining access to structured training opportunities.</w:t>
      </w:r>
    </w:p>
    <w:p w:rsidR="00852045" w:rsidP="00BA5795">
      <w:r>
        <w:t>ABTA welcomes the Government’s continued commitment to T Levels and the planned introduction of V Levels, particularly those aligned to travel, tourism, hospitality and related service industries. These qualifications have the potential to improve the sector’s skills pipeline by providing clearer, employer</w:t>
      </w:r>
      <w:r>
        <w:rPr>
          <w:rFonts w:ascii="Cambria Math" w:hAnsi="Cambria Math" w:cs="Cambria Math"/>
        </w:rPr>
        <w:t>‑</w:t>
      </w:r>
      <w:r>
        <w:t>endorsed routes into work. However, their success will depend on strong employer engagement and closer alignment with the needs of a sector that is diverse, regionally dispersed and characterised by a high proportion of SMEs.</w:t>
      </w:r>
    </w:p>
    <w:p w:rsidR="00852045" w:rsidP="00BA5795">
      <w:r>
        <w:t>A persistent issue is the lack of a joined</w:t>
      </w:r>
      <w:r>
        <w:rPr>
          <w:rFonts w:ascii="Cambria Math" w:hAnsi="Cambria Math" w:cs="Cambria Math"/>
        </w:rPr>
        <w:t>‑</w:t>
      </w:r>
      <w:r>
        <w:t>up approach to apprenticeships across England and the devolved nations, which creates inconsistency for employers operating UK</w:t>
      </w:r>
      <w:r>
        <w:rPr>
          <w:rFonts w:ascii="Cambria Math" w:hAnsi="Cambria Math" w:cs="Cambria Math"/>
        </w:rPr>
        <w:t>‑</w:t>
      </w:r>
      <w:r>
        <w:t>wide and limits portability for learners. In addition, changes to apprenticeship funding</w:t>
      </w:r>
      <w:r>
        <w:rPr>
          <w:rFonts w:ascii="Calibri" w:hAnsi="Calibri" w:cs="Calibri"/>
        </w:rPr>
        <w:t>—</w:t>
      </w:r>
      <w:r>
        <w:t>particularly the defunding or restriction of degree</w:t>
      </w:r>
      <w:r>
        <w:rPr>
          <w:rFonts w:ascii="Cambria Math" w:hAnsi="Cambria Math" w:cs="Cambria Math"/>
        </w:rPr>
        <w:t>‑</w:t>
      </w:r>
      <w:r>
        <w:t>level apprenticeships for over</w:t>
      </w:r>
      <w:r>
        <w:rPr>
          <w:rFonts w:ascii="Cambria Math" w:hAnsi="Cambria Math" w:cs="Cambria Math"/>
        </w:rPr>
        <w:t>‑</w:t>
      </w:r>
      <w:r>
        <w:t>23s</w:t>
      </w:r>
      <w:r>
        <w:rPr>
          <w:rFonts w:ascii="Calibri" w:hAnsi="Calibri" w:cs="Calibri"/>
        </w:rPr>
        <w:t>—</w:t>
      </w:r>
      <w:r>
        <w:t>have reduced opportunities for career changers and those seeking progression within the industry. ABTA has previously highlighted concerns that expecting employers to cover higher</w:t>
      </w:r>
      <w:r>
        <w:rPr>
          <w:rFonts w:ascii="Cambria Math" w:hAnsi="Cambria Math" w:cs="Cambria Math"/>
        </w:rPr>
        <w:t>‑</w:t>
      </w:r>
      <w:r>
        <w:t xml:space="preserve">level training costs on top </w:t>
      </w:r>
      <w:r>
        <w:t>of their existing apprenticeship levy contributions is short</w:t>
      </w:r>
      <w:r>
        <w:rPr>
          <w:rFonts w:ascii="Cambria Math" w:hAnsi="Cambria Math" w:cs="Cambria Math"/>
        </w:rPr>
        <w:t>‑</w:t>
      </w:r>
      <w:r>
        <w:t>sighted, especially given the current financial pressures facing travel and tourism businesses. These pressures have been further compounded by recent geopolitical instability, which has increased operational uncertainty and constrained investment in workforce development.</w:t>
      </w:r>
    </w:p>
    <w:p w:rsidR="00852045" w:rsidP="00BA5795">
      <w:r>
        <w:t>ABTA also sees value in non</w:t>
      </w:r>
      <w:r>
        <w:rPr>
          <w:rFonts w:ascii="Cambria Math" w:hAnsi="Cambria Math" w:cs="Cambria Math"/>
        </w:rPr>
        <w:t>‑</w:t>
      </w:r>
      <w:r>
        <w:t xml:space="preserve">traditional pathways into the sector, including virtual mentoring programmes, structured summer internships and early exposure to the world of work. </w:t>
      </w:r>
      <w:r>
        <w:t>I</w:t>
      </w:r>
      <w:r>
        <w:t>nitiatives delivered within the travel industry have shown that even small</w:t>
      </w:r>
      <w:r>
        <w:rPr>
          <w:rFonts w:ascii="Cambria Math" w:hAnsi="Cambria Math" w:cs="Cambria Math"/>
        </w:rPr>
        <w:t>‑</w:t>
      </w:r>
      <w:r>
        <w:t>scale mentoring and internship schemes can positively influence young people</w:t>
      </w:r>
      <w:r>
        <w:rPr>
          <w:rFonts w:ascii="Calibri" w:hAnsi="Calibri" w:cs="Calibri"/>
        </w:rPr>
        <w:t>’</w:t>
      </w:r>
      <w:r>
        <w:t>s understanding of career opportunities and improve employability outcomes.</w:t>
      </w:r>
      <w:r>
        <w:t xml:space="preserve"> For example, ABTA’s own scheme</w:t>
      </w:r>
      <w:r>
        <w:t>,</w:t>
      </w:r>
      <w:r>
        <w:t xml:space="preserve"> which has been in place since 2021</w:t>
      </w:r>
      <w:r>
        <w:t>,</w:t>
      </w:r>
      <w:r>
        <w:t xml:space="preserve"> has </w:t>
      </w:r>
      <w:r>
        <w:t>driven great results with 69 university students completing t</w:t>
      </w:r>
      <w:r>
        <w:t>he programme to date</w:t>
      </w:r>
      <w:r>
        <w:t xml:space="preserve">, </w:t>
      </w:r>
      <w:r>
        <w:t xml:space="preserve">20 of </w:t>
      </w:r>
      <w:r>
        <w:t xml:space="preserve">whom </w:t>
      </w:r>
      <w:r>
        <w:t>have gone on to secure</w:t>
      </w:r>
      <w:r>
        <w:t xml:space="preserve"> </w:t>
      </w:r>
      <w:r>
        <w:t>valuable</w:t>
      </w:r>
      <w:r>
        <w:t>,</w:t>
      </w:r>
      <w:r>
        <w:t xml:space="preserve"> </w:t>
      </w:r>
      <w:r>
        <w:t>permanent</w:t>
      </w:r>
      <w:r>
        <w:t xml:space="preserve"> </w:t>
      </w:r>
      <w:r>
        <w:t>roles within the travel, hospitality or tourism</w:t>
      </w:r>
      <w:r>
        <w:t xml:space="preserve"> </w:t>
      </w:r>
      <w:r>
        <w:t xml:space="preserve">industry. </w:t>
      </w:r>
      <w:r>
        <w:t xml:space="preserve">There is an opportunity for </w:t>
      </w:r>
      <w:r>
        <w:t xml:space="preserve">the </w:t>
      </w:r>
      <w:r>
        <w:t>Government to support and scale</w:t>
      </w:r>
      <w:r>
        <w:t xml:space="preserve"> up</w:t>
      </w:r>
      <w:r>
        <w:t xml:space="preserve"> such initiatives by offering targeted incentives to employers who provide high</w:t>
      </w:r>
      <w:r>
        <w:rPr>
          <w:rFonts w:ascii="Cambria Math" w:hAnsi="Cambria Math" w:cs="Cambria Math"/>
        </w:rPr>
        <w:t>‑</w:t>
      </w:r>
      <w:r>
        <w:t>quality, structured placements.</w:t>
      </w:r>
    </w:p>
    <w:p w:rsidR="00852045" w:rsidP="00BA5795">
      <w:r>
        <w:t xml:space="preserve">In particular, ABTA believes </w:t>
      </w:r>
      <w:r>
        <w:t xml:space="preserve">the </w:t>
      </w:r>
      <w:r>
        <w:t>Government could play a stronger role in encouraging structured summer work experience programmes, delivered in partnership with local colleges and universities, including those offering travel and tourism</w:t>
      </w:r>
      <w:r>
        <w:rPr>
          <w:rFonts w:ascii="Cambria Math" w:hAnsi="Cambria Math" w:cs="Cambria Math"/>
        </w:rPr>
        <w:t>‑</w:t>
      </w:r>
      <w:r>
        <w:t xml:space="preserve">related courses. </w:t>
      </w:r>
      <w:r>
        <w:t xml:space="preserve">Whilst ABTA </w:t>
      </w:r>
      <w:r>
        <w:t>supports</w:t>
      </w:r>
      <w:r>
        <w:t xml:space="preserve"> programmes </w:t>
      </w:r>
      <w:r>
        <w:t xml:space="preserve">aimed at supporting </w:t>
      </w:r>
      <w:r>
        <w:t>those already classified as NEETs, this approach would intervene earlier, helping students gain meaningful work experience before leaving education. If such placements could be formally recognised</w:t>
      </w:r>
      <w:r>
        <w:rPr>
          <w:rFonts w:ascii="Calibri" w:hAnsi="Calibri" w:cs="Calibri"/>
        </w:rPr>
        <w:t>—</w:t>
      </w:r>
      <w:r>
        <w:t>potentially through coursework credits or assessed modules—they could provide a practical, low</w:t>
      </w:r>
      <w:r>
        <w:rPr>
          <w:rFonts w:ascii="Cambria Math" w:hAnsi="Cambria Math" w:cs="Cambria Math"/>
        </w:rPr>
        <w:t>‑</w:t>
      </w:r>
      <w:r>
        <w:t xml:space="preserve">cost way of improving work readiness, strengthening </w:t>
      </w:r>
      <w:r>
        <w:t>candidate</w:t>
      </w:r>
      <w:r>
        <w:t>/students</w:t>
      </w:r>
      <w:r>
        <w:t>’</w:t>
      </w:r>
      <w:r>
        <w:t xml:space="preserve"> experiences</w:t>
      </w:r>
      <w:r>
        <w:t xml:space="preserve"> and easing the transition from education into employment across the tourism sector.</w:t>
      </w:r>
    </w:p>
    <w:p w:rsidR="00852045" w:rsidRPr="00BA5795" w:rsidP="00BA5795">
      <w:pPr>
        <w:rPr>
          <w:b/>
          <w:bCs/>
        </w:rPr>
      </w:pPr>
      <w:r w:rsidRPr="00BA5795">
        <w:rPr>
          <w:b/>
          <w:bCs/>
        </w:rPr>
        <w:t>Wider issues</w:t>
      </w:r>
      <w:r>
        <w:rPr>
          <w:b/>
          <w:bCs/>
        </w:rPr>
        <w:t xml:space="preserve"> – Immigration and mobility</w:t>
      </w:r>
    </w:p>
    <w:p w:rsidR="00852045" w:rsidP="009373E3">
      <w:r>
        <w:t>While the tourism industry is a significant source of employment for UK nationals and remains predominantly staffed by the domestic workforce, the sector is also intrinsically linked to migration and labour mobility. Many tourism roles—particularly in domestic and inbound attractions, seasonal businesses and those located in rural or coastal areas—are difficult to fill from the local labour market alone. This is a challenge that affects destinations across the UK, not just remote locations. In addition, giv</w:t>
      </w:r>
      <w:r>
        <w:t>en that millions of visitors travel to the UK from Europe each year, tourism businesses and attractions benefit significantly from access to staff with European language skills and cultural familiarity, which enhances visitor experience and international competitiveness.</w:t>
      </w:r>
    </w:p>
    <w:p w:rsidR="00852045" w:rsidP="009373E3">
      <w:r>
        <w:t>To address skills gaps, support growth and ensure tourism businesses have a stable workforce on which to build, ABTA strongly supports the Government’s commitment to negotiate a Youth Experience Scheme with the European Union</w:t>
      </w:r>
      <w:r>
        <w:t xml:space="preserve">. </w:t>
      </w:r>
      <w:r>
        <w:t>Such a scheme would provide a targeted, time</w:t>
      </w:r>
      <w:r>
        <w:rPr>
          <w:rFonts w:ascii="Cambria Math" w:hAnsi="Cambria Math" w:cs="Cambria Math"/>
        </w:rPr>
        <w:t>‑</w:t>
      </w:r>
      <w:r>
        <w:t>limited route for young people to work in tourism roles, helping businesses access essential labour while offering valuable skills and career development opportunities.</w:t>
      </w:r>
    </w:p>
    <w:p w:rsidR="00852045" w:rsidP="009373E3">
      <w:r w:rsidRPr="009B4007">
        <w:t>In addition, a Youth Experience Scheme is not only important for supporting inbound tourism, but is also critical to the outbound travel sector, where many ABTA members and other UK travel businesses increasingly struggle to place staff in overseas destinations</w:t>
      </w:r>
      <w:r>
        <w:t xml:space="preserve"> due to </w:t>
      </w:r>
      <w:r>
        <w:t xml:space="preserve">the cost of visas and other local foreign </w:t>
      </w:r>
      <w:r>
        <w:t>worker-related</w:t>
      </w:r>
      <w:r>
        <w:t xml:space="preserve"> policies</w:t>
      </w:r>
      <w:r w:rsidRPr="009B4007">
        <w:t>. The ability to deploy UK</w:t>
      </w:r>
      <w:r w:rsidRPr="009B4007">
        <w:rPr>
          <w:rFonts w:ascii="Cambria Math" w:hAnsi="Cambria Math" w:cs="Cambria Math"/>
        </w:rPr>
        <w:t>‑</w:t>
      </w:r>
      <w:r w:rsidRPr="009B4007">
        <w:t>based personnel in destination roles is vital to supporting customers while they are abroad, resolving issues quickly and effectively, and maintaining high standards of service and consumer protection. Ensuring UK travel businesses can continue to provide in</w:t>
      </w:r>
      <w:r w:rsidRPr="009B4007">
        <w:rPr>
          <w:rFonts w:ascii="Cambria Math" w:hAnsi="Cambria Math" w:cs="Cambria Math"/>
        </w:rPr>
        <w:t>‑</w:t>
      </w:r>
      <w:r w:rsidRPr="009B4007">
        <w:t>destination support also helps reduce pressure on consular and embassy services, as issues can be resolved by operators before they escalate. A Youth Exp</w:t>
      </w:r>
      <w:r w:rsidRPr="009B4007">
        <w:t>erience Scheme would therefore support both inbound and outbound tourism, delivering mutual benefits for businesses, travellers and government alike.</w:t>
      </w:r>
    </w:p>
    <w:p w:rsidR="00852045" w:rsidP="009373E3">
      <w:r>
        <w:t>ABTA has consistently advocated for a youth mobility arrangement since the UK’s departure from the EU, highlighting how the absence of mobility pathways has constrained tourism businesses and reduced opportunities for young people to enter and progress within the sector. Research commissioned by ABTA in 2023 from the French consultancy Moving Minds found that the number of UK nationals working for UK travel businesses in temporary tourism roles in Europe fell by 69% between 2017 and 2022, either side of the</w:t>
      </w:r>
      <w:r>
        <w:t xml:space="preserve"> UK’s exit from the EU and the end of the transition period</w:t>
      </w:r>
      <w:r>
        <w:rPr>
          <w:rStyle w:val="FootnoteReference"/>
        </w:rPr>
        <w:footnoteReference w:id="14"/>
      </w:r>
      <w:r>
        <w:t>. This has had a profound impact on talent development, as over a third of current tourism workers—and nearly half of industry leaders—began their careers in entry</w:t>
      </w:r>
      <w:r>
        <w:rPr>
          <w:rFonts w:ascii="Cambria Math" w:hAnsi="Cambria Math" w:cs="Cambria Math"/>
        </w:rPr>
        <w:t>‑</w:t>
      </w:r>
      <w:r>
        <w:t>level roles such as overseas travel representatives, chalet hosts or performers. Many of these formative roles are now largely inaccessible to UK nationals due to visa restrictions.</w:t>
      </w:r>
    </w:p>
    <w:p w:rsidR="00852045" w:rsidP="009373E3">
      <w:r>
        <w:t>The implications for growth are clear. More than 90% of travel companies surveyed by ABTA in 2022 stated that a youth mobility agreement with the EU would improve their prospects for future growth</w:t>
      </w:r>
      <w:r>
        <w:rPr>
          <w:rStyle w:val="FootnoteReference"/>
        </w:rPr>
        <w:footnoteReference w:id="15"/>
      </w:r>
      <w:r>
        <w:t>. These roles are not only critical entry points into long</w:t>
      </w:r>
      <w:r>
        <w:rPr>
          <w:rFonts w:ascii="Cambria Math" w:hAnsi="Cambria Math" w:cs="Cambria Math"/>
        </w:rPr>
        <w:t>‑</w:t>
      </w:r>
      <w:r>
        <w:t>term careers, but also provide businesses with the flexibility and skills needed to respond to seasonal demand and evolving visitor expectations.</w:t>
      </w:r>
    </w:p>
    <w:p w:rsidR="00852045" w:rsidP="00BA5795">
      <w:r>
        <w:t xml:space="preserve">ABTA therefore welcomes the growing recognition that a Youth Experience Scheme should be viewed as a mutually beneficial, temporary mobility arrangement distinct from wider migration policy. Existing youth mobility schemes already demonstrate that participants do not gain any right to remain permanently in the UK, with around nine in ten participants returning to their home country </w:t>
      </w:r>
      <w:r>
        <w:t>at the end of their visa. Those who remain typically do so via other legitimate immigration routes for which they qualify. A tailored EU youth scheme would therefore enhance workforce capacity, support skills development and boost competitiveness, without conflicting with the Government’s broader migration objectives.</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2045" w:rsidP="00013F65">
      <w:pPr>
        <w:spacing w:after="0" w:line="240" w:lineRule="auto"/>
      </w:pPr>
      <w:r>
        <w:separator/>
      </w:r>
    </w:p>
  </w:footnote>
  <w:footnote w:type="continuationSeparator" w:id="1">
    <w:p w:rsidR="00852045" w:rsidP="00013F65">
      <w:pPr>
        <w:spacing w:after="0" w:line="240" w:lineRule="auto"/>
      </w:pPr>
      <w:r>
        <w:continuationSeparator/>
      </w:r>
    </w:p>
  </w:footnote>
  <w:footnote w:id="2">
    <w:p w:rsidR="00852045">
      <w:pPr>
        <w:pStyle w:val="FootnoteText"/>
      </w:pPr>
      <w:r>
        <w:rPr>
          <w:rStyle w:val="FootnoteReference"/>
        </w:rPr>
        <w:footnoteRef/>
      </w:r>
      <w:r>
        <w:t xml:space="preserve"> </w:t>
      </w:r>
      <w:r>
        <w:fldChar w:fldCharType="begin"/>
      </w:r>
      <w:r>
        <w:instrText xml:space="preserve"> HYPERLINK "https://www.abta.com/sites/default/files/media/document/uploads/Final_Outbound%20Travel_a%20catalyst%20for%20jobs%2C%20growth%20and%20wellbeing.pdf" </w:instrText>
      </w:r>
      <w:r>
        <w:fldChar w:fldCharType="separate"/>
      </w:r>
      <w:r>
        <w:rPr>
          <w:rStyle w:val="Hyperlink"/>
        </w:rPr>
        <w:t>Outbound travel – a catalyst for jobs, growth and wellbeing 2025</w:t>
      </w:r>
      <w:r>
        <w:fldChar w:fldCharType="end"/>
      </w:r>
    </w:p>
  </w:footnote>
  <w:footnote w:id="3">
    <w:p w:rsidR="00852045">
      <w:pPr>
        <w:pStyle w:val="FootnoteText"/>
      </w:pPr>
      <w:r>
        <w:rPr>
          <w:rStyle w:val="FootnoteReference"/>
        </w:rPr>
        <w:footnoteRef/>
      </w:r>
      <w:r>
        <w:t xml:space="preserve"> </w:t>
      </w:r>
      <w:r>
        <w:fldChar w:fldCharType="begin"/>
      </w:r>
      <w:r>
        <w:instrText xml:space="preserve"> HYPERLINK "https://committees.parliament.uk/work/1608/promoting-britain-abroad/" </w:instrText>
      </w:r>
      <w:r>
        <w:fldChar w:fldCharType="separate"/>
      </w:r>
      <w:r w:rsidRPr="00013F65">
        <w:rPr>
          <w:rStyle w:val="Hyperlink"/>
        </w:rPr>
        <w:t>Promoting Britain abroad - Committees - UK Parliament</w:t>
      </w:r>
      <w:r>
        <w:fldChar w:fldCharType="end"/>
      </w:r>
    </w:p>
  </w:footnote>
  <w:footnote w:id="4">
    <w:p w:rsidR="00852045">
      <w:pPr>
        <w:pStyle w:val="FootnoteText"/>
      </w:pPr>
      <w:r>
        <w:rPr>
          <w:rStyle w:val="FootnoteReference"/>
        </w:rPr>
        <w:footnoteRef/>
      </w:r>
      <w:r>
        <w:t xml:space="preserve"> </w:t>
      </w:r>
      <w:r>
        <w:fldChar w:fldCharType="begin"/>
      </w:r>
      <w:r>
        <w:instrText xml:space="preserve"> HYPERLINK "https://www.abta.com/sites/default/files/media/document/uploads/Final_Outbound%20Travel_a%20catalyst%20for%20jobs%2C%20growth%20and%20wellbeing.pdf" </w:instrText>
      </w:r>
      <w:r>
        <w:fldChar w:fldCharType="separate"/>
      </w:r>
      <w:r>
        <w:rPr>
          <w:rStyle w:val="Hyperlink"/>
        </w:rPr>
        <w:t>Outbound travel – a catalyst for jobs, growth and wellbeing 2025</w:t>
      </w:r>
      <w:r>
        <w:fldChar w:fldCharType="end"/>
      </w:r>
    </w:p>
  </w:footnote>
  <w:footnote w:id="5">
    <w:p w:rsidR="00852045" w:rsidP="00242E8F">
      <w:pPr>
        <w:pStyle w:val="FootnoteText"/>
      </w:pPr>
      <w:r>
        <w:rPr>
          <w:rStyle w:val="FootnoteReference"/>
        </w:rPr>
        <w:footnoteRef/>
      </w:r>
      <w:r>
        <w:t xml:space="preserve"> </w:t>
      </w:r>
      <w:r>
        <w:fldChar w:fldCharType="begin"/>
      </w:r>
      <w:r>
        <w:instrText xml:space="preserve"> HYPERLINK "https://www.weforum.org/publications/travel-tourism-development-index-2024/" </w:instrText>
      </w:r>
      <w:r>
        <w:fldChar w:fldCharType="separate"/>
      </w:r>
      <w:r>
        <w:rPr>
          <w:rStyle w:val="Hyperlink"/>
        </w:rPr>
        <w:t>World Economic Forum: Travel &amp; Tourism Development Index 2024</w:t>
      </w:r>
      <w:r>
        <w:fldChar w:fldCharType="end"/>
      </w:r>
      <w:r>
        <w:t xml:space="preserve"> </w:t>
      </w:r>
    </w:p>
  </w:footnote>
  <w:footnote w:id="6">
    <w:p w:rsidR="00852045">
      <w:pPr>
        <w:pStyle w:val="FootnoteText"/>
      </w:pPr>
      <w:r>
        <w:rPr>
          <w:rStyle w:val="FootnoteReference"/>
        </w:rPr>
        <w:footnoteRef/>
      </w:r>
      <w:r>
        <w:t xml:space="preserve"> </w:t>
      </w:r>
      <w:r>
        <w:fldChar w:fldCharType="begin"/>
      </w:r>
      <w:r>
        <w:instrText xml:space="preserve"> HYPERLINK "https://airlinesuk.org/uk-aviation-competitiveness-index/" </w:instrText>
      </w:r>
      <w:r>
        <w:fldChar w:fldCharType="separate"/>
      </w:r>
      <w:r w:rsidRPr="00EE372A">
        <w:rPr>
          <w:rStyle w:val="Hyperlink"/>
        </w:rPr>
        <w:t>UK Aviation Competitiveness Index – Airlines UK, Airports UK &amp; Airlines for America</w:t>
      </w:r>
      <w:r>
        <w:fldChar w:fldCharType="end"/>
      </w:r>
    </w:p>
  </w:footnote>
  <w:footnote w:id="7">
    <w:p w:rsidR="00852045">
      <w:pPr>
        <w:pStyle w:val="FootnoteText"/>
      </w:pPr>
      <w:r>
        <w:rPr>
          <w:rStyle w:val="FootnoteReference"/>
        </w:rPr>
        <w:footnoteRef/>
      </w:r>
      <w:r>
        <w:t xml:space="preserve"> Ibid</w:t>
      </w:r>
    </w:p>
  </w:footnote>
  <w:footnote w:id="8">
    <w:p w:rsidR="00852045">
      <w:pPr>
        <w:pStyle w:val="FootnoteText"/>
      </w:pPr>
      <w:r>
        <w:rPr>
          <w:rStyle w:val="FootnoteReference"/>
        </w:rPr>
        <w:footnoteRef/>
      </w:r>
      <w:r>
        <w:t xml:space="preserve"> </w:t>
      </w:r>
      <w:r>
        <w:fldChar w:fldCharType="begin"/>
      </w:r>
      <w:r>
        <w:instrText xml:space="preserve"> HYPERLINK "https://www.ukhospitality.org.uk/voters-would-punish-mps-who-back-the-holiday-tax/" </w:instrText>
      </w:r>
      <w:r>
        <w:fldChar w:fldCharType="separate"/>
      </w:r>
      <w:r>
        <w:rPr>
          <w:rStyle w:val="Hyperlink"/>
        </w:rPr>
        <w:t>UK Hospitality visitor levy polling</w:t>
      </w:r>
      <w:r>
        <w:fldChar w:fldCharType="end"/>
      </w:r>
      <w:r>
        <w:t xml:space="preserve"> </w:t>
      </w:r>
    </w:p>
  </w:footnote>
  <w:footnote w:id="9">
    <w:p w:rsidR="00852045">
      <w:pPr>
        <w:pStyle w:val="FootnoteText"/>
      </w:pPr>
      <w:r>
        <w:rPr>
          <w:rStyle w:val="FootnoteReference"/>
        </w:rPr>
        <w:footnoteRef/>
      </w:r>
      <w:r>
        <w:t xml:space="preserve"> Ibid</w:t>
      </w:r>
    </w:p>
  </w:footnote>
  <w:footnote w:id="10">
    <w:p w:rsidR="00852045">
      <w:pPr>
        <w:pStyle w:val="FootnoteText"/>
      </w:pPr>
      <w:r>
        <w:rPr>
          <w:rStyle w:val="FootnoteReference"/>
        </w:rPr>
        <w:footnoteRef/>
      </w:r>
      <w:r>
        <w:t xml:space="preserve"> </w:t>
      </w:r>
      <w:r>
        <w:fldChar w:fldCharType="begin"/>
      </w:r>
      <w:r>
        <w:instrText xml:space="preserve"> HYPERLINK "WTTC%20analysis%20on%20UK%20tourism%20levies%20February%202026" </w:instrText>
      </w:r>
      <w:r>
        <w:fldChar w:fldCharType="separate"/>
      </w:r>
      <w:r>
        <w:rPr>
          <w:rStyle w:val="Hyperlink"/>
        </w:rPr>
        <w:t>WTTC analysis on UK tourism levies February 2026</w:t>
      </w:r>
      <w:r>
        <w:fldChar w:fldCharType="end"/>
      </w:r>
      <w:r>
        <w:t xml:space="preserve"> </w:t>
      </w:r>
    </w:p>
  </w:footnote>
  <w:footnote w:id="11">
    <w:p w:rsidR="00852045">
      <w:pPr>
        <w:pStyle w:val="FootnoteText"/>
      </w:pPr>
      <w:r>
        <w:rPr>
          <w:rStyle w:val="FootnoteReference"/>
        </w:rPr>
        <w:footnoteRef/>
      </w:r>
      <w:r>
        <w:t xml:space="preserve"> </w:t>
      </w:r>
      <w:r>
        <w:fldChar w:fldCharType="begin"/>
      </w:r>
      <w:r>
        <w:instrText xml:space="preserve"> HYPERLINK "https://committees.parliament.uk/work/1608/promoting-britain-abroad/" </w:instrText>
      </w:r>
      <w:r>
        <w:fldChar w:fldCharType="separate"/>
      </w:r>
      <w:r w:rsidRPr="00013F65">
        <w:rPr>
          <w:rStyle w:val="Hyperlink"/>
        </w:rPr>
        <w:t>Promoting Britain abroad - Committees - UK Parliament</w:t>
      </w:r>
      <w:r>
        <w:fldChar w:fldCharType="end"/>
      </w:r>
    </w:p>
  </w:footnote>
  <w:footnote w:id="12">
    <w:p w:rsidR="00852045">
      <w:pPr>
        <w:pStyle w:val="FootnoteText"/>
      </w:pPr>
      <w:r>
        <w:rPr>
          <w:rStyle w:val="FootnoteReference"/>
        </w:rPr>
        <w:footnoteRef/>
      </w:r>
      <w:r>
        <w:t xml:space="preserve"> </w:t>
      </w:r>
      <w:r>
        <w:fldChar w:fldCharType="begin"/>
      </w:r>
      <w:r>
        <w:instrText xml:space="preserve"> HYPERLINK "https://travellingforbusiness.co.uk/news/germany-air-ticket-tax-cut-2026/" </w:instrText>
      </w:r>
      <w:r>
        <w:fldChar w:fldCharType="separate"/>
      </w:r>
      <w:r w:rsidRPr="00FD44F4">
        <w:rPr>
          <w:rStyle w:val="Hyperlink"/>
        </w:rPr>
        <w:t>https://travellingforbusiness.co.uk/news/germany-air-ticket-tax-cut-2026/</w:t>
      </w:r>
      <w:r>
        <w:fldChar w:fldCharType="end"/>
      </w:r>
      <w:r>
        <w:t xml:space="preserve"> </w:t>
      </w:r>
    </w:p>
  </w:footnote>
  <w:footnote w:id="13">
    <w:p w:rsidR="00852045">
      <w:pPr>
        <w:pStyle w:val="FootnoteText"/>
      </w:pPr>
      <w:r>
        <w:rPr>
          <w:rStyle w:val="FootnoteReference"/>
        </w:rPr>
        <w:footnoteRef/>
      </w:r>
      <w:r>
        <w:t xml:space="preserve"> </w:t>
      </w:r>
      <w:r>
        <w:fldChar w:fldCharType="begin"/>
      </w:r>
      <w:r>
        <w:instrText xml:space="preserve"> HYPERLINK "https://www.iata.org/en/pressroom/2024-releases/2024-09-03-02/" </w:instrText>
      </w:r>
      <w:r>
        <w:fldChar w:fldCharType="separate"/>
      </w:r>
      <w:r w:rsidRPr="00FD44F4">
        <w:rPr>
          <w:rStyle w:val="Hyperlink"/>
        </w:rPr>
        <w:t>https://www.iata.org/en/pressroom/2024-releases/2024-09-03-02/</w:t>
      </w:r>
      <w:r>
        <w:fldChar w:fldCharType="end"/>
      </w:r>
      <w:r>
        <w:t xml:space="preserve"> </w:t>
      </w:r>
    </w:p>
  </w:footnote>
  <w:footnote w:id="14">
    <w:p w:rsidR="00852045">
      <w:pPr>
        <w:pStyle w:val="FootnoteText"/>
      </w:pPr>
      <w:r>
        <w:rPr>
          <w:rStyle w:val="FootnoteReference"/>
        </w:rPr>
        <w:footnoteRef/>
      </w:r>
      <w:r>
        <w:t xml:space="preserve"> </w:t>
      </w:r>
      <w:r>
        <w:fldChar w:fldCharType="begin"/>
      </w:r>
      <w:r>
        <w:instrText xml:space="preserve"> HYPERLINK "chrome-extension://efaidnbmnnnibpcajpcglclefindmkaj/https:/www.abta.com/sites/default/files/media/document/uploads/Final%20Low%20res%20mobility%20report%20for%20website.pdf" </w:instrText>
      </w:r>
      <w:r>
        <w:fldChar w:fldCharType="separate"/>
      </w:r>
      <w:r w:rsidRPr="00767C84">
        <w:rPr>
          <w:rStyle w:val="Hyperlink"/>
        </w:rPr>
        <w:t>ABTA/SBiT, Unlocking Travel’s Potential, June 2023 Home Office, Migrant journey: 2023 report</w:t>
      </w:r>
      <w:r>
        <w:fldChar w:fldCharType="end"/>
      </w:r>
    </w:p>
  </w:footnote>
  <w:footnote w:id="15">
    <w:p w:rsidR="00852045">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D816544A"/>
    <w:lvl w:ilvl="0">
      <w:start w:val="1"/>
      <w:numFmt w:val="decimal"/>
      <w:pStyle w:val="ListNumber"/>
      <w:lvlText w:val="%1."/>
      <w:lvlJc w:val="left"/>
      <w:pPr>
        <w:tabs>
          <w:tab w:val="num" w:pos="360"/>
        </w:tabs>
        <w:ind w:left="360" w:hanging="360"/>
      </w:pPr>
    </w:lvl>
  </w:abstractNum>
  <w:abstractNum w:abstractNumId="1">
    <w:nsid w:val="563E54A7"/>
    <w:multiLevelType w:val="multilevel"/>
    <w:tmpl w:val="B276D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03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3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3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A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A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A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A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3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3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AA2"/>
    <w:rPr>
      <w:rFonts w:eastAsiaTheme="majorEastAsia" w:cstheme="majorBidi"/>
      <w:color w:val="272727" w:themeColor="text1" w:themeTint="D8"/>
    </w:rPr>
  </w:style>
  <w:style w:type="paragraph" w:styleId="Title">
    <w:name w:val="Title"/>
    <w:basedOn w:val="Normal"/>
    <w:next w:val="Normal"/>
    <w:link w:val="TitleChar"/>
    <w:uiPriority w:val="10"/>
    <w:qFormat/>
    <w:rsid w:val="00303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AA2"/>
    <w:pPr>
      <w:spacing w:before="160"/>
      <w:jc w:val="center"/>
    </w:pPr>
    <w:rPr>
      <w:i/>
      <w:iCs/>
      <w:color w:val="404040" w:themeColor="text1" w:themeTint="BF"/>
    </w:rPr>
  </w:style>
  <w:style w:type="character" w:customStyle="1" w:styleId="QuoteChar">
    <w:name w:val="Quote Char"/>
    <w:basedOn w:val="DefaultParagraphFont"/>
    <w:link w:val="Quote"/>
    <w:uiPriority w:val="29"/>
    <w:rsid w:val="00303AA2"/>
    <w:rPr>
      <w:i/>
      <w:iCs/>
      <w:color w:val="404040" w:themeColor="text1" w:themeTint="BF"/>
    </w:rPr>
  </w:style>
  <w:style w:type="paragraph" w:styleId="ListParagraph">
    <w:name w:val="List Paragraph"/>
    <w:basedOn w:val="Normal"/>
    <w:uiPriority w:val="34"/>
    <w:qFormat/>
    <w:rsid w:val="00303AA2"/>
    <w:pPr>
      <w:ind w:left="720"/>
      <w:contextualSpacing/>
    </w:pPr>
  </w:style>
  <w:style w:type="character" w:styleId="IntenseEmphasis">
    <w:name w:val="Intense Emphasis"/>
    <w:basedOn w:val="DefaultParagraphFont"/>
    <w:uiPriority w:val="21"/>
    <w:qFormat/>
    <w:rsid w:val="00303AA2"/>
    <w:rPr>
      <w:i/>
      <w:iCs/>
      <w:color w:val="0F4761" w:themeColor="accent1" w:themeShade="BF"/>
    </w:rPr>
  </w:style>
  <w:style w:type="paragraph" w:styleId="IntenseQuote">
    <w:name w:val="Intense Quote"/>
    <w:basedOn w:val="Normal"/>
    <w:next w:val="Normal"/>
    <w:link w:val="IntenseQuoteChar"/>
    <w:uiPriority w:val="30"/>
    <w:qFormat/>
    <w:rsid w:val="00303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AA2"/>
    <w:rPr>
      <w:i/>
      <w:iCs/>
      <w:color w:val="0F4761" w:themeColor="accent1" w:themeShade="BF"/>
    </w:rPr>
  </w:style>
  <w:style w:type="character" w:styleId="IntenseReference">
    <w:name w:val="Intense Reference"/>
    <w:basedOn w:val="DefaultParagraphFont"/>
    <w:uiPriority w:val="32"/>
    <w:qFormat/>
    <w:rsid w:val="00303AA2"/>
    <w:rPr>
      <w:b/>
      <w:bCs/>
      <w:smallCaps/>
      <w:color w:val="0F4761" w:themeColor="accent1" w:themeShade="BF"/>
      <w:spacing w:val="5"/>
    </w:rPr>
  </w:style>
  <w:style w:type="character" w:styleId="CommentReference">
    <w:name w:val="annotation reference"/>
    <w:basedOn w:val="DefaultParagraphFont"/>
    <w:uiPriority w:val="99"/>
    <w:semiHidden/>
    <w:unhideWhenUsed/>
    <w:rsid w:val="00836225"/>
    <w:rPr>
      <w:sz w:val="16"/>
      <w:szCs w:val="16"/>
    </w:rPr>
  </w:style>
  <w:style w:type="paragraph" w:styleId="CommentText">
    <w:name w:val="annotation text"/>
    <w:basedOn w:val="Normal"/>
    <w:link w:val="CommentTextChar"/>
    <w:uiPriority w:val="99"/>
    <w:unhideWhenUsed/>
    <w:rsid w:val="00836225"/>
    <w:pPr>
      <w:spacing w:line="240" w:lineRule="auto"/>
    </w:pPr>
    <w:rPr>
      <w:sz w:val="20"/>
      <w:szCs w:val="20"/>
    </w:rPr>
  </w:style>
  <w:style w:type="character" w:customStyle="1" w:styleId="CommentTextChar">
    <w:name w:val="Comment Text Char"/>
    <w:basedOn w:val="DefaultParagraphFont"/>
    <w:link w:val="CommentText"/>
    <w:uiPriority w:val="99"/>
    <w:rsid w:val="00836225"/>
    <w:rPr>
      <w:sz w:val="20"/>
      <w:szCs w:val="20"/>
    </w:rPr>
  </w:style>
  <w:style w:type="paragraph" w:styleId="CommentSubject">
    <w:name w:val="annotation subject"/>
    <w:basedOn w:val="CommentText"/>
    <w:next w:val="CommentText"/>
    <w:link w:val="CommentSubjectChar"/>
    <w:uiPriority w:val="99"/>
    <w:semiHidden/>
    <w:unhideWhenUsed/>
    <w:rsid w:val="00836225"/>
    <w:rPr>
      <w:b/>
      <w:bCs/>
    </w:rPr>
  </w:style>
  <w:style w:type="character" w:customStyle="1" w:styleId="CommentSubjectChar">
    <w:name w:val="Comment Subject Char"/>
    <w:basedOn w:val="CommentTextChar"/>
    <w:link w:val="CommentSubject"/>
    <w:uiPriority w:val="99"/>
    <w:semiHidden/>
    <w:rsid w:val="00836225"/>
    <w:rPr>
      <w:b/>
      <w:bCs/>
      <w:sz w:val="20"/>
      <w:szCs w:val="20"/>
    </w:rPr>
  </w:style>
  <w:style w:type="character" w:styleId="Hyperlink">
    <w:name w:val="Hyperlink"/>
    <w:basedOn w:val="DefaultParagraphFont"/>
    <w:uiPriority w:val="99"/>
    <w:unhideWhenUsed/>
    <w:rsid w:val="00836225"/>
    <w:rPr>
      <w:color w:val="467886" w:themeColor="hyperlink"/>
      <w:u w:val="single"/>
    </w:rPr>
  </w:style>
  <w:style w:type="character" w:customStyle="1" w:styleId="UnresolvedMention1">
    <w:name w:val="Unresolved Mention1"/>
    <w:basedOn w:val="DefaultParagraphFont"/>
    <w:uiPriority w:val="99"/>
    <w:semiHidden/>
    <w:unhideWhenUsed/>
    <w:rsid w:val="00836225"/>
    <w:rPr>
      <w:color w:val="605E5C"/>
      <w:shd w:val="clear" w:color="auto" w:fill="E1DFDD"/>
    </w:rPr>
  </w:style>
  <w:style w:type="paragraph" w:styleId="FootnoteText">
    <w:name w:val="footnote text"/>
    <w:basedOn w:val="Normal"/>
    <w:link w:val="FootnoteTextChar"/>
    <w:uiPriority w:val="99"/>
    <w:semiHidden/>
    <w:unhideWhenUsed/>
    <w:rsid w:val="00013F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F65"/>
    <w:rPr>
      <w:sz w:val="20"/>
      <w:szCs w:val="20"/>
    </w:rPr>
  </w:style>
  <w:style w:type="character" w:styleId="FootnoteReference">
    <w:name w:val="footnote reference"/>
    <w:basedOn w:val="DefaultParagraphFont"/>
    <w:uiPriority w:val="99"/>
    <w:semiHidden/>
    <w:unhideWhenUsed/>
    <w:rsid w:val="00013F65"/>
    <w:rPr>
      <w:vertAlign w:val="superscript"/>
    </w:rPr>
  </w:style>
  <w:style w:type="paragraph" w:styleId="ListNumber">
    <w:name w:val="List Number"/>
    <w:basedOn w:val="Normal"/>
    <w:uiPriority w:val="99"/>
    <w:unhideWhenUsed/>
    <w:rsid w:val="00242E8F"/>
    <w:pPr>
      <w:numPr>
        <w:numId w:val="1"/>
      </w:numPr>
      <w:tabs>
        <w:tab w:val="clear" w:pos="360"/>
      </w:tabs>
      <w:spacing w:line="278" w:lineRule="auto"/>
      <w:ind w:left="0" w:firstLine="0"/>
      <w:contextualSpacing/>
    </w:pPr>
    <w:rPr>
      <w:rFonts w:eastAsiaTheme="minorEastAsia"/>
      <w:sz w:val="24"/>
      <w:szCs w:val="24"/>
      <w:lang w:eastAsia="zh-CN"/>
    </w:rPr>
  </w:style>
  <w:style w:type="paragraph" w:styleId="Header">
    <w:name w:val="header"/>
    <w:basedOn w:val="Normal"/>
    <w:link w:val="HeaderChar"/>
    <w:uiPriority w:val="99"/>
    <w:semiHidden/>
    <w:unhideWhenUsed/>
    <w:rsid w:val="003666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666ED"/>
  </w:style>
  <w:style w:type="paragraph" w:styleId="Footer">
    <w:name w:val="footer"/>
    <w:basedOn w:val="Normal"/>
    <w:link w:val="FooterChar"/>
    <w:uiPriority w:val="99"/>
    <w:semiHidden/>
    <w:unhideWhenUsed/>
    <w:rsid w:val="003666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666ED"/>
  </w:style>
  <w:style w:type="paragraph" w:styleId="Revision">
    <w:name w:val="Revision"/>
    <w:hidden/>
    <w:uiPriority w:val="99"/>
    <w:semiHidden/>
    <w:rsid w:val="00096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8894-AD6E-4BE8-BE25-04EF5330F48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TOU0041</dc:title>
  <cp:revision>0</cp:revision>
</cp:coreProperties>
</file>