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74D1" w:rsidRPr="00560C4C" w:rsidP="001374D1">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sidRPr="001374D1">
        <w:rPr>
          <w:rFonts w:ascii="Calibri" w:hAnsi="Calibri" w:cs="Calibri"/>
          <w:sz w:val="28"/>
          <w:szCs w:val="28"/>
        </w:rPr>
        <w:t xml:space="preserve">British Chambers of Commerce  </w:t>
      </w:r>
    </w:p>
    <w:p w:rsidR="001374D1" w:rsidP="00B2005E">
      <w:pPr>
        <w:pStyle w:val="paragraph"/>
        <w:spacing w:before="0" w:beforeAutospacing="0" w:after="0" w:afterAutospacing="0"/>
        <w:textAlignment w:val="baseline"/>
        <w:rPr>
          <w:rStyle w:val="normaltextrun"/>
          <w:rFonts w:asciiTheme="minorHAnsi" w:hAnsiTheme="minorHAnsi" w:cstheme="minorHAnsi"/>
          <w:b/>
          <w:bCs/>
          <w:sz w:val="20"/>
          <w:szCs w:val="20"/>
        </w:rPr>
      </w:pPr>
    </w:p>
    <w:p w:rsidR="00B321E1" w:rsidRPr="00B2005E" w:rsidP="00B2005E">
      <w:pPr>
        <w:pStyle w:val="paragraph"/>
        <w:spacing w:before="0" w:beforeAutospacing="0" w:after="0" w:afterAutospacing="0"/>
        <w:textAlignment w:val="baseline"/>
        <w:rPr>
          <w:rStyle w:val="eop"/>
          <w:rFonts w:asciiTheme="minorHAnsi" w:hAnsiTheme="minorHAnsi" w:cstheme="minorHAnsi"/>
          <w:b/>
          <w:bCs/>
          <w:sz w:val="20"/>
          <w:szCs w:val="20"/>
        </w:rPr>
      </w:pPr>
      <w:r w:rsidRPr="00B2005E">
        <w:rPr>
          <w:rStyle w:val="normaltextrun"/>
          <w:rFonts w:asciiTheme="minorHAnsi" w:hAnsiTheme="minorHAnsi" w:cstheme="minorHAnsi"/>
          <w:b/>
          <w:bCs/>
          <w:sz w:val="20"/>
          <w:szCs w:val="20"/>
        </w:rPr>
        <w:t>Consultation</w:t>
      </w:r>
      <w:r w:rsidRPr="00B2005E">
        <w:rPr>
          <w:rStyle w:val="normaltextrun"/>
          <w:rFonts w:asciiTheme="minorHAnsi" w:hAnsiTheme="minorHAnsi" w:cstheme="minorHAnsi"/>
          <w:b/>
          <w:bCs/>
          <w:sz w:val="20"/>
          <w:szCs w:val="20"/>
        </w:rPr>
        <w:t xml:space="preserve"> </w:t>
      </w:r>
      <w:r w:rsidRPr="00B2005E">
        <w:rPr>
          <w:rStyle w:val="normaltextrun"/>
          <w:rFonts w:asciiTheme="minorHAnsi" w:hAnsiTheme="minorHAnsi" w:cstheme="minorHAnsi"/>
          <w:b/>
          <w:bCs/>
          <w:sz w:val="20"/>
          <w:szCs w:val="20"/>
        </w:rPr>
        <w:t>submission</w:t>
      </w:r>
    </w:p>
    <w:p w:rsidR="00B321E1" w:rsidRPr="00B2005E" w:rsidP="00B2005E">
      <w:pPr>
        <w:pStyle w:val="paragraph"/>
        <w:spacing w:before="0" w:beforeAutospacing="0" w:after="0" w:afterAutospacing="0"/>
        <w:textAlignment w:val="baseline"/>
        <w:rPr>
          <w:rStyle w:val="eop"/>
          <w:rFonts w:asciiTheme="minorHAnsi" w:hAnsiTheme="minorHAnsi" w:cstheme="minorHAnsi"/>
          <w:sz w:val="20"/>
          <w:szCs w:val="20"/>
        </w:rPr>
      </w:pPr>
    </w:p>
    <w:p w:rsidR="00B321E1" w:rsidRPr="00B2005E" w:rsidP="00B2005E">
      <w:pPr>
        <w:pStyle w:val="paragraph"/>
        <w:spacing w:before="0" w:beforeAutospacing="0" w:after="0" w:afterAutospacing="0"/>
        <w:textAlignment w:val="baseline"/>
        <w:rPr>
          <w:rStyle w:val="eop"/>
          <w:rFonts w:asciiTheme="minorHAnsi" w:hAnsiTheme="minorHAnsi" w:cstheme="minorHAnsi"/>
          <w:sz w:val="20"/>
          <w:szCs w:val="20"/>
        </w:rPr>
      </w:pPr>
      <w:r w:rsidRPr="00B2005E">
        <w:rPr>
          <w:rStyle w:val="eop"/>
          <w:rFonts w:asciiTheme="minorHAnsi" w:hAnsiTheme="minorHAnsi" w:cstheme="minorHAnsi"/>
          <w:sz w:val="20"/>
          <w:szCs w:val="20"/>
        </w:rPr>
        <w:t xml:space="preserve">In 2024, BCC published a </w:t>
      </w:r>
      <w:r w:rsidRPr="00B2005E">
        <w:rPr>
          <w:rStyle w:val="eop"/>
          <w:rFonts w:asciiTheme="minorHAnsi" w:hAnsiTheme="minorHAnsi" w:cstheme="minorHAnsi"/>
          <w:i/>
          <w:iCs/>
          <w:sz w:val="20"/>
          <w:szCs w:val="20"/>
        </w:rPr>
        <w:t>Visitor Economy</w:t>
      </w:r>
      <w:r w:rsidRPr="00B2005E">
        <w:rPr>
          <w:rStyle w:val="eop"/>
          <w:rFonts w:asciiTheme="minorHAnsi" w:hAnsiTheme="minorHAnsi" w:cstheme="minorHAnsi"/>
          <w:sz w:val="20"/>
          <w:szCs w:val="20"/>
        </w:rPr>
        <w:t xml:space="preserve"> report. The full response can be found here - </w:t>
      </w:r>
      <w:r>
        <w:fldChar w:fldCharType="begin"/>
      </w:r>
      <w:r>
        <w:instrText xml:space="preserve"> HYPERLINK "https://www.britishchambers.org.uk/news/2024/10/government-action-needed-to-boost-vital-32bn-visitor-economy/" </w:instrText>
      </w:r>
      <w:r>
        <w:fldChar w:fldCharType="separate"/>
      </w:r>
      <w:r w:rsidRPr="00B2005E">
        <w:rPr>
          <w:rStyle w:val="Hyperlink"/>
          <w:rFonts w:asciiTheme="minorHAnsi" w:hAnsiTheme="minorHAnsi" w:cstheme="minorHAnsi"/>
          <w:sz w:val="20"/>
          <w:szCs w:val="20"/>
        </w:rPr>
        <w:t>https://www.britishchambers.org.uk/news/2024/10/government-action-needed-to-boost-vital-32bn-visitor-economy/</w:t>
      </w:r>
      <w:r>
        <w:fldChar w:fldCharType="end"/>
      </w:r>
      <w:r w:rsidRPr="00B2005E">
        <w:rPr>
          <w:rStyle w:val="eop"/>
          <w:rFonts w:asciiTheme="minorHAnsi" w:hAnsiTheme="minorHAnsi" w:cstheme="minorHAnsi"/>
          <w:sz w:val="20"/>
          <w:szCs w:val="20"/>
        </w:rPr>
        <w:t xml:space="preserve"> </w:t>
      </w:r>
    </w:p>
    <w:p w:rsidR="00B321E1" w:rsidRPr="00B2005E" w:rsidP="00B2005E">
      <w:pPr>
        <w:pStyle w:val="p1"/>
        <w:rPr>
          <w:rStyle w:val="eop"/>
          <w:rFonts w:asciiTheme="minorHAnsi" w:hAnsiTheme="minorHAnsi" w:cstheme="minorHAnsi"/>
          <w:sz w:val="20"/>
          <w:szCs w:val="20"/>
          <w:shd w:val="clear" w:color="auto" w:fill="FFFFFF"/>
        </w:rPr>
      </w:pPr>
    </w:p>
    <w:p w:rsidR="00B321E1" w:rsidRPr="00B2005E" w:rsidP="00B2005E">
      <w:pPr>
        <w:pStyle w:val="p1"/>
        <w:rPr>
          <w:rStyle w:val="eop"/>
          <w:rFonts w:asciiTheme="minorHAnsi" w:hAnsiTheme="minorHAnsi" w:cstheme="minorHAnsi"/>
          <w:sz w:val="20"/>
          <w:szCs w:val="20"/>
          <w:shd w:val="clear" w:color="auto" w:fill="FFFFFF"/>
        </w:rPr>
      </w:pPr>
      <w:r w:rsidRPr="00B2005E">
        <w:rPr>
          <w:rFonts w:asciiTheme="minorHAnsi" w:hAnsiTheme="minorHAnsi" w:cstheme="minorHAnsi"/>
          <w:sz w:val="20"/>
          <w:szCs w:val="20"/>
        </w:rPr>
        <w:t>The visitor economy in the United Kingdom is a vital component of the nation's overall economic landscape. The sector encompasses tourism, hospitality, and leisure activities and contributes significantly to GDP and employment. It is an essential facet of a thriving society, and businesses are integral to its success.</w:t>
      </w:r>
    </w:p>
    <w:p w:rsidR="00B321E1" w:rsidRPr="00B2005E" w:rsidP="00B2005E">
      <w:pPr>
        <w:pStyle w:val="p1"/>
        <w:rPr>
          <w:rStyle w:val="eop"/>
          <w:rFonts w:asciiTheme="minorHAnsi" w:hAnsiTheme="minorHAnsi" w:cstheme="minorHAnsi"/>
          <w:sz w:val="20"/>
          <w:szCs w:val="20"/>
          <w:shd w:val="clear" w:color="auto" w:fill="FFFFFF"/>
        </w:rPr>
      </w:pP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normaltextrun"/>
          <w:rFonts w:asciiTheme="minorHAnsi" w:hAnsiTheme="minorHAnsi" w:cstheme="minorHAnsi"/>
          <w:color w:val="000000"/>
          <w:sz w:val="20"/>
          <w:szCs w:val="20"/>
        </w:rPr>
        <w:t>Across the UK, the Chamber network is a crucial cog in the system of supporting and growing the visitor economy in local areas. Many chamber members are firmly based within the visitor economy and play a vital role in the success of the sector. Hospitality venues, hotels and attractions, for example, are at the heart of local communities, driving local economic growth. Chambers also provide a voice for the local visitor economy, to local and national policy makers </w:t>
      </w:r>
      <w:r w:rsidRPr="00B2005E">
        <w:rPr>
          <w:rStyle w:val="eop"/>
          <w:rFonts w:asciiTheme="minorHAnsi" w:hAnsiTheme="minorHAnsi" w:cstheme="minorHAnsi"/>
          <w:color w:val="000000"/>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eop"/>
          <w:rFonts w:asciiTheme="minorHAnsi" w:hAnsiTheme="minorHAnsi" w:cstheme="minorHAnsi"/>
          <w:color w:val="000000"/>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normaltextrun"/>
          <w:rFonts w:asciiTheme="minorHAnsi" w:hAnsiTheme="minorHAnsi" w:cstheme="minorHAnsi"/>
          <w:color w:val="000000"/>
          <w:sz w:val="20"/>
          <w:szCs w:val="20"/>
        </w:rPr>
        <w:t>The visitor economy is critical to the wider success of the UK economy and has a significant role to play in driving economic growth, both in the immediate future and the longer term.  </w:t>
      </w:r>
      <w:r w:rsidRPr="00B2005E">
        <w:rPr>
          <w:rStyle w:val="eop"/>
          <w:rFonts w:asciiTheme="minorHAnsi" w:hAnsiTheme="minorHAnsi" w:cstheme="minorHAnsi"/>
          <w:color w:val="000000"/>
          <w:sz w:val="20"/>
          <w:szCs w:val="20"/>
        </w:rPr>
        <w:t> </w:t>
      </w:r>
    </w:p>
    <w:p w:rsidR="00B321E1" w:rsidRPr="00B2005E" w:rsidP="00B2005E">
      <w:pPr>
        <w:pStyle w:val="p1"/>
        <w:rPr>
          <w:rStyle w:val="eop"/>
          <w:rFonts w:asciiTheme="minorHAnsi" w:hAnsiTheme="minorHAnsi" w:cstheme="minorHAnsi"/>
          <w:sz w:val="20"/>
          <w:szCs w:val="20"/>
          <w:shd w:val="clear" w:color="auto" w:fill="FFFFFF"/>
        </w:rPr>
      </w:pPr>
    </w:p>
    <w:p w:rsidR="00B321E1" w:rsidRPr="00B2005E" w:rsidP="00B2005E">
      <w:pPr>
        <w:pStyle w:val="p1"/>
        <w:rPr>
          <w:rFonts w:asciiTheme="minorHAnsi" w:hAnsiTheme="minorHAnsi" w:cstheme="minorHAnsi"/>
          <w:sz w:val="20"/>
          <w:szCs w:val="20"/>
        </w:rPr>
      </w:pPr>
    </w:p>
    <w:p w:rsidR="00B321E1" w:rsidRPr="00B2005E" w:rsidP="00B2005E">
      <w:pPr>
        <w:pStyle w:val="p1"/>
        <w:rPr>
          <w:rFonts w:asciiTheme="minorHAnsi" w:hAnsiTheme="minorHAnsi" w:cstheme="minorHAnsi"/>
          <w:b/>
          <w:bCs/>
          <w:sz w:val="20"/>
          <w:szCs w:val="20"/>
        </w:rPr>
      </w:pPr>
      <w:r w:rsidRPr="00B2005E">
        <w:rPr>
          <w:rFonts w:asciiTheme="minorHAnsi" w:hAnsiTheme="minorHAnsi" w:cstheme="minorHAnsi"/>
          <w:b/>
          <w:bCs/>
          <w:sz w:val="20"/>
          <w:szCs w:val="20"/>
        </w:rPr>
        <w:t xml:space="preserve">Consultation questions </w:t>
      </w:r>
    </w:p>
    <w:p w:rsidR="00B321E1" w:rsidRPr="00B2005E" w:rsidP="00B2005E">
      <w:pPr>
        <w:pStyle w:val="p1"/>
        <w:rPr>
          <w:rFonts w:asciiTheme="minorHAnsi" w:hAnsiTheme="minorHAnsi" w:cstheme="minorHAnsi"/>
          <w:b/>
          <w:bCs/>
          <w:sz w:val="20"/>
          <w:szCs w:val="20"/>
        </w:rPr>
      </w:pPr>
    </w:p>
    <w:p w:rsidR="00B321E1" w:rsidRPr="00B2005E" w:rsidP="00B2005E">
      <w:pPr>
        <w:pStyle w:val="NormalWeb"/>
        <w:spacing w:before="0" w:beforeAutospacing="0" w:after="270" w:afterAutospacing="0"/>
        <w:rPr>
          <w:rFonts w:asciiTheme="minorHAnsi" w:hAnsiTheme="minorHAnsi" w:cstheme="minorHAnsi"/>
          <w:b/>
          <w:bCs/>
          <w:sz w:val="20"/>
          <w:szCs w:val="20"/>
        </w:rPr>
      </w:pPr>
      <w:r w:rsidRPr="00B2005E">
        <w:rPr>
          <w:rFonts w:asciiTheme="minorHAnsi" w:hAnsiTheme="minorHAnsi" w:cstheme="minorHAnsi"/>
          <w:b/>
          <w:bCs/>
          <w:sz w:val="20"/>
          <w:szCs w:val="20"/>
        </w:rPr>
        <w:t xml:space="preserve">Tax Burden </w:t>
      </w:r>
    </w:p>
    <w:p w:rsidR="00B321E1" w:rsidRPr="00B2005E" w:rsidP="00B2005E">
      <w:pPr>
        <w:pStyle w:val="NormalWeb"/>
        <w:spacing w:before="0" w:beforeAutospacing="0" w:after="270" w:afterAutospacing="0"/>
        <w:rPr>
          <w:rStyle w:val="normaltextrun"/>
          <w:rFonts w:asciiTheme="minorHAnsi" w:hAnsiTheme="minorHAnsi" w:cstheme="minorHAnsi"/>
          <w:color w:val="000000"/>
          <w:sz w:val="20"/>
          <w:szCs w:val="20"/>
          <w:shd w:val="clear" w:color="auto" w:fill="FFFFFF"/>
        </w:rPr>
      </w:pPr>
      <w:r w:rsidRPr="00B2005E">
        <w:rPr>
          <w:rStyle w:val="normaltextrun"/>
          <w:rFonts w:asciiTheme="minorHAnsi" w:hAnsiTheme="minorHAnsi" w:cstheme="minorHAnsi"/>
          <w:color w:val="000000"/>
          <w:sz w:val="20"/>
          <w:szCs w:val="20"/>
          <w:shd w:val="clear" w:color="auto" w:fill="FFFFFF"/>
        </w:rPr>
        <w:t xml:space="preserve">When it comes to tourist taxation, the overall tax burden on visitors is already relatively high, with the 20% VAT rate alone placing the UK with a higher tax burden than its international competitors. Analysis by the Tourism Alliance showed that the total amount of tax paid by visitors to the other 12 destinations they studied was, on average, 30% less than in the UK. </w:t>
      </w:r>
    </w:p>
    <w:p w:rsidR="00B321E1" w:rsidRPr="00B2005E" w:rsidP="00B2005E">
      <w:pPr>
        <w:pStyle w:val="paragraph"/>
        <w:shd w:val="clear" w:color="auto" w:fill="FFFFFF"/>
        <w:spacing w:before="0" w:beforeAutospacing="0" w:after="0" w:afterAutospacing="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Despite the positive visitor spending figures outlined above, many UK businesses are concerned that they are unable to compete on an equal footing with European destinations, and that as a result, international shoppers appear to be looking outside the UK for holidays and retail offering.  </w:t>
      </w:r>
      <w:r w:rsidRPr="00B2005E">
        <w:rPr>
          <w:rStyle w:val="normaltextrun"/>
          <w:rFonts w:asciiTheme="minorHAnsi" w:hAnsiTheme="minorHAnsi" w:cstheme="minorHAnsi"/>
          <w:color w:val="0B0C0C"/>
          <w:sz w:val="20"/>
          <w:szCs w:val="20"/>
        </w:rPr>
        <w:t> </w:t>
      </w:r>
      <w:r w:rsidRPr="00B2005E">
        <w:rPr>
          <w:rStyle w:val="eop"/>
          <w:rFonts w:asciiTheme="minorHAnsi" w:hAnsiTheme="minorHAnsi" w:cstheme="minorHAnsi"/>
          <w:color w:val="0B0C0C"/>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eop"/>
          <w:rFonts w:asciiTheme="minorHAnsi" w:hAnsiTheme="minorHAnsi" w:cstheme="minorHAnsi"/>
          <w:sz w:val="20"/>
          <w:szCs w:val="20"/>
        </w:rPr>
        <w:t> </w:t>
      </w:r>
    </w:p>
    <w:p w:rsidR="00B321E1" w:rsidRPr="00B2005E" w:rsidP="00B2005E">
      <w:pPr>
        <w:pStyle w:val="paragraph"/>
        <w:shd w:val="clear" w:color="auto" w:fill="FFFFFF"/>
        <w:spacing w:before="0" w:beforeAutospacing="0" w:after="0" w:afterAutospacing="0"/>
        <w:textAlignment w:val="baseline"/>
        <w:rPr>
          <w:rStyle w:val="eop"/>
          <w:rFonts w:asciiTheme="minorHAnsi" w:hAnsiTheme="minorHAnsi" w:cstheme="minorHAnsi"/>
          <w:sz w:val="20"/>
          <w:szCs w:val="20"/>
        </w:rPr>
      </w:pPr>
      <w:r w:rsidRPr="00B2005E">
        <w:rPr>
          <w:rStyle w:val="normaltextrun"/>
          <w:rFonts w:asciiTheme="minorHAnsi" w:hAnsiTheme="minorHAnsi" w:cstheme="minorHAnsi"/>
          <w:sz w:val="20"/>
          <w:szCs w:val="20"/>
        </w:rPr>
        <w:t>As a result of the removal of the VAT Retail Export Scheme (RES), businesses report that spending that used to take place in shops and airports in the UK is now going overseas. The RES brought visitors to the UK from all over the world, and the subsequent international sales made up a large proportion of sales for UK retailers. Visitors spent their money not only on retail purchases, but also on retail-associated sectors, including tourist attractions, cultural sites, hotels, entertainment, and hospitality.</w:t>
      </w:r>
      <w:r w:rsidRPr="00B2005E">
        <w:rPr>
          <w:rStyle w:val="normaltextrun"/>
          <w:rFonts w:asciiTheme="minorHAnsi" w:hAnsiTheme="minorHAnsi" w:cstheme="minorHAnsi"/>
          <w:sz w:val="20"/>
          <w:szCs w:val="20"/>
        </w:rPr>
        <w:t> </w:t>
      </w:r>
      <w:r w:rsidRPr="00B2005E">
        <w:rPr>
          <w:rStyle w:val="eop"/>
          <w:rFonts w:asciiTheme="minorHAnsi" w:hAnsiTheme="minorHAnsi" w:cstheme="minorHAnsi"/>
          <w:sz w:val="20"/>
          <w:szCs w:val="20"/>
        </w:rPr>
        <w:t> </w:t>
      </w:r>
    </w:p>
    <w:p w:rsidR="00B321E1" w:rsidRPr="00B2005E" w:rsidP="00B2005E">
      <w:pPr>
        <w:pStyle w:val="paragraph"/>
        <w:shd w:val="clear" w:color="auto" w:fill="FFFFFF"/>
        <w:spacing w:before="0" w:beforeAutospacing="0" w:after="0" w:afterAutospacing="0"/>
        <w:textAlignment w:val="baseline"/>
        <w:rPr>
          <w:rStyle w:val="normaltextrun"/>
          <w:rFonts w:asciiTheme="minorHAnsi" w:hAnsiTheme="minorHAnsi" w:cstheme="minorHAnsi"/>
          <w:sz w:val="20"/>
          <w:szCs w:val="20"/>
        </w:rPr>
      </w:pPr>
    </w:p>
    <w:p w:rsidR="00B321E1" w:rsidRPr="00B2005E" w:rsidP="00B2005E">
      <w:pPr>
        <w:pStyle w:val="paragraph"/>
        <w:shd w:val="clear" w:color="auto" w:fill="FFFFFF"/>
        <w:spacing w:before="0" w:beforeAutospacing="0" w:after="0" w:afterAutospacing="0"/>
        <w:textAlignment w:val="baseline"/>
        <w:rPr>
          <w:rStyle w:val="eop"/>
          <w:rFonts w:asciiTheme="minorHAnsi" w:hAnsiTheme="minorHAnsi" w:cstheme="minorHAnsi"/>
          <w:sz w:val="20"/>
          <w:szCs w:val="20"/>
        </w:rPr>
      </w:pPr>
      <w:r w:rsidRPr="00B2005E">
        <w:rPr>
          <w:rStyle w:val="normaltextrun"/>
          <w:rFonts w:asciiTheme="minorHAnsi" w:hAnsiTheme="minorHAnsi" w:cstheme="minorHAnsi"/>
          <w:sz w:val="20"/>
          <w:szCs w:val="20"/>
        </w:rPr>
        <w:t>At the same time, we are seeing European destinations proactively targeting tourists, encouraging them to take advantage of tax-free shopping by placing adverts on the London Underground and in the UK’s busiest airports. </w:t>
      </w:r>
      <w:r w:rsidRPr="00B2005E">
        <w:rPr>
          <w:rStyle w:val="eop"/>
          <w:rFonts w:asciiTheme="minorHAnsi" w:hAnsiTheme="minorHAnsi" w:cstheme="minorHAnsi"/>
          <w:sz w:val="20"/>
          <w:szCs w:val="20"/>
        </w:rPr>
        <w:t> </w:t>
      </w:r>
    </w:p>
    <w:p w:rsidR="00B321E1" w:rsidRPr="00B2005E" w:rsidP="00B2005E">
      <w:pPr>
        <w:pStyle w:val="paragraph"/>
        <w:shd w:val="clear" w:color="auto" w:fill="FFFFFF"/>
        <w:spacing w:before="0" w:beforeAutospacing="0" w:after="0" w:afterAutospacing="0"/>
        <w:textAlignment w:val="baseline"/>
        <w:rPr>
          <w:rFonts w:asciiTheme="minorHAnsi" w:hAnsiTheme="minorHAnsi" w:cstheme="minorHAnsi"/>
          <w:sz w:val="20"/>
          <w:szCs w:val="20"/>
        </w:rPr>
      </w:pP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 xml:space="preserve">There is a misconception that reinstating VAT RES would only benefit luxury retailers in the capital, however this is not the case. VAT RES is a pro-growth policy for the whole of the UK, and will help reverse the drain of investment away from our cities. In 2019, tax-free shopping sales amounted to £60m in Manchester, £32m in Liverpool, £23m in Glasgow, £18m in Leeds, and £14m in Birmingham. Without VAT RES, retailers like Cluny Lace in Derbyshire, makers of Burberry products in Nottinghamshire, and hotel </w:t>
      </w:r>
      <w:r w:rsidRPr="00B2005E">
        <w:rPr>
          <w:rStyle w:val="normaltextrun"/>
          <w:rFonts w:asciiTheme="minorHAnsi" w:hAnsiTheme="minorHAnsi" w:cstheme="minorHAnsi"/>
          <w:sz w:val="20"/>
          <w:szCs w:val="20"/>
        </w:rPr>
        <w:t>staff in Scotland als</w:t>
      </w:r>
      <w:r w:rsidRPr="00B2005E">
        <w:rPr>
          <w:rStyle w:val="normaltextrun"/>
          <w:rFonts w:asciiTheme="minorHAnsi" w:hAnsiTheme="minorHAnsi" w:cstheme="minorHAnsi"/>
          <w:sz w:val="20"/>
          <w:szCs w:val="20"/>
        </w:rPr>
        <w:t xml:space="preserve">o suffer. </w:t>
      </w:r>
    </w:p>
    <w:p w:rsidR="00B321E1" w:rsidRPr="00B2005E" w:rsidP="00B2005E">
      <w:pPr>
        <w:pStyle w:val="p1"/>
        <w:rPr>
          <w:rFonts w:asciiTheme="minorHAnsi" w:hAnsiTheme="minorHAnsi" w:cstheme="minorHAnsi"/>
          <w:b/>
          <w:bCs/>
          <w:sz w:val="20"/>
          <w:szCs w:val="20"/>
        </w:rPr>
      </w:pPr>
    </w:p>
    <w:p w:rsidR="00B321E1" w:rsidRPr="00B2005E" w:rsidP="00B2005E">
      <w:pPr>
        <w:pStyle w:val="p1"/>
        <w:rPr>
          <w:rStyle w:val="normaltextrun"/>
          <w:rFonts w:asciiTheme="minorHAnsi" w:hAnsiTheme="minorHAnsi" w:cstheme="minorHAnsi"/>
          <w:b/>
          <w:bCs/>
          <w:sz w:val="20"/>
          <w:szCs w:val="20"/>
          <w:bdr w:val="nil"/>
        </w:rPr>
      </w:pPr>
      <w:r w:rsidRPr="00B2005E">
        <w:rPr>
          <w:rStyle w:val="normaltextrun"/>
          <w:rFonts w:asciiTheme="minorHAnsi" w:hAnsiTheme="minorHAnsi" w:cstheme="minorHAnsi"/>
          <w:b/>
          <w:bCs/>
          <w:sz w:val="20"/>
          <w:szCs w:val="20"/>
          <w:bdr w:val="nil"/>
        </w:rPr>
        <w:t>Workforce in the Visitor Economy</w:t>
      </w:r>
    </w:p>
    <w:p w:rsidR="00B321E1" w:rsidRPr="00B2005E" w:rsidP="00B2005E">
      <w:pPr>
        <w:pStyle w:val="p1"/>
        <w:rPr>
          <w:rStyle w:val="normaltextrun"/>
          <w:rFonts w:asciiTheme="minorHAnsi" w:hAnsiTheme="minorHAnsi" w:cstheme="minorHAnsi"/>
          <w:b/>
          <w:bCs/>
          <w:sz w:val="20"/>
          <w:szCs w:val="20"/>
          <w:bdr w:val="nil"/>
        </w:rPr>
      </w:pP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 xml:space="preserve">The visitor economy is a people-centred industry.  It relies on its ability to recruit, retrain and train a skilled and engaged workforce. Businesses in the sector are local employers, creating diverse, flexible and inclusive workforces. Many firms work with schools, job centres and local third sector organisations to provide </w:t>
      </w:r>
      <w:r w:rsidRPr="00B2005E">
        <w:rPr>
          <w:rStyle w:val="normaltextrun"/>
          <w:rFonts w:asciiTheme="minorHAnsi" w:hAnsiTheme="minorHAnsi" w:cstheme="minorHAnsi"/>
          <w:sz w:val="20"/>
          <w:szCs w:val="20"/>
        </w:rPr>
        <w:t>opportunities for a wide range of talent pools in their local communities, offering employment and training opportunities to people from all walks of life. </w:t>
      </w: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Like many sectors in the UK economy, however, the visitor economy is experiencing workforce shortages. Shortages are pronounced in sectors such as hospitality, transportation and retail, which are integral to travel and tourism. </w:t>
      </w: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Addressing these shortages is essential for sustaining growth and maintaining the UK's reputation as a premier global destination. </w:t>
      </w:r>
      <w:r w:rsidRPr="00B2005E">
        <w:rPr>
          <w:rStyle w:val="eop"/>
          <w:rFonts w:asciiTheme="minorHAnsi" w:hAnsiTheme="minorHAnsi" w:cstheme="minorHAnsi"/>
          <w:sz w:val="20"/>
          <w:szCs w:val="20"/>
        </w:rPr>
        <w:t> </w:t>
      </w:r>
    </w:p>
    <w:p w:rsidR="00B321E1" w:rsidRPr="00B2005E" w:rsidP="00B2005E">
      <w:pPr>
        <w:pStyle w:val="p1"/>
        <w:rPr>
          <w:rFonts w:asciiTheme="minorHAnsi" w:hAnsiTheme="minorHAnsi" w:cstheme="minorHAnsi"/>
          <w:b/>
          <w:bCs/>
          <w:sz w:val="20"/>
          <w:szCs w:val="20"/>
        </w:rPr>
      </w:pP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Several factors have contributed to the current workforce shortages:</w:t>
      </w: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eop"/>
          <w:rFonts w:asciiTheme="minorHAnsi" w:hAnsiTheme="minorHAnsi" w:cstheme="minorHAnsi"/>
          <w:sz w:val="20"/>
          <w:szCs w:val="20"/>
        </w:rPr>
        <w:t> </w:t>
      </w:r>
    </w:p>
    <w:p w:rsidR="00B321E1" w:rsidRPr="00B2005E" w:rsidP="00B2005E">
      <w:pPr>
        <w:pStyle w:val="paragraph"/>
        <w:numPr>
          <w:ilvl w:val="0"/>
          <w:numId w:val="9"/>
        </w:numPr>
        <w:spacing w:before="0" w:beforeAutospacing="0" w:after="0" w:afterAutospacing="0"/>
        <w:ind w:left="1080" w:firstLine="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High rates of economic inactivity, currently at 21.9%, further exacerbate the issue. This inactivity is driven by various factors, including health problems, caring responsibilities, and early retirement.</w:t>
      </w: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eop"/>
          <w:rFonts w:asciiTheme="minorHAnsi" w:hAnsiTheme="minorHAnsi" w:cstheme="minorHAnsi"/>
          <w:sz w:val="20"/>
          <w:szCs w:val="20"/>
        </w:rPr>
        <w:t> </w:t>
      </w:r>
    </w:p>
    <w:p w:rsidR="00B321E1" w:rsidRPr="00B2005E" w:rsidP="00B2005E">
      <w:pPr>
        <w:pStyle w:val="paragraph"/>
        <w:numPr>
          <w:ilvl w:val="0"/>
          <w:numId w:val="10"/>
        </w:numPr>
        <w:spacing w:before="0" w:beforeAutospacing="0" w:after="0" w:afterAutospacing="0"/>
        <w:ind w:left="1080" w:firstLine="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The UK’s exit from the European Union reduced the pool of available workers, especially in seasonal positions that are crucial for the visitor economy.</w:t>
      </w: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ind w:firstLine="150"/>
        <w:textAlignment w:val="baseline"/>
        <w:rPr>
          <w:rFonts w:asciiTheme="minorHAnsi" w:hAnsiTheme="minorHAnsi" w:cstheme="minorHAnsi"/>
          <w:sz w:val="20"/>
          <w:szCs w:val="20"/>
        </w:rPr>
      </w:pPr>
      <w:r w:rsidRPr="00B2005E">
        <w:rPr>
          <w:rStyle w:val="eop"/>
          <w:rFonts w:asciiTheme="minorHAnsi" w:hAnsiTheme="minorHAnsi" w:cstheme="minorHAnsi"/>
          <w:sz w:val="20"/>
          <w:szCs w:val="20"/>
        </w:rPr>
        <w:t> </w:t>
      </w:r>
    </w:p>
    <w:p w:rsidR="00B321E1" w:rsidRPr="00B2005E" w:rsidP="00B2005E">
      <w:pPr>
        <w:pStyle w:val="paragraph"/>
        <w:numPr>
          <w:ilvl w:val="0"/>
          <w:numId w:val="11"/>
        </w:numPr>
        <w:spacing w:before="0" w:beforeAutospacing="0" w:after="0" w:afterAutospacing="0"/>
        <w:ind w:left="1080" w:firstLine="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The Covid-19 pandemic led to widespread layoffs and furlough, causing many workers to leave the sector or change careers. As the economy reopened, attracting these workers back has proven challenging.</w:t>
      </w: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eop"/>
          <w:rFonts w:asciiTheme="minorHAnsi" w:hAnsiTheme="minorHAnsi" w:cstheme="minorHAnsi"/>
          <w:sz w:val="20"/>
          <w:szCs w:val="20"/>
        </w:rPr>
        <w:t> </w:t>
      </w:r>
    </w:p>
    <w:p w:rsidR="00B321E1" w:rsidRPr="00B2005E" w:rsidP="00B2005E">
      <w:pPr>
        <w:pStyle w:val="paragraph"/>
        <w:numPr>
          <w:ilvl w:val="0"/>
          <w:numId w:val="12"/>
        </w:numPr>
        <w:spacing w:before="0" w:beforeAutospacing="0" w:after="0" w:afterAutospacing="0"/>
        <w:ind w:left="1080" w:firstLine="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The Points Based Immigration System presents a barrier for businesses seeking to address immediate skills shortages with non-UK labour.  Increased visa fees and surcharges, along with a higher minimum salary threshold for skilled workers, have made it expensive for businesses, especially SMEs, to recruit from abroad. </w:t>
      </w: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Fonts w:asciiTheme="minorHAnsi" w:hAnsiTheme="minorHAnsi" w:cstheme="minorHAnsi"/>
          <w:sz w:val="20"/>
          <w:szCs w:val="20"/>
        </w:rPr>
      </w:pPr>
      <w:r w:rsidRPr="00B2005E">
        <w:rPr>
          <w:rStyle w:val="normaltextrun"/>
          <w:rFonts w:asciiTheme="minorHAnsi" w:hAnsiTheme="minorHAnsi" w:cstheme="minorHAnsi"/>
          <w:sz w:val="20"/>
          <w:szCs w:val="20"/>
        </w:rPr>
        <w:t>The impact of workforce shortages on the visitor economy is multifaceted. Staff shortages have impacted on the morale and wellbeing of remaining workers, which could lead to further staff absence and retention issues.   People shortages have also disrupted normal business operations. Some firms have been unable to satisfy order books or accept new business opportunities.  All this poses a risk to service quality and customer satisfaction, potentially harming the UK's reputation as a tourist destination. Unl</w:t>
      </w:r>
      <w:r w:rsidRPr="00B2005E">
        <w:rPr>
          <w:rStyle w:val="normaltextrun"/>
          <w:rFonts w:asciiTheme="minorHAnsi" w:hAnsiTheme="minorHAnsi" w:cstheme="minorHAnsi"/>
          <w:sz w:val="20"/>
          <w:szCs w:val="20"/>
        </w:rPr>
        <w:t>ess resolved, hard to fill job vacancies and skills mismatches will damage business confidence, curtail investment and act as a drag anchor on economic growth.  </w:t>
      </w:r>
      <w:r w:rsidRPr="00B2005E">
        <w:rPr>
          <w:rStyle w:val="eop"/>
          <w:rFonts w:asciiTheme="minorHAnsi" w:hAnsiTheme="minorHAnsi" w:cstheme="minorHAnsi"/>
          <w:sz w:val="20"/>
          <w:szCs w:val="20"/>
        </w:rPr>
        <w:t> </w:t>
      </w:r>
    </w:p>
    <w:p w:rsidR="00B321E1" w:rsidRPr="00B2005E" w:rsidP="00B2005E">
      <w:pPr>
        <w:pStyle w:val="paragraph"/>
        <w:spacing w:before="0" w:beforeAutospacing="0" w:after="0" w:afterAutospacing="0"/>
        <w:textAlignment w:val="baseline"/>
        <w:rPr>
          <w:rStyle w:val="eop"/>
          <w:rFonts w:asciiTheme="minorHAnsi" w:hAnsiTheme="minorHAnsi" w:cstheme="minorHAnsi"/>
          <w:sz w:val="20"/>
          <w:szCs w:val="20"/>
        </w:rPr>
      </w:pPr>
    </w:p>
    <w:p w:rsidR="00B321E1" w:rsidRPr="00B2005E" w:rsidP="00B2005E">
      <w:pPr>
        <w:pStyle w:val="paragraph"/>
        <w:rPr>
          <w:rFonts w:asciiTheme="minorHAnsi" w:hAnsiTheme="minorHAnsi" w:cstheme="minorHAnsi"/>
          <w:sz w:val="20"/>
          <w:szCs w:val="20"/>
        </w:rPr>
      </w:pPr>
      <w:r w:rsidRPr="00B2005E">
        <w:rPr>
          <w:rStyle w:val="eop"/>
          <w:rFonts w:asciiTheme="minorHAnsi" w:hAnsiTheme="minorHAnsi" w:cstheme="minorHAnsi"/>
          <w:sz w:val="20"/>
          <w:szCs w:val="20"/>
        </w:rPr>
        <w:t>We would be happy to discuss our submission in more detail. If you have any questions about our submission, please contact Jonny Haseldine (Head of Business Environment Policy) at the BCC</w:t>
      </w:r>
      <w:r w:rsidR="001374D1">
        <w:rPr>
          <w:rStyle w:val="eop"/>
          <w:rFonts w:asciiTheme="minorHAnsi" w:hAnsiTheme="minorHAnsi" w:cstheme="minorHAnsi"/>
          <w:sz w:val="20"/>
          <w:szCs w:val="20"/>
        </w:rPr>
        <w:t>.</w:t>
      </w:r>
      <w:r w:rsidRPr="00B2005E">
        <w:rPr>
          <w:rStyle w:val="eop"/>
          <w:rFonts w:asciiTheme="minorHAnsi" w:hAnsiTheme="minorHAnsi" w:cstheme="minorHAnsi"/>
          <w:sz w:val="20"/>
          <w:szCs w:val="20"/>
        </w:rPr>
        <w:t xml:space="preserve"> </w:t>
      </w:r>
    </w:p>
    <w:p w:rsidR="00B321E1" w:rsidP="0022E8CE">
      <w:pPr>
        <w:pBdr>
          <w:bottom w:val="single" w:sz="6" w:space="1" w:color="auto"/>
        </w:pBdr>
        <w:jc w:val="both"/>
        <w:rPr>
          <w:rFonts w:ascii="Calibri" w:hAnsi="Calibri" w:cs="Calibri"/>
          <w:sz w:val="22"/>
          <w:szCs w:val="22"/>
        </w:rPr>
      </w:pPr>
    </w:p>
    <w:p w:rsidR="00B321E1" w:rsidP="0022E8CE">
      <w:pPr>
        <w:pStyle w:val="paragraph"/>
        <w:spacing w:before="0" w:beforeAutospacing="0" w:after="0" w:afterAutospacing="0"/>
        <w:jc w:val="both"/>
        <w:rPr>
          <w:rStyle w:val="normaltextrun"/>
          <w:rFonts w:ascii="Calibri" w:hAnsi="Calibri" w:cs="Calibri"/>
          <w:b/>
          <w:bCs/>
          <w:sz w:val="22"/>
          <w:szCs w:val="22"/>
        </w:rPr>
      </w:pPr>
    </w:p>
    <w:p w:rsidR="00B321E1" w:rsidP="0022E8CE">
      <w:pPr>
        <w:pStyle w:val="paragraph"/>
        <w:spacing w:before="0" w:beforeAutospacing="0" w:after="0" w:afterAutospacing="0"/>
        <w:jc w:val="both"/>
        <w:rPr>
          <w:rFonts w:ascii="Segoe UI" w:hAnsi="Segoe UI" w:cs="Segoe UI"/>
          <w:sz w:val="18"/>
          <w:szCs w:val="18"/>
        </w:rPr>
      </w:pPr>
      <w:r w:rsidRPr="0022E8CE">
        <w:rPr>
          <w:rStyle w:val="normaltextrun"/>
          <w:rFonts w:ascii="Calibri" w:hAnsi="Calibri" w:cs="Calibri"/>
          <w:b/>
          <w:bCs/>
          <w:sz w:val="22"/>
          <w:szCs w:val="22"/>
        </w:rPr>
        <w:t>About the British Chambers of Commerce (BCC)</w:t>
      </w:r>
      <w:r w:rsidRPr="0022E8CE">
        <w:rPr>
          <w:rStyle w:val="eop"/>
          <w:rFonts w:ascii="Calibri" w:hAnsi="Calibri" w:cs="Calibri"/>
          <w:sz w:val="22"/>
          <w:szCs w:val="22"/>
        </w:rPr>
        <w:t> </w:t>
      </w:r>
    </w:p>
    <w:p w:rsidR="00B321E1" w:rsidP="0022E8CE">
      <w:pPr>
        <w:pStyle w:val="paragraph"/>
        <w:spacing w:before="0" w:beforeAutospacing="0" w:after="0" w:afterAutospacing="0"/>
        <w:jc w:val="both"/>
        <w:rPr>
          <w:rFonts w:ascii="Segoe UI" w:hAnsi="Segoe UI" w:cs="Segoe UI"/>
          <w:sz w:val="18"/>
          <w:szCs w:val="18"/>
        </w:rPr>
      </w:pPr>
      <w:r w:rsidRPr="0022E8CE">
        <w:rPr>
          <w:rStyle w:val="normaltextrun"/>
          <w:rFonts w:ascii="Calibri" w:hAnsi="Calibri" w:cs="Calibri"/>
          <w:sz w:val="22"/>
          <w:szCs w:val="22"/>
        </w:rPr>
        <w:t>  </w:t>
      </w:r>
    </w:p>
    <w:p w:rsidR="00B321E1" w:rsidP="0022E8CE">
      <w:pPr>
        <w:pStyle w:val="paragraph"/>
        <w:spacing w:before="0" w:beforeAutospacing="0" w:after="0" w:afterAutospacing="0"/>
        <w:jc w:val="both"/>
        <w:rPr>
          <w:rFonts w:ascii="Segoe UI" w:hAnsi="Segoe UI" w:cs="Segoe UI"/>
          <w:sz w:val="18"/>
          <w:szCs w:val="18"/>
        </w:rPr>
      </w:pPr>
      <w:r w:rsidRPr="0022E8CE">
        <w:rPr>
          <w:rStyle w:val="normaltextrun"/>
          <w:rFonts w:ascii="Calibri" w:hAnsi="Calibri" w:cs="Calibri"/>
          <w:sz w:val="22"/>
          <w:szCs w:val="22"/>
        </w:rPr>
        <w:t>Across the UK, the 51 Accredited Chambers that make up our network are trusted champions of businesses, places, and global trade. Together, we represent tens of thousands of businesses of all shapes and sizes, which employ almost six million people across the UK. Our growing Global Business Network also connects exporters with over 70 markets around the world.   </w:t>
      </w:r>
    </w:p>
    <w:p w:rsidR="00B321E1" w:rsidP="0022E8CE">
      <w:pPr>
        <w:pStyle w:val="paragraph"/>
        <w:spacing w:before="0" w:beforeAutospacing="0" w:after="0" w:afterAutospacing="0"/>
        <w:jc w:val="both"/>
        <w:rPr>
          <w:rFonts w:ascii="Segoe UI" w:hAnsi="Segoe UI" w:cs="Segoe UI"/>
          <w:sz w:val="18"/>
          <w:szCs w:val="18"/>
        </w:rPr>
      </w:pPr>
      <w:r w:rsidRPr="0022E8CE">
        <w:rPr>
          <w:rStyle w:val="normaltextrun"/>
          <w:rFonts w:ascii="Calibri" w:hAnsi="Calibri" w:cs="Calibri"/>
          <w:sz w:val="22"/>
          <w:szCs w:val="22"/>
        </w:rPr>
        <w:t>  </w:t>
      </w:r>
    </w:p>
    <w:p w:rsidR="00B321E1" w:rsidP="001374D1">
      <w:pPr>
        <w:pStyle w:val="paragraph"/>
        <w:spacing w:before="0" w:beforeAutospacing="0" w:after="0" w:afterAutospacing="0"/>
        <w:jc w:val="both"/>
        <w:rPr>
          <w:rFonts w:ascii="Calibri" w:hAnsi="Calibri" w:cs="Calibri"/>
          <w:sz w:val="22"/>
          <w:szCs w:val="22"/>
        </w:rPr>
      </w:pPr>
      <w:r w:rsidRPr="0022E8CE">
        <w:rPr>
          <w:rStyle w:val="normaltextrun"/>
          <w:rFonts w:ascii="Calibri" w:hAnsi="Calibri" w:cs="Calibri"/>
          <w:sz w:val="22"/>
          <w:szCs w:val="22"/>
        </w:rPr>
        <w:t>Working together, we help firms of all sizes to achieve more. We believe our relationships with others lead us to achieve goals beyond those we could ever achieve alone. We are the only organisation that helps British businesses to build relationships on every level, in every region and nation of the UK. Our network exists to support and connect companies, bringing together firms to build new relationships, share best practice, foster new opportunities, and provide practical support to help member businesse</w:t>
      </w:r>
      <w:r w:rsidRPr="0022E8CE">
        <w:rPr>
          <w:rStyle w:val="normaltextrun"/>
          <w:rFonts w:ascii="Calibri" w:hAnsi="Calibri" w:cs="Calibri"/>
          <w:sz w:val="22"/>
          <w:szCs w:val="22"/>
        </w:rPr>
        <w:t>s trade locally, nationally, and globally.   </w:t>
      </w:r>
    </w:p>
    <w:sectPr w:rsidSect="001374D1">
      <w:headerReference w:type="default" r:id="rId8"/>
      <w:footerReference w:type="even" r:id="rId9"/>
      <w:footerReference w:type="default" r:id="rId10"/>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025823054"/>
      <w:docPartObj>
        <w:docPartGallery w:val="Page Numbers (Bottom of Page)"/>
        <w:docPartUnique/>
      </w:docPartObj>
    </w:sdtPr>
    <w:sdtEndPr>
      <w:rPr>
        <w:rStyle w:val="PageNumber"/>
      </w:rPr>
    </w:sdtEndPr>
    <w:sdtContent>
      <w:p w:rsidR="00B321E1" w:rsidP="00ED04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B321E1" w:rsidP="008D5DF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21E1" w:rsidP="0022E8CE">
    <w:pPr>
      <w:pStyle w:val="Footer"/>
      <w:jc w:val="center"/>
    </w:pPr>
    <w:r>
      <w:fldChar w:fldCharType="begin"/>
    </w:r>
    <w:r>
      <w:instrText>PAGE</w:instrText>
    </w:r>
    <w:r>
      <w:fldChar w:fldCharType="separate"/>
    </w:r>
    <w:r>
      <w:rPr>
        <w:noProof/>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05"/>
      <w:gridCol w:w="3005"/>
      <w:gridCol w:w="3005"/>
    </w:tblGrid>
    <w:tr w:rsidTr="0022E8CE">
      <w:tblPrEx>
        <w:tblW w:w="0" w:type="auto"/>
        <w:tblLook w:val="06A0"/>
      </w:tblPrEx>
      <w:trPr>
        <w:trHeight w:val="300"/>
      </w:trPr>
      <w:tc>
        <w:tcPr>
          <w:tcW w:w="3005" w:type="dxa"/>
        </w:tcPr>
        <w:p w:rsidR="00B321E1" w:rsidP="0022E8CE">
          <w:pPr>
            <w:pStyle w:val="Header"/>
            <w:ind w:left="-115"/>
          </w:pPr>
        </w:p>
      </w:tc>
      <w:tc>
        <w:tcPr>
          <w:tcW w:w="3005" w:type="dxa"/>
        </w:tcPr>
        <w:p w:rsidR="00B321E1" w:rsidP="0022E8CE">
          <w:pPr>
            <w:pStyle w:val="Header"/>
            <w:jc w:val="center"/>
          </w:pPr>
        </w:p>
      </w:tc>
      <w:tc>
        <w:tcPr>
          <w:tcW w:w="3005" w:type="dxa"/>
        </w:tcPr>
        <w:p w:rsidR="00B321E1" w:rsidP="0022E8CE">
          <w:pPr>
            <w:pStyle w:val="Header"/>
            <w:ind w:right="-115"/>
            <w:jc w:val="right"/>
          </w:pPr>
        </w:p>
      </w:tc>
    </w:tr>
  </w:tbl>
  <w:p w:rsidR="00B321E1" w:rsidP="0022E8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2D7D31"/>
    <w:multiLevelType w:val="hybridMultilevel"/>
    <w:tmpl w:val="1B58769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11467A5"/>
    <w:multiLevelType w:val="hybridMultilevel"/>
    <w:tmpl w:val="08AE5D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BF40878"/>
    <w:multiLevelType w:val="hybridMultilevel"/>
    <w:tmpl w:val="5D4481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2C92A34"/>
    <w:multiLevelType w:val="multilevel"/>
    <w:tmpl w:val="825C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23679A0"/>
    <w:multiLevelType w:val="hybridMultilevel"/>
    <w:tmpl w:val="63E4B9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95413A9"/>
    <w:multiLevelType w:val="multilevel"/>
    <w:tmpl w:val="DF08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7F1E0AC"/>
    <w:multiLevelType w:val="hybridMultilevel"/>
    <w:tmpl w:val="4126BD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1E4521D"/>
    <w:multiLevelType w:val="multilevel"/>
    <w:tmpl w:val="B07C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8CB3BC0"/>
    <w:multiLevelType w:val="hybridMultilevel"/>
    <w:tmpl w:val="F9606FE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D2C3B1F"/>
    <w:multiLevelType w:val="multilevel"/>
    <w:tmpl w:val="9B86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56C2DAD"/>
    <w:multiLevelType w:val="hybridMultilevel"/>
    <w:tmpl w:val="163685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9330DA9"/>
    <w:multiLevelType w:val="hybridMultilevel"/>
    <w:tmpl w:val="B5B678DA"/>
    <w:lvl w:ilvl="0">
      <w:start w:val="25"/>
      <w:numFmt w:val="bullet"/>
      <w:lvlText w:val="-"/>
      <w:lvlJc w:val="left"/>
      <w:pPr>
        <w:ind w:left="720" w:hanging="36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11"/>
  </w:num>
  <w:num w:numId="5">
    <w:abstractNumId w:val="10"/>
  </w:num>
  <w:num w:numId="6">
    <w:abstractNumId w:val="8"/>
  </w:num>
  <w:num w:numId="7">
    <w:abstractNumId w:val="0"/>
  </w:num>
  <w:num w:numId="8">
    <w:abstractNumId w:val="1"/>
  </w:num>
  <w:num w:numId="9">
    <w:abstractNumId w:val="3"/>
  </w:num>
  <w:num w:numId="10">
    <w:abstractNumId w:val="9"/>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057C8"/>
    <w:pPr>
      <w:spacing w:before="100" w:beforeAutospacing="1" w:after="100" w:afterAutospacing="1"/>
    </w:pPr>
    <w:rPr>
      <w:rFonts w:ascii="Times New Roman" w:eastAsia="Times New Roman" w:hAnsi="Times New Roman" w:cs="Times New Roman"/>
      <w:kern w:val="0"/>
      <w:lang w:eastAsia="en-GB"/>
    </w:rPr>
  </w:style>
  <w:style w:type="character" w:customStyle="1" w:styleId="normaltextrun">
    <w:name w:val="normaltextrun"/>
    <w:basedOn w:val="DefaultParagraphFont"/>
    <w:rsid w:val="005057C8"/>
  </w:style>
  <w:style w:type="character" w:customStyle="1" w:styleId="eop">
    <w:name w:val="eop"/>
    <w:basedOn w:val="DefaultParagraphFont"/>
    <w:rsid w:val="005057C8"/>
  </w:style>
  <w:style w:type="character" w:styleId="Hyperlink">
    <w:name w:val="Hyperlink"/>
    <w:basedOn w:val="DefaultParagraphFont"/>
    <w:uiPriority w:val="99"/>
    <w:unhideWhenUsed/>
    <w:rsid w:val="005057C8"/>
    <w:rPr>
      <w:color w:val="0563C1" w:themeColor="hyperlink"/>
      <w:u w:val="single"/>
    </w:rPr>
  </w:style>
  <w:style w:type="character" w:customStyle="1" w:styleId="UnresolvedMention1">
    <w:name w:val="Unresolved Mention1"/>
    <w:basedOn w:val="DefaultParagraphFont"/>
    <w:uiPriority w:val="99"/>
    <w:semiHidden/>
    <w:unhideWhenUsed/>
    <w:rsid w:val="005057C8"/>
    <w:rPr>
      <w:color w:val="605E5C"/>
      <w:shd w:val="clear" w:color="auto" w:fill="E1DFDD"/>
    </w:rPr>
  </w:style>
  <w:style w:type="paragraph" w:styleId="Revision">
    <w:name w:val="Revision"/>
    <w:hidden/>
    <w:uiPriority w:val="99"/>
    <w:semiHidden/>
    <w:rsid w:val="00FF36EE"/>
  </w:style>
  <w:style w:type="character" w:customStyle="1" w:styleId="wacimagecontainer">
    <w:name w:val="wacimagecontainer"/>
    <w:basedOn w:val="DefaultParagraphFont"/>
    <w:rsid w:val="000E1DAC"/>
  </w:style>
  <w:style w:type="character" w:styleId="FollowedHyperlink">
    <w:name w:val="FollowedHyperlink"/>
    <w:basedOn w:val="DefaultParagraphFont"/>
    <w:uiPriority w:val="99"/>
    <w:semiHidden/>
    <w:unhideWhenUsed/>
    <w:rsid w:val="000525A8"/>
    <w:rPr>
      <w:color w:val="954F72" w:themeColor="followedHyperlink"/>
      <w:u w:val="single"/>
    </w:rPr>
  </w:style>
  <w:style w:type="paragraph" w:styleId="Footer">
    <w:name w:val="footer"/>
    <w:basedOn w:val="Normal"/>
    <w:link w:val="FooterChar"/>
    <w:uiPriority w:val="99"/>
    <w:unhideWhenUsed/>
    <w:rsid w:val="008D5DF6"/>
    <w:pPr>
      <w:tabs>
        <w:tab w:val="center" w:pos="4513"/>
        <w:tab w:val="right" w:pos="9026"/>
      </w:tabs>
    </w:pPr>
  </w:style>
  <w:style w:type="character" w:customStyle="1" w:styleId="FooterChar">
    <w:name w:val="Footer Char"/>
    <w:basedOn w:val="DefaultParagraphFont"/>
    <w:link w:val="Footer"/>
    <w:uiPriority w:val="99"/>
    <w:rsid w:val="008D5DF6"/>
  </w:style>
  <w:style w:type="character" w:styleId="PageNumber">
    <w:name w:val="page number"/>
    <w:basedOn w:val="DefaultParagraphFont"/>
    <w:uiPriority w:val="99"/>
    <w:semiHidden/>
    <w:unhideWhenUsed/>
    <w:rsid w:val="008D5DF6"/>
  </w:style>
  <w:style w:type="paragraph" w:styleId="FootnoteText">
    <w:name w:val="footnote text"/>
    <w:basedOn w:val="Normal"/>
    <w:link w:val="FootnoteTextChar"/>
    <w:uiPriority w:val="99"/>
    <w:semiHidden/>
    <w:unhideWhenUsed/>
    <w:rsid w:val="00667446"/>
    <w:rPr>
      <w:sz w:val="20"/>
      <w:szCs w:val="20"/>
    </w:rPr>
  </w:style>
  <w:style w:type="character" w:customStyle="1" w:styleId="FootnoteTextChar">
    <w:name w:val="Footnote Text Char"/>
    <w:basedOn w:val="DefaultParagraphFont"/>
    <w:link w:val="FootnoteText"/>
    <w:uiPriority w:val="99"/>
    <w:semiHidden/>
    <w:rsid w:val="00667446"/>
    <w:rPr>
      <w:sz w:val="20"/>
      <w:szCs w:val="20"/>
    </w:rPr>
  </w:style>
  <w:style w:type="character" w:styleId="FootnoteReference">
    <w:name w:val="footnote reference"/>
    <w:basedOn w:val="DefaultParagraphFont"/>
    <w:uiPriority w:val="99"/>
    <w:semiHidden/>
    <w:unhideWhenUsed/>
    <w:rsid w:val="00667446"/>
    <w:rPr>
      <w:vertAlign w:val="superscript"/>
    </w:rPr>
  </w:style>
  <w:style w:type="paragraph" w:styleId="ListParagraph">
    <w:name w:val="List Paragraph"/>
    <w:basedOn w:val="Normal"/>
    <w:uiPriority w:val="34"/>
    <w:qFormat/>
    <w:rsid w:val="00983B20"/>
    <w:pPr>
      <w:ind w:left="720"/>
      <w:contextualSpacing/>
    </w:pPr>
  </w:style>
  <w:style w:type="paragraph" w:styleId="Header">
    <w:name w:val="header"/>
    <w:basedOn w:val="Normal"/>
    <w:uiPriority w:val="99"/>
    <w:unhideWhenUsed/>
    <w:rsid w:val="0022E8CE"/>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1">
    <w:name w:val="p1"/>
    <w:basedOn w:val="Normal"/>
    <w:rsid w:val="006C3706"/>
    <w:rPr>
      <w:rFonts w:ascii="Helvetica" w:eastAsia="Times New Roman" w:hAnsi="Helvetica" w:cs="Times New Roman"/>
      <w:color w:val="000000"/>
      <w:kern w:val="0"/>
      <w:sz w:val="21"/>
      <w:szCs w:val="21"/>
      <w:lang w:eastAsia="en-GB"/>
    </w:rPr>
  </w:style>
  <w:style w:type="paragraph" w:styleId="NormalWeb">
    <w:name w:val="Normal (Web)"/>
    <w:basedOn w:val="Normal"/>
    <w:uiPriority w:val="99"/>
    <w:semiHidden/>
    <w:unhideWhenUsed/>
    <w:rsid w:val="00F321D1"/>
    <w:pPr>
      <w:spacing w:before="100" w:beforeAutospacing="1" w:after="100" w:afterAutospacing="1"/>
    </w:pPr>
    <w:rPr>
      <w:rFonts w:ascii="Times New Roman" w:eastAsia="Times New Roman" w:hAnsi="Times New Roman" w:cs="Times New Roman"/>
      <w:kern w:val="0"/>
      <w:lang w:eastAsia="en-GB"/>
    </w:rPr>
  </w:style>
  <w:style w:type="character" w:customStyle="1" w:styleId="superscript">
    <w:name w:val="superscript"/>
    <w:basedOn w:val="DefaultParagraphFont"/>
    <w:rsid w:val="00B20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212ba6-c15b-45de-910c-1c3db2844c6d" xsi:nil="true"/>
    <lcf76f155ced4ddcb4097134ff3c332f xmlns="c9d2b13e-c067-402a-9adc-24d95a9d124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E4C758DCB1904F8DABBE3B78082C02" ma:contentTypeVersion="18" ma:contentTypeDescription="Create a new document." ma:contentTypeScope="" ma:versionID="71b31695c9f91ce4a30d3674d10ed5e4">
  <xsd:schema xmlns:xsd="http://www.w3.org/2001/XMLSchema" xmlns:xs="http://www.w3.org/2001/XMLSchema" xmlns:p="http://schemas.microsoft.com/office/2006/metadata/properties" xmlns:ns2="c9d2b13e-c067-402a-9adc-24d95a9d124a" xmlns:ns3="eb212ba6-c15b-45de-910c-1c3db2844c6d" targetNamespace="http://schemas.microsoft.com/office/2006/metadata/properties" ma:root="true" ma:fieldsID="aac8029b196637fcce32c424e35223b7" ns2:_="" ns3:_="">
    <xsd:import namespace="c9d2b13e-c067-402a-9adc-24d95a9d124a"/>
    <xsd:import namespace="eb212ba6-c15b-45de-910c-1c3db2844c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d2b13e-c067-402a-9adc-24d95a9d1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61568-6b6c-49e4-a62e-ed2e219daf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212ba6-c15b-45de-910c-1c3db2844c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bc3689-4ffd-4d13-974d-4362dd739a2a}" ma:internalName="TaxCatchAll" ma:showField="CatchAllData" ma:web="eb212ba6-c15b-45de-910c-1c3db2844c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32BEC-E881-4337-9CC8-A75BD961126D}">
  <ds:schemaRefs>
    <ds:schemaRef ds:uri="http://schemas.microsoft.com/office/2006/metadata/properties"/>
    <ds:schemaRef ds:uri="http://schemas.microsoft.com/office/infopath/2007/PartnerControls"/>
    <ds:schemaRef ds:uri="eb212ba6-c15b-45de-910c-1c3db2844c6d"/>
    <ds:schemaRef ds:uri="c9d2b13e-c067-402a-9adc-24d95a9d124a"/>
  </ds:schemaRefs>
</ds:datastoreItem>
</file>

<file path=customXml/itemProps2.xml><?xml version="1.0" encoding="utf-8"?>
<ds:datastoreItem xmlns:ds="http://schemas.openxmlformats.org/officeDocument/2006/customXml" ds:itemID="{2E29FB58-33AB-4DE0-A7FA-BD5190CEB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d2b13e-c067-402a-9adc-24d95a9d124a"/>
    <ds:schemaRef ds:uri="eb212ba6-c15b-45de-910c-1c3db2844c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C9DC52-9494-44D8-9559-24715C3A4A14}">
  <ds:schemaRefs>
    <ds:schemaRef ds:uri="http://schemas.microsoft.com/sharepoint/v3/contenttype/forms"/>
  </ds:schemaRefs>
</ds:datastoreItem>
</file>

<file path=customXml/itemProps4.xml><?xml version="1.0" encoding="utf-8"?>
<ds:datastoreItem xmlns:ds="http://schemas.openxmlformats.org/officeDocument/2006/customXml" ds:itemID="{BF85262C-BF13-D545-95F0-F839B696DC8C}">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TOU0040</dc:title>
  <cp:revision>0</cp:revision>
</cp:coreProperties>
</file>