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35B8" w:rsidP="009064B3">
      <w:pPr>
        <w:spacing w:line="360" w:lineRule="auto"/>
        <w:jc w:val="center"/>
        <w:rPr>
          <w:rFonts w:ascii="Arial" w:eastAsia="Arial" w:hAnsi="Arial" w:cs="Arial"/>
          <w:b/>
          <w:bCs/>
          <w:sz w:val="22"/>
          <w:szCs w:val="22"/>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9064B3">
        <w:rPr>
          <w:rFonts w:ascii="Calibri" w:hAnsi="Calibri" w:cs="Calibri"/>
          <w:sz w:val="28"/>
          <w:szCs w:val="28"/>
        </w:rPr>
        <w:t>Environmental Horticulture Group</w:t>
      </w:r>
      <w:r>
        <w:rPr>
          <w:rFonts w:ascii="Calibri" w:hAnsi="Calibri" w:cs="Calibri"/>
          <w:sz w:val="28"/>
          <w:szCs w:val="28"/>
        </w:rPr>
        <w:br/>
      </w:r>
    </w:p>
    <w:p w:rsidR="00D535B8" w:rsidP="4AE1BBCA">
      <w:pPr>
        <w:spacing w:line="257" w:lineRule="auto"/>
        <w:rPr>
          <w:rFonts w:ascii="Arial" w:eastAsia="Arial" w:hAnsi="Arial" w:cs="Arial"/>
          <w:sz w:val="22"/>
          <w:szCs w:val="22"/>
        </w:rPr>
      </w:pPr>
      <w:r w:rsidRPr="41341AE5">
        <w:rPr>
          <w:rFonts w:ascii="Arial" w:eastAsia="Arial" w:hAnsi="Arial" w:cs="Arial"/>
          <w:b/>
          <w:bCs/>
          <w:sz w:val="22"/>
          <w:szCs w:val="22"/>
        </w:rPr>
        <w:t>A</w:t>
      </w:r>
      <w:r w:rsidRPr="41341AE5">
        <w:rPr>
          <w:rFonts w:ascii="Arial" w:eastAsia="Arial" w:hAnsi="Arial" w:cs="Arial"/>
          <w:b/>
          <w:bCs/>
          <w:sz w:val="22"/>
          <w:szCs w:val="22"/>
        </w:rPr>
        <w:t>bout the Environmental Horticulture Group</w:t>
      </w:r>
    </w:p>
    <w:p w:rsidR="00D535B8" w:rsidP="7C1F84C9">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The Environmental Horticulture Group</w:t>
      </w:r>
      <w:r w:rsidRPr="5EA1F6DB">
        <w:rPr>
          <w:rFonts w:ascii="Arial" w:eastAsia="Arial" w:hAnsi="Arial" w:cs="Arial"/>
          <w:sz w:val="22"/>
          <w:szCs w:val="22"/>
        </w:rPr>
        <w:t xml:space="preserve"> </w:t>
      </w:r>
      <w:r w:rsidRPr="5EA1F6DB">
        <w:rPr>
          <w:rFonts w:ascii="Arial" w:eastAsia="Arial" w:hAnsi="Arial" w:cs="Arial"/>
          <w:sz w:val="22"/>
          <w:szCs w:val="22"/>
        </w:rPr>
        <w:t>(EH</w:t>
      </w:r>
      <w:r w:rsidRPr="5EA1F6DB">
        <w:rPr>
          <w:rFonts w:ascii="Arial" w:eastAsia="Arial" w:hAnsi="Arial" w:cs="Arial"/>
          <w:sz w:val="22"/>
          <w:szCs w:val="22"/>
        </w:rPr>
        <w:t>G)</w:t>
      </w:r>
      <w:r w:rsidRPr="5EA1F6DB">
        <w:rPr>
          <w:rFonts w:ascii="Arial" w:eastAsia="Arial" w:hAnsi="Arial" w:cs="Arial"/>
          <w:sz w:val="22"/>
          <w:szCs w:val="22"/>
        </w:rPr>
        <w:t xml:space="preserve"> represents organisations across the UK’s environmental horticulture, landscaping and arboriculture sectors. Mission Green Growth</w:t>
      </w:r>
      <w:r w:rsidRPr="5EA1F6DB">
        <w:rPr>
          <w:rFonts w:ascii="Arial" w:eastAsia="Arial" w:hAnsi="Arial" w:cs="Arial"/>
          <w:sz w:val="22"/>
          <w:szCs w:val="22"/>
        </w:rPr>
        <w:t xml:space="preserve">, </w:t>
      </w:r>
      <w:r w:rsidRPr="5EA1F6DB">
        <w:rPr>
          <w:rFonts w:ascii="Arial" w:eastAsia="Arial" w:hAnsi="Arial" w:cs="Arial"/>
          <w:sz w:val="22"/>
          <w:szCs w:val="22"/>
        </w:rPr>
        <w:t>the</w:t>
      </w:r>
      <w:r w:rsidRPr="5EA1F6DB">
        <w:rPr>
          <w:rFonts w:ascii="Arial" w:eastAsia="Arial" w:hAnsi="Arial" w:cs="Arial"/>
          <w:sz w:val="22"/>
          <w:szCs w:val="22"/>
        </w:rPr>
        <w:t xml:space="preserve"> </w:t>
      </w:r>
      <w:r w:rsidRPr="5EA1F6DB">
        <w:rPr>
          <w:rFonts w:ascii="Arial" w:eastAsia="Arial" w:hAnsi="Arial" w:cs="Arial"/>
          <w:sz w:val="22"/>
          <w:szCs w:val="22"/>
        </w:rPr>
        <w:t>sec</w:t>
      </w:r>
      <w:r w:rsidRPr="5EA1F6DB">
        <w:rPr>
          <w:rFonts w:ascii="Arial" w:eastAsia="Arial" w:hAnsi="Arial" w:cs="Arial"/>
          <w:sz w:val="22"/>
          <w:szCs w:val="22"/>
        </w:rPr>
        <w:t xml:space="preserve">tor growth </w:t>
      </w:r>
      <w:r w:rsidRPr="5EA1F6DB">
        <w:rPr>
          <w:rFonts w:ascii="Arial" w:eastAsia="Arial" w:hAnsi="Arial" w:cs="Arial"/>
          <w:sz w:val="22"/>
          <w:szCs w:val="22"/>
        </w:rPr>
        <w:t>plan</w:t>
      </w:r>
      <w:r w:rsidRPr="5EA1F6DB">
        <w:rPr>
          <w:rFonts w:ascii="Arial" w:eastAsia="Arial" w:hAnsi="Arial" w:cs="Arial"/>
          <w:sz w:val="22"/>
          <w:szCs w:val="22"/>
        </w:rPr>
        <w:t xml:space="preserve"> </w:t>
      </w:r>
      <w:r w:rsidRPr="5EA1F6DB">
        <w:rPr>
          <w:rFonts w:ascii="Arial" w:eastAsia="Arial" w:hAnsi="Arial" w:cs="Arial"/>
          <w:sz w:val="22"/>
          <w:szCs w:val="22"/>
        </w:rPr>
        <w:t>pu</w:t>
      </w:r>
      <w:r w:rsidRPr="5EA1F6DB">
        <w:rPr>
          <w:rFonts w:ascii="Arial" w:eastAsia="Arial" w:hAnsi="Arial" w:cs="Arial"/>
          <w:sz w:val="22"/>
          <w:szCs w:val="22"/>
        </w:rPr>
        <w:t>bl</w:t>
      </w:r>
      <w:r w:rsidRPr="5EA1F6DB">
        <w:rPr>
          <w:rFonts w:ascii="Arial" w:eastAsia="Arial" w:hAnsi="Arial" w:cs="Arial"/>
          <w:sz w:val="22"/>
          <w:szCs w:val="22"/>
        </w:rPr>
        <w:t>is</w:t>
      </w:r>
      <w:r w:rsidRPr="5EA1F6DB">
        <w:rPr>
          <w:rFonts w:ascii="Arial" w:eastAsia="Arial" w:hAnsi="Arial" w:cs="Arial"/>
          <w:sz w:val="22"/>
          <w:szCs w:val="22"/>
        </w:rPr>
        <w:t xml:space="preserve">hed by the </w:t>
      </w:r>
      <w:r w:rsidRPr="5EA1F6DB">
        <w:rPr>
          <w:rFonts w:ascii="Arial" w:eastAsia="Arial" w:hAnsi="Arial" w:cs="Arial"/>
          <w:sz w:val="22"/>
          <w:szCs w:val="22"/>
        </w:rPr>
        <w:t>E</w:t>
      </w:r>
      <w:r w:rsidRPr="5EA1F6DB">
        <w:rPr>
          <w:rFonts w:ascii="Arial" w:eastAsia="Arial" w:hAnsi="Arial" w:cs="Arial"/>
          <w:sz w:val="22"/>
          <w:szCs w:val="22"/>
        </w:rPr>
        <w:t>HG</w:t>
      </w:r>
      <w:r w:rsidRPr="5EA1F6DB">
        <w:rPr>
          <w:rFonts w:ascii="Arial" w:eastAsia="Arial" w:hAnsi="Arial" w:cs="Arial"/>
          <w:sz w:val="22"/>
          <w:szCs w:val="22"/>
        </w:rPr>
        <w:t xml:space="preserve">, </w:t>
      </w:r>
      <w:r w:rsidRPr="5EA1F6DB">
        <w:rPr>
          <w:rFonts w:ascii="Arial" w:eastAsia="Arial" w:hAnsi="Arial" w:cs="Arial"/>
          <w:sz w:val="22"/>
          <w:szCs w:val="22"/>
        </w:rPr>
        <w:t xml:space="preserve">identifies environmental horticulture as a growth sector that can help deliver economic growth, jobs, skills, nature recovery, climate resilience, health and </w:t>
      </w:r>
      <w:r w:rsidRPr="5EA1F6DB">
        <w:rPr>
          <w:rFonts w:ascii="Arial" w:eastAsia="Arial" w:hAnsi="Arial" w:cs="Arial"/>
          <w:sz w:val="22"/>
          <w:szCs w:val="22"/>
        </w:rPr>
        <w:t xml:space="preserve">more resilient </w:t>
      </w:r>
      <w:r w:rsidRPr="5EA1F6DB">
        <w:rPr>
          <w:rFonts w:ascii="Arial" w:eastAsia="Arial" w:hAnsi="Arial" w:cs="Arial"/>
          <w:sz w:val="22"/>
          <w:szCs w:val="22"/>
        </w:rPr>
        <w:t xml:space="preserve">places. </w:t>
      </w:r>
      <w:r>
        <w:rPr>
          <w:rFonts w:ascii="Arial" w:eastAsia="Arial" w:hAnsi="Arial" w:cs="Arial"/>
          <w:sz w:val="22"/>
          <w:szCs w:val="22"/>
        </w:rPr>
        <w:t xml:space="preserve">A </w:t>
      </w:r>
      <w:r>
        <w:rPr>
          <w:rFonts w:ascii="Arial" w:eastAsia="Arial" w:hAnsi="Arial" w:cs="Arial"/>
          <w:sz w:val="22"/>
          <w:szCs w:val="22"/>
        </w:rPr>
        <w:t xml:space="preserve">2024 </w:t>
      </w:r>
      <w:r>
        <w:rPr>
          <w:rFonts w:ascii="Arial" w:eastAsia="Arial" w:hAnsi="Arial" w:cs="Arial"/>
          <w:sz w:val="22"/>
          <w:szCs w:val="22"/>
        </w:rPr>
        <w:t>R</w:t>
      </w:r>
      <w:r>
        <w:rPr>
          <w:rFonts w:ascii="Arial" w:eastAsia="Arial" w:hAnsi="Arial" w:cs="Arial"/>
          <w:sz w:val="22"/>
          <w:szCs w:val="22"/>
        </w:rPr>
        <w:t>e</w:t>
      </w:r>
      <w:r>
        <w:rPr>
          <w:rFonts w:ascii="Arial" w:eastAsia="Arial" w:hAnsi="Arial" w:cs="Arial"/>
          <w:sz w:val="22"/>
          <w:szCs w:val="22"/>
        </w:rPr>
        <w:t>por</w:t>
      </w:r>
      <w:r>
        <w:rPr>
          <w:rFonts w:ascii="Arial" w:eastAsia="Arial" w:hAnsi="Arial" w:cs="Arial"/>
          <w:sz w:val="22"/>
          <w:szCs w:val="22"/>
        </w:rPr>
        <w:t xml:space="preserve">t on the </w:t>
      </w:r>
      <w:r>
        <w:rPr>
          <w:rFonts w:ascii="Arial" w:eastAsia="Arial" w:hAnsi="Arial" w:cs="Arial"/>
          <w:sz w:val="22"/>
          <w:szCs w:val="22"/>
        </w:rPr>
        <w:t>Env</w:t>
      </w:r>
      <w:r>
        <w:rPr>
          <w:rFonts w:ascii="Arial" w:eastAsia="Arial" w:hAnsi="Arial" w:cs="Arial"/>
          <w:sz w:val="22"/>
          <w:szCs w:val="22"/>
        </w:rPr>
        <w:t>ironmen</w:t>
      </w:r>
      <w:r>
        <w:rPr>
          <w:rFonts w:ascii="Arial" w:eastAsia="Arial" w:hAnsi="Arial" w:cs="Arial"/>
          <w:sz w:val="22"/>
          <w:szCs w:val="22"/>
        </w:rPr>
        <w:t>tal Ho</w:t>
      </w:r>
      <w:r>
        <w:rPr>
          <w:rFonts w:ascii="Arial" w:eastAsia="Arial" w:hAnsi="Arial" w:cs="Arial"/>
          <w:sz w:val="22"/>
          <w:szCs w:val="22"/>
        </w:rPr>
        <w:t>rticul</w:t>
      </w:r>
      <w:r>
        <w:rPr>
          <w:rFonts w:ascii="Arial" w:eastAsia="Arial" w:hAnsi="Arial" w:cs="Arial"/>
          <w:sz w:val="22"/>
          <w:szCs w:val="22"/>
        </w:rPr>
        <w:t>tu</w:t>
      </w:r>
      <w:r>
        <w:rPr>
          <w:rFonts w:ascii="Arial" w:eastAsia="Arial" w:hAnsi="Arial" w:cs="Arial"/>
          <w:sz w:val="22"/>
          <w:szCs w:val="22"/>
        </w:rPr>
        <w:t xml:space="preserve">re </w:t>
      </w:r>
      <w:r>
        <w:rPr>
          <w:rFonts w:ascii="Arial" w:eastAsia="Arial" w:hAnsi="Arial" w:cs="Arial"/>
          <w:sz w:val="22"/>
          <w:szCs w:val="22"/>
        </w:rPr>
        <w:t xml:space="preserve">by </w:t>
      </w:r>
      <w:r w:rsidRPr="5EA1F6DB">
        <w:rPr>
          <w:rFonts w:ascii="Arial" w:eastAsia="Arial" w:hAnsi="Arial" w:cs="Arial"/>
          <w:sz w:val="22"/>
          <w:szCs w:val="22"/>
        </w:rPr>
        <w:t>Oxford Economics estimate</w:t>
      </w:r>
      <w:r>
        <w:rPr>
          <w:rFonts w:ascii="Arial" w:eastAsia="Arial" w:hAnsi="Arial" w:cs="Arial"/>
          <w:sz w:val="22"/>
          <w:szCs w:val="22"/>
        </w:rPr>
        <w:t>d</w:t>
      </w:r>
      <w:r w:rsidRPr="5EA1F6DB">
        <w:rPr>
          <w:rFonts w:ascii="Arial" w:eastAsia="Arial" w:hAnsi="Arial" w:cs="Arial"/>
          <w:sz w:val="22"/>
          <w:szCs w:val="22"/>
        </w:rPr>
        <w:t xml:space="preserve"> that environmental horticulture and landscaping contributed £38bn to UK GDP in 2023 and supported 722,000 jobs, with potential to reach £51.2bn and 763,000 jobs by 2030 with the right policy support. </w:t>
      </w:r>
    </w:p>
    <w:p w:rsidR="00D535B8" w:rsidP="7C1F84C9">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 xml:space="preserve">Garden tourism is a major part of this opportunity. Oxford Economics estimates that visitor spending attributable to parks and gardens supported £6.6bn in GDP in 2023, 117,000 jobs and around £1.6bn in tax revenues. Within the tourism industry specifically, this included £1.8bn in direct GDP, 39,000 jobs and around £400m in tax revenues. </w:t>
      </w:r>
    </w:p>
    <w:p w:rsidR="00D535B8" w:rsidP="00631030">
      <w:pPr>
        <w:pStyle w:val="ListParagraph"/>
        <w:numPr>
          <w:ilvl w:val="0"/>
          <w:numId w:val="1"/>
        </w:numPr>
        <w:spacing w:after="240"/>
        <w:rPr>
          <w:rFonts w:ascii="Arial" w:eastAsia="Arial" w:hAnsi="Arial" w:cs="Arial"/>
          <w:b/>
          <w:bCs/>
          <w:sz w:val="22"/>
          <w:szCs w:val="22"/>
        </w:rPr>
      </w:pPr>
      <w:r w:rsidRPr="5EA1F6DB">
        <w:rPr>
          <w:rFonts w:ascii="Arial" w:eastAsia="Arial" w:hAnsi="Arial" w:cs="Arial"/>
          <w:sz w:val="22"/>
          <w:szCs w:val="22"/>
        </w:rPr>
        <w:t xml:space="preserve">Garden centres are not just retail environments, they </w:t>
      </w:r>
      <w:r w:rsidRPr="5EA1F6DB">
        <w:rPr>
          <w:rFonts w:ascii="Arial" w:eastAsia="Arial" w:hAnsi="Arial" w:cs="Arial"/>
          <w:sz w:val="22"/>
          <w:szCs w:val="22"/>
        </w:rPr>
        <w:t>offer ‘day out’</w:t>
      </w:r>
      <w:r w:rsidRPr="5EA1F6DB">
        <w:rPr>
          <w:rFonts w:ascii="Arial" w:eastAsia="Arial" w:hAnsi="Arial" w:cs="Arial"/>
          <w:sz w:val="22"/>
          <w:szCs w:val="22"/>
        </w:rPr>
        <w:t xml:space="preserve"> experiences for the whole family</w:t>
      </w:r>
      <w:r w:rsidRPr="5EA1F6DB">
        <w:rPr>
          <w:rFonts w:ascii="Arial" w:eastAsia="Arial" w:hAnsi="Arial" w:cs="Arial"/>
          <w:sz w:val="22"/>
          <w:szCs w:val="22"/>
        </w:rPr>
        <w:t>, often attracting visitors to these leisure hubs from significant distances.</w:t>
      </w:r>
      <w:r w:rsidRPr="5EA1F6DB">
        <w:rPr>
          <w:rFonts w:ascii="Arial" w:eastAsia="Arial" w:hAnsi="Arial" w:cs="Arial"/>
          <w:sz w:val="22"/>
          <w:szCs w:val="22"/>
        </w:rPr>
        <w:t xml:space="preserve"> In 2025, there were an estimated 203million visits to garden centres. On average each UK adult visited a garden centre 3.6 times with UK households collectively spending around £9billion on garden retail annually.</w:t>
      </w:r>
    </w:p>
    <w:p w:rsidR="00D535B8" w:rsidP="522D789B">
      <w:pPr>
        <w:spacing w:before="240" w:after="240"/>
        <w:rPr>
          <w:rFonts w:ascii="Arial" w:eastAsia="Arial" w:hAnsi="Arial" w:cs="Arial"/>
          <w:b/>
          <w:bCs/>
          <w:sz w:val="22"/>
          <w:szCs w:val="22"/>
        </w:rPr>
      </w:pPr>
      <w:r w:rsidRPr="5EA1F6DB">
        <w:rPr>
          <w:rFonts w:ascii="Arial" w:eastAsia="Arial" w:hAnsi="Arial" w:cs="Arial"/>
          <w:b/>
          <w:bCs/>
          <w:sz w:val="22"/>
          <w:szCs w:val="22"/>
        </w:rPr>
        <w:t>How effective are government policies in supporting growth, competitiveness and long-term resilience?</w:t>
      </w:r>
    </w:p>
    <w:p w:rsidR="00D535B8" w:rsidP="2B329752">
      <w:pPr>
        <w:pStyle w:val="ListParagraph"/>
        <w:numPr>
          <w:ilvl w:val="0"/>
          <w:numId w:val="1"/>
        </w:numPr>
        <w:spacing w:before="240" w:after="240"/>
        <w:rPr>
          <w:rFonts w:ascii="Arial" w:eastAsia="Arial" w:hAnsi="Arial" w:cs="Arial"/>
          <w:sz w:val="22"/>
          <w:szCs w:val="22"/>
        </w:rPr>
      </w:pPr>
      <w:r w:rsidRPr="2B329752">
        <w:rPr>
          <w:rFonts w:ascii="Arial" w:eastAsia="Arial" w:hAnsi="Arial" w:cs="Arial"/>
          <w:sz w:val="22"/>
          <w:szCs w:val="22"/>
        </w:rPr>
        <w:t>Government</w:t>
      </w:r>
      <w:r w:rsidRPr="5EA1F6DB">
        <w:rPr>
          <w:rFonts w:ascii="Arial" w:eastAsia="Arial" w:hAnsi="Arial" w:cs="Arial"/>
          <w:sz w:val="22"/>
          <w:szCs w:val="22"/>
        </w:rPr>
        <w:t xml:space="preserve"> policy does not yet recognise gardens, parks and horticulture as a major driver of UK tourism. Gardens receive an estimated 36 million visits each year, close to a quarter of all recorded tourist visits, and have outperformed other attraction categories since 1989</w:t>
      </w:r>
      <w:r w:rsidRPr="5EA1F6DB">
        <w:rPr>
          <w:rFonts w:ascii="Arial" w:eastAsia="Arial" w:hAnsi="Arial" w:cs="Arial"/>
          <w:sz w:val="22"/>
          <w:szCs w:val="22"/>
        </w:rPr>
        <w:t xml:space="preserve"> </w:t>
      </w:r>
      <w:r w:rsidRPr="5EA1F6DB">
        <w:rPr>
          <w:rFonts w:ascii="Arial" w:eastAsia="Arial" w:hAnsi="Arial" w:cs="Arial"/>
          <w:sz w:val="22"/>
          <w:szCs w:val="22"/>
        </w:rPr>
        <w:t>according to Visit England data</w:t>
      </w:r>
      <w:r w:rsidRPr="5EA1F6DB">
        <w:rPr>
          <w:rFonts w:ascii="Arial" w:eastAsia="Arial" w:hAnsi="Arial" w:cs="Arial"/>
          <w:sz w:val="22"/>
          <w:szCs w:val="22"/>
        </w:rPr>
        <w:t xml:space="preserve">. Better recognition </w:t>
      </w:r>
      <w:r w:rsidRPr="5EA1F6DB">
        <w:rPr>
          <w:rFonts w:ascii="Arial" w:eastAsia="Arial" w:hAnsi="Arial" w:cs="Arial"/>
          <w:sz w:val="22"/>
          <w:szCs w:val="22"/>
        </w:rPr>
        <w:t xml:space="preserve">of garden tourism </w:t>
      </w:r>
      <w:r w:rsidRPr="5EA1F6DB">
        <w:rPr>
          <w:rFonts w:ascii="Arial" w:eastAsia="Arial" w:hAnsi="Arial" w:cs="Arial"/>
          <w:sz w:val="22"/>
          <w:szCs w:val="22"/>
        </w:rPr>
        <w:t>in</w:t>
      </w:r>
      <w:r w:rsidRPr="5EA1F6DB">
        <w:rPr>
          <w:rFonts w:ascii="Arial" w:eastAsia="Arial" w:hAnsi="Arial" w:cs="Arial"/>
          <w:sz w:val="22"/>
          <w:szCs w:val="22"/>
        </w:rPr>
        <w:t xml:space="preserve"> wider</w:t>
      </w:r>
      <w:r w:rsidRPr="5EA1F6DB">
        <w:rPr>
          <w:rFonts w:ascii="Arial" w:eastAsia="Arial" w:hAnsi="Arial" w:cs="Arial"/>
          <w:sz w:val="22"/>
          <w:szCs w:val="22"/>
        </w:rPr>
        <w:t xml:space="preserve"> tourism policy would support growth, </w:t>
      </w:r>
      <w:r w:rsidRPr="5EA1F6DB">
        <w:rPr>
          <w:rFonts w:ascii="Arial" w:eastAsia="Arial" w:hAnsi="Arial" w:cs="Arial"/>
          <w:sz w:val="22"/>
          <w:szCs w:val="22"/>
        </w:rPr>
        <w:t xml:space="preserve">wider </w:t>
      </w:r>
      <w:r w:rsidRPr="5EA1F6DB">
        <w:rPr>
          <w:rFonts w:ascii="Arial" w:eastAsia="Arial" w:hAnsi="Arial" w:cs="Arial"/>
          <w:sz w:val="22"/>
          <w:szCs w:val="22"/>
        </w:rPr>
        <w:t xml:space="preserve">regional </w:t>
      </w:r>
      <w:r w:rsidRPr="5EA1F6DB">
        <w:rPr>
          <w:rFonts w:ascii="Arial" w:eastAsia="Arial" w:hAnsi="Arial" w:cs="Arial"/>
          <w:sz w:val="22"/>
          <w:szCs w:val="22"/>
        </w:rPr>
        <w:t xml:space="preserve">distribution of visits </w:t>
      </w:r>
      <w:r w:rsidRPr="5EA1F6DB">
        <w:rPr>
          <w:rFonts w:ascii="Arial" w:eastAsia="Arial" w:hAnsi="Arial" w:cs="Arial"/>
          <w:sz w:val="22"/>
          <w:szCs w:val="22"/>
        </w:rPr>
        <w:t xml:space="preserve">and year-round demand. </w:t>
      </w:r>
    </w:p>
    <w:p w:rsidR="00D535B8" w:rsidP="013D50CC">
      <w:pPr>
        <w:spacing w:before="240" w:after="240"/>
        <w:rPr>
          <w:rFonts w:ascii="Arial" w:eastAsia="Arial" w:hAnsi="Arial" w:cs="Arial"/>
          <w:b/>
          <w:bCs/>
          <w:sz w:val="22"/>
          <w:szCs w:val="22"/>
        </w:rPr>
      </w:pPr>
      <w:r w:rsidRPr="5EA1F6DB">
        <w:rPr>
          <w:rFonts w:ascii="Arial" w:eastAsia="Arial" w:hAnsi="Arial" w:cs="Arial"/>
          <w:b/>
          <w:bCs/>
          <w:sz w:val="22"/>
          <w:szCs w:val="22"/>
        </w:rPr>
        <w:t>What are the main barriers to international competitiveness?</w:t>
      </w:r>
    </w:p>
    <w:p w:rsidR="00D535B8" w:rsidP="7900CC0B">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 xml:space="preserve">The UK’s gardens are internationally recognised but underused in overseas promotion. A third of inbound tourist visits already include a garden or park, and 58% of inbound tourists see a UK trip as an opportunity to visit parks and gardens. Government should treat gardens as a core UK tourism asset, alongside heritage, film, culture and countryside. </w:t>
      </w:r>
      <w:r w:rsidRPr="5EA1F6DB">
        <w:rPr>
          <w:rFonts w:ascii="Arial" w:eastAsia="Arial" w:hAnsi="Arial" w:cs="Arial"/>
          <w:sz w:val="22"/>
          <w:szCs w:val="22"/>
        </w:rPr>
        <w:t xml:space="preserve">The UK’s gardens are as iconic and internationally renowned as French vineyards or Spanish beaches - but we don’t promote them in such a way. </w:t>
      </w:r>
      <w:r w:rsidRPr="5EA1F6DB">
        <w:rPr>
          <w:rFonts w:ascii="Arial" w:eastAsia="Arial" w:hAnsi="Arial" w:cs="Arial"/>
          <w:sz w:val="22"/>
          <w:szCs w:val="22"/>
        </w:rPr>
        <w:t>Limited</w:t>
      </w:r>
      <w:r w:rsidRPr="5EA1F6DB">
        <w:rPr>
          <w:rFonts w:ascii="Arial" w:eastAsia="Arial" w:hAnsi="Arial" w:cs="Arial"/>
          <w:sz w:val="22"/>
          <w:szCs w:val="22"/>
        </w:rPr>
        <w:t xml:space="preserve"> </w:t>
      </w:r>
      <w:r w:rsidRPr="5EA1F6DB">
        <w:rPr>
          <w:rFonts w:ascii="Arial" w:eastAsia="Arial" w:hAnsi="Arial" w:cs="Arial"/>
          <w:sz w:val="22"/>
          <w:szCs w:val="22"/>
        </w:rPr>
        <w:t>VisitBritain</w:t>
      </w:r>
      <w:r w:rsidRPr="5EA1F6DB">
        <w:rPr>
          <w:rFonts w:ascii="Arial" w:eastAsia="Arial" w:hAnsi="Arial" w:cs="Arial"/>
          <w:sz w:val="22"/>
          <w:szCs w:val="22"/>
        </w:rPr>
        <w:t xml:space="preserve">/England funding </w:t>
      </w:r>
      <w:r w:rsidRPr="5EA1F6DB">
        <w:rPr>
          <w:rFonts w:ascii="Arial" w:eastAsia="Arial" w:hAnsi="Arial" w:cs="Arial"/>
          <w:sz w:val="22"/>
          <w:szCs w:val="22"/>
        </w:rPr>
        <w:t xml:space="preserve">means only a </w:t>
      </w:r>
      <w:r w:rsidRPr="5EA1F6DB">
        <w:rPr>
          <w:rFonts w:ascii="Arial" w:eastAsia="Arial" w:hAnsi="Arial" w:cs="Arial"/>
          <w:sz w:val="22"/>
          <w:szCs w:val="22"/>
        </w:rPr>
        <w:t xml:space="preserve">small slice of what we offer </w:t>
      </w:r>
      <w:r w:rsidRPr="5EA1F6DB">
        <w:rPr>
          <w:rFonts w:ascii="Arial" w:eastAsia="Arial" w:hAnsi="Arial" w:cs="Arial"/>
          <w:sz w:val="22"/>
          <w:szCs w:val="22"/>
        </w:rPr>
        <w:t>is seen by an international audience</w:t>
      </w:r>
      <w:r w:rsidRPr="5EA1F6DB">
        <w:rPr>
          <w:rFonts w:ascii="Arial" w:eastAsia="Arial" w:hAnsi="Arial" w:cs="Arial"/>
          <w:sz w:val="22"/>
          <w:szCs w:val="22"/>
        </w:rPr>
        <w:t xml:space="preserve">. </w:t>
      </w:r>
    </w:p>
    <w:p w:rsidR="00D535B8" w:rsidP="5F940653">
      <w:pPr>
        <w:spacing w:before="240" w:after="240"/>
        <w:rPr>
          <w:rFonts w:ascii="Arial" w:eastAsia="Arial" w:hAnsi="Arial" w:cs="Arial"/>
          <w:b/>
          <w:bCs/>
          <w:sz w:val="22"/>
          <w:szCs w:val="22"/>
        </w:rPr>
      </w:pPr>
      <w:r w:rsidRPr="5EA1F6DB">
        <w:rPr>
          <w:rFonts w:ascii="Arial" w:eastAsia="Arial" w:hAnsi="Arial" w:cs="Arial"/>
          <w:b/>
          <w:bCs/>
          <w:sz w:val="22"/>
          <w:szCs w:val="22"/>
        </w:rPr>
        <w:t>How effectively do government structures support the tourism sector?</w:t>
      </w:r>
    </w:p>
    <w:p w:rsidR="00D535B8" w:rsidP="2FC22281">
      <w:pPr>
        <w:pStyle w:val="ListParagraph"/>
        <w:numPr>
          <w:ilvl w:val="0"/>
          <w:numId w:val="1"/>
        </w:numPr>
        <w:rPr>
          <w:rFonts w:ascii="Arial" w:eastAsia="Arial" w:hAnsi="Arial" w:cs="Arial"/>
          <w:sz w:val="22"/>
          <w:szCs w:val="22"/>
        </w:rPr>
      </w:pPr>
      <w:r w:rsidRPr="2FC22281">
        <w:rPr>
          <w:rFonts w:ascii="Arial" w:eastAsia="Arial" w:hAnsi="Arial" w:cs="Arial"/>
          <w:sz w:val="22"/>
          <w:szCs w:val="22"/>
        </w:rPr>
        <w:t>Tourism</w:t>
      </w:r>
      <w:r w:rsidRPr="5EA1F6DB">
        <w:rPr>
          <w:rFonts w:ascii="Arial" w:eastAsia="Arial" w:hAnsi="Arial" w:cs="Arial"/>
          <w:sz w:val="22"/>
          <w:szCs w:val="22"/>
        </w:rPr>
        <w:t xml:space="preserve"> policy does not sufficiently reflect the cross-departmental nature of gardens and green spaces. </w:t>
      </w:r>
      <w:r w:rsidRPr="5EA1F6DB">
        <w:rPr>
          <w:rFonts w:ascii="Arial" w:eastAsia="Arial" w:hAnsi="Arial" w:cs="Arial"/>
          <w:sz w:val="22"/>
          <w:szCs w:val="22"/>
        </w:rPr>
        <w:t>The g</w:t>
      </w:r>
      <w:r w:rsidRPr="5EA1F6DB">
        <w:rPr>
          <w:rFonts w:ascii="Arial" w:eastAsia="Arial" w:hAnsi="Arial" w:cs="Arial"/>
          <w:sz w:val="22"/>
          <w:szCs w:val="22"/>
        </w:rPr>
        <w:t xml:space="preserve">arden tourism supply chain depends on growers, plant producers, landscapers and designers, all of which are facing distinct challenges. </w:t>
      </w:r>
      <w:r w:rsidRPr="5EA1F6DB">
        <w:rPr>
          <w:rFonts w:ascii="Arial" w:eastAsia="Arial" w:hAnsi="Arial" w:cs="Arial"/>
          <w:sz w:val="22"/>
          <w:szCs w:val="22"/>
        </w:rPr>
        <w:t xml:space="preserve">The </w:t>
      </w:r>
      <w:r w:rsidRPr="5EA1F6DB">
        <w:rPr>
          <w:rFonts w:ascii="Arial" w:eastAsia="Arial" w:hAnsi="Arial" w:cs="Arial"/>
          <w:sz w:val="22"/>
          <w:szCs w:val="22"/>
        </w:rPr>
        <w:t>EHG</w:t>
      </w:r>
      <w:r w:rsidRPr="5EA1F6DB">
        <w:rPr>
          <w:rFonts w:ascii="Arial" w:eastAsia="Arial" w:hAnsi="Arial" w:cs="Arial"/>
          <w:sz w:val="22"/>
          <w:szCs w:val="22"/>
        </w:rPr>
        <w:t xml:space="preserve">s </w:t>
      </w:r>
      <w:r w:rsidRPr="5EA1F6DB">
        <w:rPr>
          <w:rFonts w:ascii="Arial" w:eastAsia="Arial" w:hAnsi="Arial" w:cs="Arial"/>
          <w:sz w:val="22"/>
          <w:szCs w:val="22"/>
        </w:rPr>
        <w:t>Mission Green Growth</w:t>
      </w:r>
      <w:r w:rsidRPr="5EA1F6DB">
        <w:rPr>
          <w:rFonts w:ascii="Arial" w:eastAsia="Arial" w:hAnsi="Arial" w:cs="Arial"/>
          <w:sz w:val="22"/>
          <w:szCs w:val="22"/>
        </w:rPr>
        <w:t xml:space="preserve"> </w:t>
      </w:r>
      <w:r w:rsidRPr="5EA1F6DB">
        <w:rPr>
          <w:rFonts w:ascii="Arial" w:eastAsia="Arial" w:hAnsi="Arial" w:cs="Arial"/>
          <w:sz w:val="22"/>
          <w:szCs w:val="22"/>
        </w:rPr>
        <w:t>plan</w:t>
      </w:r>
      <w:r w:rsidRPr="5EA1F6DB">
        <w:rPr>
          <w:rFonts w:ascii="Arial" w:eastAsia="Arial" w:hAnsi="Arial" w:cs="Arial"/>
          <w:sz w:val="22"/>
          <w:szCs w:val="22"/>
        </w:rPr>
        <w:t xml:space="preserve"> makes the case for coordinated government action to unlock the sector’s wider economic, environmental and social value. </w:t>
      </w:r>
    </w:p>
    <w:p w:rsidR="00D535B8" w:rsidP="30D0B1C2">
      <w:pPr>
        <w:pStyle w:val="ListParagraph"/>
        <w:numPr>
          <w:ilvl w:val="0"/>
          <w:numId w:val="1"/>
        </w:numPr>
        <w:spacing w:before="299" w:after="299"/>
        <w:rPr>
          <w:rFonts w:ascii="Arial" w:eastAsia="Arial" w:hAnsi="Arial" w:cs="Arial"/>
          <w:b/>
          <w:bCs/>
          <w:sz w:val="22"/>
          <w:szCs w:val="22"/>
        </w:rPr>
      </w:pPr>
      <w:r w:rsidRPr="30D0B1C2">
        <w:rPr>
          <w:rFonts w:ascii="Arial" w:eastAsia="Arial" w:hAnsi="Arial" w:cs="Arial"/>
          <w:sz w:val="22"/>
          <w:szCs w:val="22"/>
        </w:rPr>
        <w:t>One</w:t>
      </w:r>
      <w:r w:rsidRPr="5EA1F6DB">
        <w:rPr>
          <w:rFonts w:ascii="Arial" w:eastAsia="Arial" w:hAnsi="Arial" w:cs="Arial"/>
          <w:sz w:val="22"/>
          <w:szCs w:val="22"/>
        </w:rPr>
        <w:t xml:space="preserve"> </w:t>
      </w:r>
      <w:r w:rsidRPr="5EA1F6DB">
        <w:rPr>
          <w:rFonts w:ascii="Arial" w:eastAsia="Arial" w:hAnsi="Arial" w:cs="Arial"/>
          <w:sz w:val="22"/>
          <w:szCs w:val="22"/>
        </w:rPr>
        <w:t>approach</w:t>
      </w:r>
      <w:r w:rsidRPr="5EA1F6DB">
        <w:rPr>
          <w:rFonts w:ascii="Arial" w:eastAsia="Arial" w:hAnsi="Arial" w:cs="Arial"/>
          <w:sz w:val="22"/>
          <w:szCs w:val="22"/>
        </w:rPr>
        <w:t xml:space="preserve"> co</w:t>
      </w:r>
      <w:r w:rsidRPr="5EA1F6DB">
        <w:rPr>
          <w:rFonts w:ascii="Arial" w:eastAsia="Arial" w:hAnsi="Arial" w:cs="Arial"/>
          <w:sz w:val="22"/>
          <w:szCs w:val="22"/>
        </w:rPr>
        <w:t>uld</w:t>
      </w:r>
      <w:r w:rsidRPr="5EA1F6DB">
        <w:rPr>
          <w:rFonts w:ascii="Arial" w:eastAsia="Arial" w:hAnsi="Arial" w:cs="Arial"/>
          <w:sz w:val="22"/>
          <w:szCs w:val="22"/>
        </w:rPr>
        <w:t xml:space="preserve"> be the formation of a </w:t>
      </w:r>
      <w:r w:rsidRPr="5EA1F6DB">
        <w:rPr>
          <w:rFonts w:ascii="Arial" w:eastAsia="Arial" w:hAnsi="Arial" w:cs="Arial"/>
          <w:sz w:val="22"/>
          <w:szCs w:val="22"/>
        </w:rPr>
        <w:t>Government Office for Green Spaces, long advocated for by the Horticultural Trades Association (HTA), to provide the oversight needed to deliver high-quality, accessible green spaces. This would help align policy across workforce, trade, environment, regulation, skills and education, which sit in different departments, and ensure the full benefits for placemaking and healthy communities are realised. Government’s upcoming Horticulture Growth Plan must also recognise the</w:t>
      </w:r>
      <w:r w:rsidRPr="5EA1F6DB">
        <w:rPr>
          <w:rFonts w:ascii="Arial" w:eastAsia="Arial" w:hAnsi="Arial" w:cs="Arial"/>
          <w:sz w:val="22"/>
          <w:szCs w:val="22"/>
        </w:rPr>
        <w:t xml:space="preserve"> value of garden tourism in supporting the primary producers and economic growth.  </w:t>
      </w:r>
    </w:p>
    <w:p w:rsidR="00D535B8" w:rsidP="237456D4">
      <w:pPr>
        <w:spacing w:before="299" w:after="299"/>
        <w:rPr>
          <w:rFonts w:ascii="Arial" w:eastAsia="Arial" w:hAnsi="Arial" w:cs="Arial"/>
          <w:b/>
          <w:bCs/>
          <w:sz w:val="22"/>
          <w:szCs w:val="22"/>
        </w:rPr>
      </w:pPr>
      <w:r w:rsidRPr="5EA1F6DB">
        <w:rPr>
          <w:rFonts w:ascii="Arial" w:eastAsia="Arial" w:hAnsi="Arial" w:cs="Arial"/>
          <w:b/>
          <w:bCs/>
          <w:sz w:val="22"/>
          <w:szCs w:val="22"/>
        </w:rPr>
        <w:t>What opportunities exist to increase inward investment into tourism infrastructure?</w:t>
      </w:r>
    </w:p>
    <w:p w:rsidR="00D535B8" w:rsidRPr="008335FD" w:rsidP="008335FD">
      <w:pPr>
        <w:pStyle w:val="ListParagraph"/>
        <w:numPr>
          <w:ilvl w:val="0"/>
          <w:numId w:val="1"/>
        </w:numPr>
        <w:rPr>
          <w:rFonts w:ascii="Arial" w:eastAsia="Arial" w:hAnsi="Arial" w:cs="Arial"/>
          <w:sz w:val="22"/>
          <w:szCs w:val="22"/>
        </w:rPr>
      </w:pPr>
      <w:r w:rsidRPr="008335FD">
        <w:rPr>
          <w:rFonts w:ascii="Arial" w:eastAsia="Arial" w:hAnsi="Arial" w:cs="Arial"/>
          <w:sz w:val="22"/>
          <w:szCs w:val="22"/>
        </w:rPr>
        <w:t>Garden tourism can anchor regional investment, particularly where new or expanded attractions support regeneration, placemaking and local supply chains. Mission Green Growth identifies environmental horticulture as a sector with substantial growth potential, rising from £38bn in GDP contribution in 2023 to a possible £51.2bn by 2030. Tourism infrastructure should be part of unlocking that growth</w:t>
      </w:r>
      <w:r>
        <w:rPr>
          <w:rFonts w:ascii="Arial" w:eastAsia="Arial" w:hAnsi="Arial" w:cs="Arial"/>
          <w:sz w:val="22"/>
          <w:szCs w:val="22"/>
        </w:rPr>
        <w:t xml:space="preserve">. </w:t>
      </w:r>
      <w:r w:rsidRPr="008335FD">
        <w:rPr>
          <w:rFonts w:ascii="Arial" w:eastAsia="Arial" w:hAnsi="Arial" w:cs="Arial"/>
          <w:sz w:val="22"/>
          <w:szCs w:val="22"/>
        </w:rPr>
        <w:t>Gardens offer a strong opportunity for inward investment in tourism infrastructure. A good example is RHS Garden Bridgewater, which received £1.8 million to develop its Chinese Streamside Garden, reflecting the connection between Salford and China. In the five years since opening, RHS Bridgewater has welcomed almost 2.5 million visitors.</w:t>
      </w:r>
    </w:p>
    <w:p w:rsidR="00D535B8" w:rsidP="003B0EAD">
      <w:pPr>
        <w:pStyle w:val="ListParagraph"/>
        <w:spacing w:before="240" w:after="240"/>
        <w:rPr>
          <w:rFonts w:ascii="Arial" w:eastAsia="Arial" w:hAnsi="Arial" w:cs="Arial"/>
          <w:b/>
          <w:bCs/>
          <w:sz w:val="22"/>
          <w:szCs w:val="22"/>
        </w:rPr>
      </w:pPr>
    </w:p>
    <w:p w:rsidR="00D535B8" w:rsidP="134D0C5B">
      <w:pPr>
        <w:spacing w:before="240" w:after="240"/>
        <w:rPr>
          <w:rFonts w:ascii="Arial" w:eastAsia="Arial" w:hAnsi="Arial" w:cs="Arial"/>
          <w:b/>
          <w:bCs/>
          <w:sz w:val="22"/>
          <w:szCs w:val="22"/>
        </w:rPr>
      </w:pPr>
      <w:r w:rsidRPr="134D0C5B">
        <w:rPr>
          <w:rFonts w:ascii="Arial" w:eastAsia="Arial" w:hAnsi="Arial" w:cs="Arial"/>
          <w:b/>
          <w:bCs/>
          <w:sz w:val="22"/>
          <w:szCs w:val="22"/>
        </w:rPr>
        <w:t>How</w:t>
      </w:r>
      <w:r w:rsidRPr="5EA1F6DB">
        <w:rPr>
          <w:rFonts w:ascii="Arial" w:eastAsia="Arial" w:hAnsi="Arial" w:cs="Arial"/>
          <w:b/>
          <w:bCs/>
          <w:sz w:val="22"/>
          <w:szCs w:val="22"/>
        </w:rPr>
        <w:t xml:space="preserve"> effectively is domestic tourism functioning across the UK?</w:t>
      </w:r>
    </w:p>
    <w:p w:rsidR="00D535B8" w:rsidP="44756721">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 xml:space="preserve">Domestic garden tourism is strong but unevenly supported. Oxford Economics estimates around £960m of domestic tourism spending in 2023 was attributable to parks and gardens. </w:t>
      </w:r>
      <w:r w:rsidRPr="5EA1F6DB">
        <w:rPr>
          <w:rFonts w:ascii="Arial" w:eastAsia="Arial" w:hAnsi="Arial" w:cs="Arial"/>
          <w:sz w:val="22"/>
          <w:szCs w:val="22"/>
        </w:rPr>
        <w:t xml:space="preserve">Improved </w:t>
      </w:r>
      <w:r w:rsidRPr="5EA1F6DB">
        <w:rPr>
          <w:rFonts w:ascii="Arial" w:eastAsia="Arial" w:hAnsi="Arial" w:cs="Arial"/>
          <w:sz w:val="22"/>
          <w:szCs w:val="22"/>
        </w:rPr>
        <w:t xml:space="preserve">regional marketing, </w:t>
      </w:r>
      <w:r w:rsidRPr="5EA1F6DB">
        <w:rPr>
          <w:rFonts w:ascii="Arial" w:eastAsia="Arial" w:hAnsi="Arial" w:cs="Arial"/>
          <w:sz w:val="22"/>
          <w:szCs w:val="22"/>
        </w:rPr>
        <w:t>more</w:t>
      </w:r>
      <w:r w:rsidRPr="5EA1F6DB">
        <w:rPr>
          <w:rFonts w:ascii="Arial" w:eastAsia="Arial" w:hAnsi="Arial" w:cs="Arial"/>
          <w:sz w:val="22"/>
          <w:szCs w:val="22"/>
        </w:rPr>
        <w:t xml:space="preserve"> simplified and consistent </w:t>
      </w:r>
      <w:r w:rsidRPr="5EA1F6DB">
        <w:rPr>
          <w:rFonts w:ascii="Arial" w:eastAsia="Arial" w:hAnsi="Arial" w:cs="Arial"/>
          <w:sz w:val="22"/>
          <w:szCs w:val="22"/>
        </w:rPr>
        <w:t xml:space="preserve">access to </w:t>
      </w:r>
      <w:r w:rsidRPr="5EA1F6DB">
        <w:rPr>
          <w:rFonts w:ascii="Arial" w:eastAsia="Arial" w:hAnsi="Arial" w:cs="Arial"/>
          <w:sz w:val="22"/>
          <w:szCs w:val="22"/>
        </w:rPr>
        <w:t>brown tourist signage</w:t>
      </w:r>
      <w:r w:rsidRPr="5EA1F6DB">
        <w:rPr>
          <w:rFonts w:ascii="Arial" w:eastAsia="Arial" w:hAnsi="Arial" w:cs="Arial"/>
          <w:sz w:val="22"/>
          <w:szCs w:val="22"/>
        </w:rPr>
        <w:t xml:space="preserve"> for horticultural </w:t>
      </w:r>
      <w:r w:rsidRPr="5EA1F6DB">
        <w:rPr>
          <w:rFonts w:ascii="Arial" w:eastAsia="Arial" w:hAnsi="Arial" w:cs="Arial"/>
          <w:sz w:val="22"/>
          <w:szCs w:val="22"/>
        </w:rPr>
        <w:t>businesses</w:t>
      </w:r>
      <w:r w:rsidRPr="5EA1F6DB">
        <w:rPr>
          <w:rFonts w:ascii="Arial" w:eastAsia="Arial" w:hAnsi="Arial" w:cs="Arial"/>
          <w:sz w:val="22"/>
          <w:szCs w:val="22"/>
        </w:rPr>
        <w:t xml:space="preserve"> and </w:t>
      </w:r>
      <w:r w:rsidRPr="5EA1F6DB">
        <w:rPr>
          <w:rFonts w:ascii="Arial" w:eastAsia="Arial" w:hAnsi="Arial" w:cs="Arial"/>
          <w:sz w:val="22"/>
          <w:szCs w:val="22"/>
        </w:rPr>
        <w:t>gardens</w:t>
      </w:r>
      <w:r w:rsidRPr="5EA1F6DB">
        <w:rPr>
          <w:rFonts w:ascii="Arial" w:eastAsia="Arial" w:hAnsi="Arial" w:cs="Arial"/>
          <w:sz w:val="22"/>
          <w:szCs w:val="22"/>
        </w:rPr>
        <w:t xml:space="preserve"> and </w:t>
      </w:r>
      <w:r w:rsidRPr="5EA1F6DB">
        <w:rPr>
          <w:rFonts w:ascii="Arial" w:eastAsia="Arial" w:hAnsi="Arial" w:cs="Arial"/>
          <w:sz w:val="22"/>
          <w:szCs w:val="22"/>
        </w:rPr>
        <w:t xml:space="preserve">improved </w:t>
      </w:r>
      <w:r w:rsidRPr="5EA1F6DB">
        <w:rPr>
          <w:rFonts w:ascii="Arial" w:eastAsia="Arial" w:hAnsi="Arial" w:cs="Arial"/>
          <w:sz w:val="22"/>
          <w:szCs w:val="22"/>
        </w:rPr>
        <w:t xml:space="preserve">public transport </w:t>
      </w:r>
      <w:r w:rsidRPr="5EA1F6DB">
        <w:rPr>
          <w:rFonts w:ascii="Arial" w:eastAsia="Arial" w:hAnsi="Arial" w:cs="Arial"/>
          <w:sz w:val="22"/>
          <w:szCs w:val="22"/>
        </w:rPr>
        <w:t>and active travel infrastructure</w:t>
      </w:r>
      <w:r w:rsidRPr="5EA1F6DB">
        <w:rPr>
          <w:rFonts w:ascii="Arial" w:eastAsia="Arial" w:hAnsi="Arial" w:cs="Arial"/>
          <w:sz w:val="22"/>
          <w:szCs w:val="22"/>
        </w:rPr>
        <w:t xml:space="preserve"> and incentives for their use</w:t>
      </w:r>
      <w:r w:rsidRPr="5EA1F6DB">
        <w:rPr>
          <w:rFonts w:ascii="Arial" w:eastAsia="Arial" w:hAnsi="Arial" w:cs="Arial"/>
          <w:sz w:val="22"/>
          <w:szCs w:val="22"/>
        </w:rPr>
        <w:t xml:space="preserve">, particularly for the final mile of journeys, </w:t>
      </w:r>
      <w:r w:rsidRPr="5EA1F6DB">
        <w:rPr>
          <w:rFonts w:ascii="Arial" w:eastAsia="Arial" w:hAnsi="Arial" w:cs="Arial"/>
          <w:sz w:val="22"/>
          <w:szCs w:val="22"/>
        </w:rPr>
        <w:t xml:space="preserve">would help gardens, shows and garden centres stimulate domestic demand throughout the year. </w:t>
      </w:r>
    </w:p>
    <w:p w:rsidR="00D535B8" w:rsidP="44756721">
      <w:pPr>
        <w:pStyle w:val="ListParagraph"/>
        <w:numPr>
          <w:ilvl w:val="0"/>
          <w:numId w:val="1"/>
        </w:numPr>
        <w:spacing w:before="240" w:after="240"/>
        <w:rPr>
          <w:rFonts w:ascii="Arial" w:eastAsia="Arial" w:hAnsi="Arial" w:cs="Arial"/>
          <w:sz w:val="22"/>
          <w:szCs w:val="22"/>
        </w:rPr>
      </w:pPr>
      <w:r w:rsidRPr="00817773">
        <w:rPr>
          <w:rFonts w:ascii="Arial" w:eastAsia="Arial" w:hAnsi="Arial" w:cs="Arial"/>
          <w:sz w:val="22"/>
          <w:szCs w:val="22"/>
        </w:rPr>
        <w:t>A fragmented regional tourism landscape, combined with a postcode lottery of support, means that organisations such as Marketing Manchester can play an important role in growing regional tourism audiences. In the South East, however, equivalent support is often lacking. This results in a less coordinated approach to attracting both domestic and international visitors, including through press activity, familiarisation trips and relationship-building with international tourism businesses.</w:t>
      </w:r>
    </w:p>
    <w:p w:rsidR="00D535B8" w:rsidP="51131FB7">
      <w:pPr>
        <w:spacing w:before="240" w:after="0" w:line="240" w:lineRule="auto"/>
        <w:rPr>
          <w:rFonts w:ascii="Arial" w:eastAsia="Arial" w:hAnsi="Arial" w:cs="Arial"/>
          <w:b/>
          <w:bCs/>
          <w:sz w:val="22"/>
          <w:szCs w:val="22"/>
        </w:rPr>
      </w:pPr>
      <w:r w:rsidRPr="5B21FDB7">
        <w:rPr>
          <w:rFonts w:ascii="Arial" w:eastAsia="Arial" w:hAnsi="Arial" w:cs="Arial"/>
          <w:b/>
          <w:bCs/>
          <w:sz w:val="22"/>
          <w:szCs w:val="22"/>
        </w:rPr>
        <w:t>How</w:t>
      </w:r>
      <w:r w:rsidRPr="5EA1F6DB">
        <w:rPr>
          <w:rFonts w:ascii="Arial" w:eastAsia="Arial" w:hAnsi="Arial" w:cs="Arial"/>
          <w:b/>
          <w:bCs/>
          <w:sz w:val="22"/>
          <w:szCs w:val="22"/>
        </w:rPr>
        <w:t xml:space="preserve"> have rising costs affected affordability and viability?</w:t>
      </w:r>
    </w:p>
    <w:p w:rsidR="00D535B8" w:rsidP="2626EA53">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Energy, fuel</w:t>
      </w:r>
      <w:r w:rsidRPr="5EA1F6DB">
        <w:rPr>
          <w:rFonts w:ascii="Arial" w:eastAsia="Arial" w:hAnsi="Arial" w:cs="Arial"/>
          <w:sz w:val="22"/>
          <w:szCs w:val="22"/>
        </w:rPr>
        <w:t xml:space="preserve">, wage, </w:t>
      </w:r>
      <w:r w:rsidRPr="5EA1F6DB">
        <w:rPr>
          <w:rFonts w:ascii="Arial" w:eastAsia="Arial" w:hAnsi="Arial" w:cs="Arial"/>
          <w:sz w:val="22"/>
          <w:szCs w:val="22"/>
        </w:rPr>
        <w:t>cross</w:t>
      </w:r>
      <w:r w:rsidRPr="5EA1F6DB">
        <w:rPr>
          <w:rFonts w:ascii="Arial" w:eastAsia="Arial" w:hAnsi="Arial" w:cs="Arial"/>
          <w:sz w:val="22"/>
          <w:szCs w:val="22"/>
        </w:rPr>
        <w:t>-</w:t>
      </w:r>
      <w:r w:rsidRPr="5EA1F6DB">
        <w:rPr>
          <w:rFonts w:ascii="Arial" w:eastAsia="Arial" w:hAnsi="Arial" w:cs="Arial"/>
          <w:sz w:val="22"/>
          <w:szCs w:val="22"/>
        </w:rPr>
        <w:t xml:space="preserve">border trade, </w:t>
      </w:r>
      <w:r w:rsidRPr="5EA1F6DB">
        <w:rPr>
          <w:rFonts w:ascii="Arial" w:eastAsia="Arial" w:hAnsi="Arial" w:cs="Arial"/>
          <w:sz w:val="22"/>
          <w:szCs w:val="22"/>
        </w:rPr>
        <w:t xml:space="preserve">National Insurance </w:t>
      </w:r>
      <w:r w:rsidRPr="5EA1F6DB">
        <w:rPr>
          <w:rFonts w:ascii="Arial" w:eastAsia="Arial" w:hAnsi="Arial" w:cs="Arial"/>
          <w:sz w:val="22"/>
          <w:szCs w:val="22"/>
        </w:rPr>
        <w:t xml:space="preserve">Contributions (NICs) </w:t>
      </w:r>
      <w:r w:rsidRPr="5EA1F6DB">
        <w:rPr>
          <w:rFonts w:ascii="Arial" w:eastAsia="Arial" w:hAnsi="Arial" w:cs="Arial"/>
          <w:sz w:val="22"/>
          <w:szCs w:val="22"/>
        </w:rPr>
        <w:t xml:space="preserve">and compliance costs are reducing margins and investment capacity across horticultural </w:t>
      </w:r>
      <w:r w:rsidRPr="5EA1F6DB">
        <w:rPr>
          <w:rFonts w:ascii="Arial" w:eastAsia="Arial" w:hAnsi="Arial" w:cs="Arial"/>
          <w:sz w:val="22"/>
          <w:szCs w:val="22"/>
        </w:rPr>
        <w:t xml:space="preserve">and garden tourism businesses. HTA </w:t>
      </w:r>
      <w:r w:rsidRPr="5EA1F6DB">
        <w:rPr>
          <w:rFonts w:ascii="Arial" w:eastAsia="Arial" w:hAnsi="Arial" w:cs="Arial"/>
          <w:sz w:val="22"/>
          <w:szCs w:val="22"/>
        </w:rPr>
        <w:t>data</w:t>
      </w:r>
      <w:r w:rsidRPr="5EA1F6DB">
        <w:rPr>
          <w:rFonts w:ascii="Arial" w:eastAsia="Arial" w:hAnsi="Arial" w:cs="Arial"/>
          <w:sz w:val="22"/>
          <w:szCs w:val="22"/>
        </w:rPr>
        <w:t xml:space="preserve"> notes fuel surcharges of 10% to 13%, significant electricity network charge increases, and an estimated £134m additional industry cost from National Living Wage and NIC</w:t>
      </w:r>
      <w:r w:rsidRPr="5EA1F6DB">
        <w:rPr>
          <w:rFonts w:ascii="Arial" w:eastAsia="Arial" w:hAnsi="Arial" w:cs="Arial"/>
          <w:sz w:val="22"/>
          <w:szCs w:val="22"/>
        </w:rPr>
        <w:t>s</w:t>
      </w:r>
      <w:r w:rsidRPr="5EA1F6DB">
        <w:rPr>
          <w:rFonts w:ascii="Arial" w:eastAsia="Arial" w:hAnsi="Arial" w:cs="Arial"/>
          <w:sz w:val="22"/>
          <w:szCs w:val="22"/>
        </w:rPr>
        <w:t xml:space="preserve"> changes</w:t>
      </w:r>
      <w:r w:rsidRPr="5EA1F6DB">
        <w:rPr>
          <w:rFonts w:ascii="Arial" w:eastAsia="Arial" w:hAnsi="Arial" w:cs="Arial"/>
          <w:sz w:val="22"/>
          <w:szCs w:val="22"/>
        </w:rPr>
        <w:t xml:space="preserve"> – all impacting primary production (suppliers into garden tourism destinations) and garden centre businesses</w:t>
      </w:r>
      <w:r w:rsidRPr="5EA1F6DB">
        <w:rPr>
          <w:rFonts w:ascii="Arial" w:eastAsia="Arial" w:hAnsi="Arial" w:cs="Arial"/>
          <w:sz w:val="22"/>
          <w:szCs w:val="22"/>
        </w:rPr>
        <w:t>. The</w:t>
      </w:r>
      <w:r w:rsidRPr="5EA1F6DB">
        <w:rPr>
          <w:rFonts w:ascii="Arial" w:eastAsia="Arial" w:hAnsi="Arial" w:cs="Arial"/>
          <w:sz w:val="22"/>
          <w:szCs w:val="22"/>
        </w:rPr>
        <w:t xml:space="preserve">se additional costs put pressure on the </w:t>
      </w:r>
      <w:r w:rsidRPr="5EA1F6DB">
        <w:rPr>
          <w:rFonts w:ascii="Arial" w:eastAsia="Arial" w:hAnsi="Arial" w:cs="Arial"/>
          <w:sz w:val="22"/>
          <w:szCs w:val="22"/>
        </w:rPr>
        <w:t>garden tourism sector and supply chain,</w:t>
      </w:r>
      <w:r w:rsidRPr="5EA1F6DB">
        <w:rPr>
          <w:rFonts w:ascii="Arial" w:eastAsia="Arial" w:hAnsi="Arial" w:cs="Arial"/>
          <w:sz w:val="22"/>
          <w:szCs w:val="22"/>
        </w:rPr>
        <w:t xml:space="preserve"> </w:t>
      </w:r>
      <w:r w:rsidRPr="5EA1F6DB">
        <w:rPr>
          <w:rFonts w:ascii="Arial" w:eastAsia="Arial" w:hAnsi="Arial" w:cs="Arial"/>
          <w:sz w:val="22"/>
          <w:szCs w:val="22"/>
        </w:rPr>
        <w:t xml:space="preserve">risk higher visitor prices and </w:t>
      </w:r>
      <w:r w:rsidRPr="5EA1F6DB">
        <w:rPr>
          <w:rFonts w:ascii="Arial" w:eastAsia="Arial" w:hAnsi="Arial" w:cs="Arial"/>
          <w:sz w:val="22"/>
          <w:szCs w:val="22"/>
        </w:rPr>
        <w:t xml:space="preserve">reduce </w:t>
      </w:r>
      <w:r w:rsidRPr="5EA1F6DB">
        <w:rPr>
          <w:rFonts w:ascii="Arial" w:eastAsia="Arial" w:hAnsi="Arial" w:cs="Arial"/>
          <w:sz w:val="22"/>
          <w:szCs w:val="22"/>
        </w:rPr>
        <w:t xml:space="preserve">the ability of UK tourism to be </w:t>
      </w:r>
      <w:r w:rsidRPr="5EA1F6DB">
        <w:rPr>
          <w:rFonts w:ascii="Arial" w:eastAsia="Arial" w:hAnsi="Arial" w:cs="Arial"/>
          <w:sz w:val="22"/>
          <w:szCs w:val="22"/>
        </w:rPr>
        <w:t>international</w:t>
      </w:r>
      <w:r w:rsidRPr="5EA1F6DB">
        <w:rPr>
          <w:rFonts w:ascii="Arial" w:eastAsia="Arial" w:hAnsi="Arial" w:cs="Arial"/>
          <w:sz w:val="22"/>
          <w:szCs w:val="22"/>
        </w:rPr>
        <w:t>ly</w:t>
      </w:r>
      <w:r w:rsidRPr="5EA1F6DB">
        <w:rPr>
          <w:rFonts w:ascii="Arial" w:eastAsia="Arial" w:hAnsi="Arial" w:cs="Arial"/>
          <w:sz w:val="22"/>
          <w:szCs w:val="22"/>
        </w:rPr>
        <w:t xml:space="preserve"> </w:t>
      </w:r>
      <w:r w:rsidRPr="5EA1F6DB">
        <w:rPr>
          <w:rFonts w:ascii="Arial" w:eastAsia="Arial" w:hAnsi="Arial" w:cs="Arial"/>
          <w:sz w:val="22"/>
          <w:szCs w:val="22"/>
        </w:rPr>
        <w:t>competitive</w:t>
      </w:r>
      <w:r w:rsidRPr="5EA1F6DB">
        <w:rPr>
          <w:rFonts w:ascii="Arial" w:eastAsia="Arial" w:hAnsi="Arial" w:cs="Arial"/>
          <w:sz w:val="22"/>
          <w:szCs w:val="22"/>
        </w:rPr>
        <w:t xml:space="preserve">. </w:t>
      </w:r>
      <w:r w:rsidRPr="5EA1F6DB">
        <w:rPr>
          <w:rFonts w:ascii="Arial" w:eastAsia="Arial" w:hAnsi="Arial" w:cs="Arial"/>
          <w:sz w:val="22"/>
          <w:szCs w:val="22"/>
        </w:rPr>
        <w:t xml:space="preserve"> </w:t>
      </w:r>
    </w:p>
    <w:p w:rsidR="00D535B8" w:rsidP="6F0FF027">
      <w:pPr>
        <w:spacing w:before="240" w:after="240"/>
        <w:rPr>
          <w:rFonts w:ascii="Arial" w:eastAsia="Arial" w:hAnsi="Arial" w:cs="Arial"/>
          <w:b/>
          <w:bCs/>
          <w:sz w:val="22"/>
          <w:szCs w:val="22"/>
        </w:rPr>
      </w:pPr>
      <w:r w:rsidRPr="5EA1F6DB">
        <w:rPr>
          <w:rFonts w:ascii="Arial" w:eastAsia="Arial" w:hAnsi="Arial" w:cs="Arial"/>
          <w:sz w:val="22"/>
          <w:szCs w:val="22"/>
        </w:rPr>
        <w:t xml:space="preserve"> </w:t>
      </w:r>
      <w:r w:rsidRPr="5EA1F6DB">
        <w:rPr>
          <w:rFonts w:ascii="Arial" w:eastAsia="Arial" w:hAnsi="Arial" w:cs="Arial"/>
          <w:b/>
          <w:bCs/>
          <w:sz w:val="22"/>
          <w:szCs w:val="22"/>
        </w:rPr>
        <w:t>What targeted interventions could support domestic tourism businesses?</w:t>
      </w:r>
    </w:p>
    <w:p w:rsidR="00D535B8" w:rsidP="4B568AF7">
      <w:pPr>
        <w:pStyle w:val="ListParagraph"/>
        <w:numPr>
          <w:ilvl w:val="0"/>
          <w:numId w:val="1"/>
        </w:numPr>
        <w:spacing w:before="240" w:after="240"/>
        <w:rPr>
          <w:rFonts w:ascii="Arial" w:eastAsia="Arial" w:hAnsi="Arial" w:cs="Arial"/>
          <w:sz w:val="22"/>
          <w:szCs w:val="22"/>
        </w:rPr>
      </w:pPr>
      <w:r w:rsidRPr="466CF53F">
        <w:rPr>
          <w:rFonts w:ascii="Arial" w:eastAsia="Arial" w:hAnsi="Arial" w:cs="Arial"/>
          <w:sz w:val="22"/>
          <w:szCs w:val="22"/>
        </w:rPr>
        <w:t>Government should support garden tourism through business rates relief, improved</w:t>
      </w:r>
      <w:r w:rsidRPr="466CF53F">
        <w:rPr>
          <w:rFonts w:ascii="Arial" w:eastAsia="Arial" w:hAnsi="Arial" w:cs="Arial"/>
          <w:sz w:val="22"/>
          <w:szCs w:val="22"/>
        </w:rPr>
        <w:t xml:space="preserve"> </w:t>
      </w:r>
      <w:r w:rsidRPr="466CF53F">
        <w:rPr>
          <w:rFonts w:ascii="Arial" w:eastAsia="Arial" w:hAnsi="Arial" w:cs="Arial"/>
          <w:sz w:val="22"/>
          <w:szCs w:val="22"/>
        </w:rPr>
        <w:t xml:space="preserve">brown tourist signage, </w:t>
      </w:r>
      <w:r w:rsidRPr="466CF53F">
        <w:rPr>
          <w:rFonts w:ascii="Arial" w:eastAsia="Arial" w:hAnsi="Arial" w:cs="Arial"/>
          <w:sz w:val="22"/>
          <w:szCs w:val="22"/>
        </w:rPr>
        <w:t xml:space="preserve">investment in water infrastructure, </w:t>
      </w:r>
      <w:r w:rsidRPr="466CF53F">
        <w:rPr>
          <w:rFonts w:ascii="Arial" w:eastAsia="Arial" w:hAnsi="Arial" w:cs="Arial"/>
          <w:sz w:val="22"/>
          <w:szCs w:val="22"/>
        </w:rPr>
        <w:t>better public transport and investment in out-of-season events.</w:t>
      </w:r>
      <w:r w:rsidRPr="466CF53F">
        <w:rPr>
          <w:rFonts w:ascii="Arial" w:eastAsia="Arial" w:hAnsi="Arial" w:cs="Arial"/>
          <w:sz w:val="22"/>
          <w:szCs w:val="22"/>
        </w:rPr>
        <w:t xml:space="preserve"> </w:t>
      </w:r>
      <w:r w:rsidRPr="466CF53F">
        <w:rPr>
          <w:rFonts w:ascii="Arial" w:eastAsia="Arial" w:hAnsi="Arial" w:cs="Arial"/>
          <w:sz w:val="22"/>
          <w:szCs w:val="22"/>
        </w:rPr>
        <w:t xml:space="preserve"> </w:t>
      </w:r>
      <w:r w:rsidRPr="466CF53F">
        <w:rPr>
          <w:rFonts w:ascii="Arial" w:eastAsia="Arial" w:hAnsi="Arial" w:cs="Arial"/>
          <w:sz w:val="22"/>
          <w:szCs w:val="22"/>
        </w:rPr>
        <w:t>The UK Government should s</w:t>
      </w:r>
      <w:r w:rsidRPr="466CF53F">
        <w:rPr>
          <w:rFonts w:ascii="Arial" w:eastAsia="Arial" w:hAnsi="Arial" w:cs="Arial"/>
          <w:sz w:val="22"/>
          <w:szCs w:val="22"/>
        </w:rPr>
        <w:t xml:space="preserve">upport </w:t>
      </w:r>
      <w:r w:rsidRPr="466CF53F">
        <w:rPr>
          <w:rFonts w:ascii="Arial" w:eastAsia="Arial" w:hAnsi="Arial" w:cs="Arial"/>
          <w:sz w:val="22"/>
          <w:szCs w:val="22"/>
        </w:rPr>
        <w:t xml:space="preserve">the </w:t>
      </w:r>
      <w:r w:rsidRPr="466CF53F">
        <w:rPr>
          <w:rFonts w:ascii="Arial" w:eastAsia="Arial" w:hAnsi="Arial" w:cs="Arial"/>
          <w:sz w:val="22"/>
          <w:szCs w:val="22"/>
        </w:rPr>
        <w:t>global promotion of UK gardens</w:t>
      </w:r>
      <w:r w:rsidRPr="466CF53F">
        <w:rPr>
          <w:rFonts w:ascii="Arial" w:eastAsia="Arial" w:hAnsi="Arial" w:cs="Arial"/>
          <w:sz w:val="22"/>
          <w:szCs w:val="22"/>
        </w:rPr>
        <w:t xml:space="preserve"> and</w:t>
      </w:r>
      <w:r w:rsidRPr="466CF53F">
        <w:rPr>
          <w:rFonts w:ascii="Arial" w:eastAsia="Arial" w:hAnsi="Arial" w:cs="Arial"/>
          <w:sz w:val="22"/>
          <w:szCs w:val="22"/>
        </w:rPr>
        <w:t xml:space="preserve"> horticultur</w:t>
      </w:r>
      <w:r w:rsidRPr="466CF53F">
        <w:rPr>
          <w:rFonts w:ascii="Arial" w:eastAsia="Arial" w:hAnsi="Arial" w:cs="Arial"/>
          <w:sz w:val="22"/>
          <w:szCs w:val="22"/>
        </w:rPr>
        <w:t>al</w:t>
      </w:r>
      <w:r w:rsidRPr="466CF53F">
        <w:rPr>
          <w:rFonts w:ascii="Arial" w:eastAsia="Arial" w:hAnsi="Arial" w:cs="Arial"/>
          <w:sz w:val="22"/>
          <w:szCs w:val="22"/>
        </w:rPr>
        <w:t xml:space="preserve"> shows</w:t>
      </w:r>
      <w:r w:rsidRPr="466CF53F">
        <w:rPr>
          <w:rFonts w:ascii="Arial" w:eastAsia="Arial" w:hAnsi="Arial" w:cs="Arial"/>
          <w:sz w:val="22"/>
          <w:szCs w:val="22"/>
        </w:rPr>
        <w:t>. This could be delivered through</w:t>
      </w:r>
      <w:r w:rsidRPr="466CF53F">
        <w:rPr>
          <w:rFonts w:ascii="Arial" w:eastAsia="Arial" w:hAnsi="Arial" w:cs="Arial"/>
          <w:sz w:val="22"/>
          <w:szCs w:val="22"/>
        </w:rPr>
        <w:t xml:space="preserve"> an international horticultural expo</w:t>
      </w:r>
      <w:r w:rsidRPr="466CF53F">
        <w:rPr>
          <w:rFonts w:ascii="Arial" w:eastAsia="Arial" w:hAnsi="Arial" w:cs="Arial"/>
          <w:sz w:val="22"/>
          <w:szCs w:val="22"/>
        </w:rPr>
        <w:t xml:space="preserve"> to celebrate UK horticulture and gardens on a global stage. </w:t>
      </w:r>
    </w:p>
    <w:p w:rsidR="00D535B8" w:rsidP="70E25314">
      <w:pPr>
        <w:pStyle w:val="ListParagraph"/>
        <w:numPr>
          <w:ilvl w:val="0"/>
          <w:numId w:val="1"/>
        </w:numPr>
        <w:spacing w:before="240" w:after="240"/>
        <w:rPr>
          <w:rFonts w:ascii="Arial" w:eastAsia="Arial" w:hAnsi="Arial" w:cs="Arial"/>
          <w:sz w:val="22"/>
          <w:szCs w:val="22"/>
        </w:rPr>
      </w:pPr>
      <w:r w:rsidRPr="5EA1F6DB">
        <w:rPr>
          <w:rFonts w:ascii="Arial" w:eastAsia="Arial" w:hAnsi="Arial" w:cs="Arial"/>
          <w:sz w:val="22"/>
          <w:szCs w:val="22"/>
        </w:rPr>
        <w:t>Support should also reach smaller gardens, community-based operators and garden centres, many of which act as local tourism assets, community hubs and gateways into wider horticultural engagement.</w:t>
      </w:r>
      <w:r>
        <w:rPr>
          <w:rFonts w:ascii="Arial" w:eastAsia="Arial" w:hAnsi="Arial" w:cs="Arial"/>
          <w:sz w:val="22"/>
          <w:szCs w:val="22"/>
        </w:rPr>
        <w:t xml:space="preserve"> </w:t>
      </w:r>
      <w:r>
        <w:rPr>
          <w:rFonts w:ascii="Arial" w:eastAsia="Arial" w:hAnsi="Arial" w:cs="Arial"/>
          <w:sz w:val="22"/>
          <w:szCs w:val="22"/>
        </w:rPr>
        <w:t xml:space="preserve">A recent </w:t>
      </w:r>
      <w:r>
        <w:rPr>
          <w:rFonts w:ascii="Arial" w:eastAsia="Arial" w:hAnsi="Arial" w:cs="Arial"/>
          <w:sz w:val="22"/>
          <w:szCs w:val="22"/>
        </w:rPr>
        <w:t>repo</w:t>
      </w:r>
      <w:r>
        <w:rPr>
          <w:rFonts w:ascii="Arial" w:eastAsia="Arial" w:hAnsi="Arial" w:cs="Arial"/>
          <w:sz w:val="22"/>
          <w:szCs w:val="22"/>
        </w:rPr>
        <w:t xml:space="preserve">rt </w:t>
      </w:r>
      <w:r>
        <w:rPr>
          <w:rFonts w:ascii="Arial" w:eastAsia="Arial" w:hAnsi="Arial" w:cs="Arial"/>
          <w:sz w:val="22"/>
          <w:szCs w:val="22"/>
        </w:rPr>
        <w:t xml:space="preserve">from the </w:t>
      </w:r>
      <w:r>
        <w:rPr>
          <w:rFonts w:ascii="Arial" w:eastAsia="Arial" w:hAnsi="Arial" w:cs="Arial"/>
          <w:sz w:val="22"/>
          <w:szCs w:val="22"/>
        </w:rPr>
        <w:t>RHS foun</w:t>
      </w:r>
      <w:r>
        <w:rPr>
          <w:rFonts w:ascii="Arial" w:eastAsia="Arial" w:hAnsi="Arial" w:cs="Arial"/>
          <w:sz w:val="22"/>
          <w:szCs w:val="22"/>
        </w:rPr>
        <w:t>d</w:t>
      </w:r>
      <w:r>
        <w:rPr>
          <w:rFonts w:ascii="Arial" w:eastAsia="Arial" w:hAnsi="Arial" w:cs="Arial"/>
          <w:sz w:val="22"/>
          <w:szCs w:val="22"/>
        </w:rPr>
        <w:t xml:space="preserve"> </w:t>
      </w:r>
      <w:r>
        <w:rPr>
          <w:rFonts w:ascii="Arial" w:eastAsia="Arial" w:hAnsi="Arial" w:cs="Arial"/>
          <w:sz w:val="22"/>
          <w:szCs w:val="22"/>
        </w:rPr>
        <w:t>that</w:t>
      </w:r>
      <w:r>
        <w:rPr>
          <w:rFonts w:ascii="Arial" w:eastAsia="Arial" w:hAnsi="Arial" w:cs="Arial"/>
          <w:sz w:val="22"/>
          <w:szCs w:val="22"/>
        </w:rPr>
        <w:t xml:space="preserve"> </w:t>
      </w:r>
      <w:r>
        <w:rPr>
          <w:rFonts w:ascii="Arial" w:eastAsia="Arial" w:hAnsi="Arial" w:cs="Arial"/>
          <w:sz w:val="22"/>
          <w:szCs w:val="22"/>
        </w:rPr>
        <w:t>one th</w:t>
      </w:r>
      <w:r>
        <w:rPr>
          <w:rFonts w:ascii="Arial" w:eastAsia="Arial" w:hAnsi="Arial" w:cs="Arial"/>
          <w:sz w:val="22"/>
          <w:szCs w:val="22"/>
        </w:rPr>
        <w:t>ir</w:t>
      </w:r>
      <w:r>
        <w:rPr>
          <w:rFonts w:ascii="Arial" w:eastAsia="Arial" w:hAnsi="Arial" w:cs="Arial"/>
          <w:sz w:val="22"/>
          <w:szCs w:val="22"/>
        </w:rPr>
        <w:t xml:space="preserve">d </w:t>
      </w:r>
      <w:r>
        <w:rPr>
          <w:rFonts w:ascii="Arial" w:eastAsia="Arial" w:hAnsi="Arial" w:cs="Arial"/>
          <w:sz w:val="22"/>
          <w:szCs w:val="22"/>
        </w:rPr>
        <w:t>of com</w:t>
      </w:r>
      <w:r>
        <w:rPr>
          <w:rFonts w:ascii="Arial" w:eastAsia="Arial" w:hAnsi="Arial" w:cs="Arial"/>
          <w:sz w:val="22"/>
          <w:szCs w:val="22"/>
        </w:rPr>
        <w:t>munity gar</w:t>
      </w:r>
      <w:r>
        <w:rPr>
          <w:rFonts w:ascii="Arial" w:eastAsia="Arial" w:hAnsi="Arial" w:cs="Arial"/>
          <w:sz w:val="22"/>
          <w:szCs w:val="22"/>
        </w:rPr>
        <w:t>dening g</w:t>
      </w:r>
      <w:r>
        <w:rPr>
          <w:rFonts w:ascii="Arial" w:eastAsia="Arial" w:hAnsi="Arial" w:cs="Arial"/>
          <w:sz w:val="22"/>
          <w:szCs w:val="22"/>
        </w:rPr>
        <w:t>roups o</w:t>
      </w:r>
      <w:r>
        <w:rPr>
          <w:rFonts w:ascii="Arial" w:eastAsia="Arial" w:hAnsi="Arial" w:cs="Arial"/>
          <w:sz w:val="22"/>
          <w:szCs w:val="22"/>
        </w:rPr>
        <w:t xml:space="preserve">perate on </w:t>
      </w:r>
      <w:r>
        <w:rPr>
          <w:rFonts w:ascii="Arial" w:eastAsia="Arial" w:hAnsi="Arial" w:cs="Arial"/>
          <w:sz w:val="22"/>
          <w:szCs w:val="22"/>
        </w:rPr>
        <w:t xml:space="preserve">less </w:t>
      </w:r>
      <w:r>
        <w:rPr>
          <w:rFonts w:ascii="Arial" w:eastAsia="Arial" w:hAnsi="Arial" w:cs="Arial"/>
          <w:sz w:val="22"/>
          <w:szCs w:val="22"/>
        </w:rPr>
        <w:t xml:space="preserve">than £500 </w:t>
      </w:r>
      <w:r>
        <w:rPr>
          <w:rFonts w:ascii="Arial" w:eastAsia="Arial" w:hAnsi="Arial" w:cs="Arial"/>
          <w:sz w:val="22"/>
          <w:szCs w:val="22"/>
        </w:rPr>
        <w:t>per year</w:t>
      </w:r>
      <w:r>
        <w:rPr>
          <w:rFonts w:ascii="Arial" w:eastAsia="Arial" w:hAnsi="Arial" w:cs="Arial"/>
          <w:sz w:val="22"/>
          <w:szCs w:val="22"/>
        </w:rPr>
        <w:t xml:space="preserve">. </w:t>
      </w:r>
    </w:p>
    <w:p w:rsidR="00D535B8" w:rsidP="233E2C8D">
      <w:pPr>
        <w:pStyle w:val="ListParagraph"/>
        <w:numPr>
          <w:ilvl w:val="0"/>
          <w:numId w:val="1"/>
        </w:numPr>
        <w:spacing w:line="257" w:lineRule="auto"/>
        <w:rPr>
          <w:rFonts w:ascii="Arial" w:eastAsia="Arial" w:hAnsi="Arial" w:cs="Arial"/>
          <w:sz w:val="22"/>
          <w:szCs w:val="22"/>
        </w:rPr>
      </w:pPr>
      <w:r w:rsidRPr="233E2C8D">
        <w:rPr>
          <w:rFonts w:ascii="Arial" w:eastAsia="Arial" w:hAnsi="Arial" w:cs="Arial"/>
          <w:sz w:val="22"/>
          <w:szCs w:val="22"/>
        </w:rPr>
        <w:t>Access</w:t>
      </w:r>
      <w:r w:rsidRPr="306DDD18">
        <w:rPr>
          <w:rFonts w:ascii="Arial" w:eastAsia="Arial" w:hAnsi="Arial" w:cs="Arial"/>
          <w:sz w:val="22"/>
          <w:szCs w:val="22"/>
        </w:rPr>
        <w:t xml:space="preserve"> to water and improved water capture capacity is a key priority for ensuring the long-term sustainability of garden tourism destinations, the UKs tree and plant growers, and garden centres who boost local tourism.  HTA analysis estimates that UK garden centre retailers and professional growers use approximately 19.4 million cubic metres of water annually - around 0.15% of total UK consumption. Despite this relatively small national footprint, 88% of surveyed businesses said that restrictions on mains or abs</w:t>
      </w:r>
      <w:r w:rsidRPr="306DDD18">
        <w:rPr>
          <w:rFonts w:ascii="Arial" w:eastAsia="Arial" w:hAnsi="Arial" w:cs="Arial"/>
          <w:sz w:val="22"/>
          <w:szCs w:val="22"/>
        </w:rPr>
        <w:t>tracted water would have a serious negative impact or directly threaten the survival of their business. Government should work with the sector to secure long-term water resilience and remove barriers to investment in on-site storage and infrastructure.</w:t>
      </w:r>
    </w:p>
    <w:p w:rsidR="00D535B8" w:rsidP="22E89DA9">
      <w:pPr>
        <w:pStyle w:val="ListParagraph"/>
        <w:numPr>
          <w:ilvl w:val="0"/>
          <w:numId w:val="1"/>
        </w:numPr>
        <w:spacing w:before="240" w:after="240"/>
        <w:rPr>
          <w:rFonts w:ascii="Arial" w:eastAsia="Arial" w:hAnsi="Arial" w:cs="Arial"/>
          <w:sz w:val="22"/>
          <w:szCs w:val="22"/>
        </w:rPr>
      </w:pPr>
      <w:r w:rsidRPr="22E89DA9">
        <w:rPr>
          <w:rFonts w:ascii="Arial" w:eastAsia="Arial" w:hAnsi="Arial" w:cs="Arial"/>
          <w:sz w:val="22"/>
          <w:szCs w:val="22"/>
        </w:rPr>
        <w:t>Business</w:t>
      </w:r>
      <w:r w:rsidRPr="5EA1F6DB">
        <w:rPr>
          <w:rFonts w:ascii="Arial" w:eastAsia="Arial" w:hAnsi="Arial" w:cs="Arial"/>
          <w:sz w:val="22"/>
          <w:szCs w:val="22"/>
        </w:rPr>
        <w:t xml:space="preserve"> rates remain a significant concern for horticultural businesses. While the reduction in the Retail, Hospitality and Leisure (RHL) multiplier, announced at the Autumn Budget, is welcome, members are still facing sharp increases in their bills because of the end of the 40% RHL relief. While the RHL Relief was time limited, a tapered reduction – as was done previously, moving from 75% to 40% - would have provided more support and certainty for businesses in an already challenging backdrop, and particularly wi</w:t>
      </w:r>
      <w:r w:rsidRPr="5EA1F6DB">
        <w:rPr>
          <w:rFonts w:ascii="Arial" w:eastAsia="Arial" w:hAnsi="Arial" w:cs="Arial"/>
          <w:sz w:val="22"/>
          <w:szCs w:val="22"/>
        </w:rPr>
        <w:t>th revaluations taking place from April. Ensuring we achieve a fair, accurate and transparent business rates system must remain a priority for government.</w:t>
      </w:r>
    </w:p>
    <w:p w:rsidR="00D535B8" w:rsidP="7D94936E">
      <w:pPr>
        <w:pStyle w:val="ListParagraph"/>
        <w:numPr>
          <w:ilvl w:val="0"/>
          <w:numId w:val="1"/>
        </w:numPr>
        <w:spacing w:before="240" w:after="240"/>
        <w:rPr>
          <w:rFonts w:ascii="Arial" w:eastAsia="Arial" w:hAnsi="Arial" w:cs="Arial"/>
          <w:b/>
          <w:bCs/>
          <w:sz w:val="22"/>
          <w:szCs w:val="22"/>
        </w:rPr>
      </w:pPr>
      <w:r w:rsidRPr="7D94936E">
        <w:rPr>
          <w:rFonts w:ascii="Arial" w:eastAsia="Arial" w:hAnsi="Arial" w:cs="Arial"/>
          <w:sz w:val="22"/>
          <w:szCs w:val="22"/>
        </w:rPr>
        <w:t>Supply</w:t>
      </w:r>
      <w:r w:rsidRPr="5EA1F6DB">
        <w:rPr>
          <w:rFonts w:ascii="Arial" w:eastAsia="Arial" w:hAnsi="Arial" w:cs="Arial"/>
          <w:sz w:val="22"/>
          <w:szCs w:val="22"/>
        </w:rPr>
        <w:t xml:space="preserve"> chain costs have significantly increased since Brexit with some businesses absorbing up to 25% higher costs and facing increased administrative burdens. </w:t>
      </w:r>
      <w:r w:rsidRPr="5EA1F6DB">
        <w:rPr>
          <w:rFonts w:ascii="Arial" w:eastAsia="Arial" w:hAnsi="Arial" w:cs="Arial"/>
          <w:sz w:val="22"/>
          <w:szCs w:val="22"/>
        </w:rPr>
        <w:t xml:space="preserve">The EU is the UK's closest trading partner, the value of plants and trees imported to the UK from the EU is equivalent to roughly half the £1.2bn value of UK production of trees and plants, with the Netherlands acting as a hub. </w:t>
      </w:r>
      <w:r w:rsidRPr="5EA1F6DB">
        <w:rPr>
          <w:rFonts w:ascii="Arial" w:eastAsia="Arial" w:hAnsi="Arial" w:cs="Arial"/>
          <w:sz w:val="22"/>
          <w:szCs w:val="22"/>
        </w:rPr>
        <w:t>The sector will welcome a UK-EU Sanitary and Phytosanitary (SPS) Agreement that removes costly burdens and barriers for businesses</w:t>
      </w:r>
      <w:r w:rsidRPr="5EA1F6DB">
        <w:rPr>
          <w:rFonts w:ascii="Arial" w:eastAsia="Arial" w:hAnsi="Arial" w:cs="Arial"/>
          <w:sz w:val="22"/>
          <w:szCs w:val="22"/>
        </w:rPr>
        <w:t xml:space="preserve"> and the sector in plant health.  The Government must move swiftly on the phytosanitary aspects of the agreement, by implementing a pragmatic approach, and changes to remove checks at the border for businesses, as </w:t>
      </w:r>
      <w:r w:rsidRPr="5EA1F6DB">
        <w:rPr>
          <w:rFonts w:ascii="Arial" w:eastAsia="Arial" w:hAnsi="Arial" w:cs="Arial"/>
          <w:sz w:val="22"/>
          <w:szCs w:val="22"/>
        </w:rPr>
        <w:t xml:space="preserve">soon as possible. </w:t>
      </w:r>
      <w:r w:rsidRPr="5EA1F6DB">
        <w:rPr>
          <w:rFonts w:ascii="Arial" w:eastAsia="Arial" w:hAnsi="Arial" w:cs="Arial"/>
          <w:sz w:val="22"/>
          <w:szCs w:val="22"/>
        </w:rPr>
        <w:t>We also recommend exercising caution when dynamically aligning UK regimes with those of the EU, such as those related to plant protection products and plant variety rights</w:t>
      </w:r>
      <w:r w:rsidRPr="5EA1F6DB">
        <w:rPr>
          <w:rFonts w:ascii="Arial" w:eastAsia="Arial" w:hAnsi="Arial" w:cs="Arial"/>
          <w:sz w:val="22"/>
          <w:szCs w:val="22"/>
        </w:rPr>
        <w:t xml:space="preserve"> These will require managed transitions that operate after an agreement comes into force, which is expected i</w:t>
      </w:r>
      <w:r w:rsidRPr="5EA1F6DB">
        <w:rPr>
          <w:rFonts w:ascii="Arial" w:eastAsia="Arial" w:hAnsi="Arial" w:cs="Arial"/>
          <w:sz w:val="22"/>
          <w:szCs w:val="22"/>
        </w:rPr>
        <w:t>n mid-2027.</w:t>
      </w:r>
    </w:p>
    <w:p w:rsidR="00D535B8" w:rsidP="153A8CA1">
      <w:pPr>
        <w:spacing w:before="240" w:after="240"/>
        <w:rPr>
          <w:rFonts w:ascii="Arial" w:eastAsia="Arial" w:hAnsi="Arial" w:cs="Arial"/>
          <w:b/>
          <w:bCs/>
          <w:sz w:val="22"/>
          <w:szCs w:val="22"/>
        </w:rPr>
      </w:pPr>
      <w:r w:rsidRPr="5EA1F6DB">
        <w:rPr>
          <w:rFonts w:ascii="Arial" w:eastAsia="Arial" w:hAnsi="Arial" w:cs="Arial"/>
          <w:b/>
          <w:bCs/>
          <w:sz w:val="22"/>
          <w:szCs w:val="22"/>
        </w:rPr>
        <w:t>How can tourism better support regional growth and wider Government objectives?</w:t>
      </w:r>
    </w:p>
    <w:p w:rsidR="00D535B8" w:rsidP="4DBFC1A4">
      <w:pPr>
        <w:pStyle w:val="ListParagraph"/>
        <w:numPr>
          <w:ilvl w:val="0"/>
          <w:numId w:val="1"/>
        </w:numPr>
        <w:spacing w:before="240" w:after="240"/>
        <w:rPr>
          <w:rFonts w:ascii="Arial" w:eastAsia="Arial" w:hAnsi="Arial" w:cs="Arial"/>
          <w:sz w:val="22"/>
          <w:szCs w:val="22"/>
        </w:rPr>
      </w:pPr>
      <w:r w:rsidRPr="4DBFC1A4">
        <w:rPr>
          <w:rFonts w:ascii="Arial" w:eastAsia="Arial" w:hAnsi="Arial" w:cs="Arial"/>
          <w:sz w:val="22"/>
          <w:szCs w:val="22"/>
        </w:rPr>
        <w:t>Gardens</w:t>
      </w:r>
      <w:r w:rsidRPr="5EA1F6DB">
        <w:rPr>
          <w:rFonts w:ascii="Arial" w:eastAsia="Arial" w:hAnsi="Arial" w:cs="Arial"/>
          <w:sz w:val="22"/>
          <w:szCs w:val="22"/>
        </w:rPr>
        <w:t>, parks, garden centres and horticultural attractions are distributed across the UK, making them well placed to spread visitor spend beyond established hotspots. They support jobs, hospitality, high streets, community prosperity, health, nature recovery and climate resilience. A 10% increase in ticketed garden visits wo</w:t>
      </w:r>
      <w:r w:rsidRPr="2D05C315">
        <w:rPr>
          <w:rFonts w:ascii="Arial" w:eastAsia="Arial" w:hAnsi="Arial" w:cs="Arial"/>
          <w:sz w:val="22"/>
          <w:szCs w:val="22"/>
        </w:rPr>
        <w:t xml:space="preserve">uld mean nearly 4 million additional visits. </w:t>
      </w:r>
    </w:p>
    <w:p w:rsidR="00D535B8" w:rsidP="68C901E0">
      <w:pPr>
        <w:pStyle w:val="ListParagraph"/>
        <w:numPr>
          <w:ilvl w:val="0"/>
          <w:numId w:val="1"/>
        </w:numPr>
        <w:spacing w:before="240" w:after="240"/>
        <w:rPr>
          <w:rFonts w:ascii="Arial" w:eastAsia="Arial" w:hAnsi="Arial" w:cs="Arial"/>
          <w:b/>
          <w:bCs/>
          <w:sz w:val="22"/>
          <w:szCs w:val="22"/>
        </w:rPr>
      </w:pPr>
      <w:r w:rsidRPr="2D05C315">
        <w:rPr>
          <w:rFonts w:ascii="Arial" w:eastAsia="Arial" w:hAnsi="Arial" w:cs="Arial"/>
          <w:sz w:val="22"/>
          <w:szCs w:val="22"/>
        </w:rPr>
        <w:t>Gard</w:t>
      </w:r>
      <w:r w:rsidRPr="68C901E0">
        <w:rPr>
          <w:rFonts w:ascii="Arial" w:eastAsia="Arial" w:hAnsi="Arial" w:cs="Arial"/>
          <w:sz w:val="22"/>
          <w:szCs w:val="22"/>
        </w:rPr>
        <w:t>ens</w:t>
      </w:r>
      <w:r w:rsidRPr="5EA1F6DB">
        <w:rPr>
          <w:rFonts w:ascii="Arial" w:eastAsia="Arial" w:hAnsi="Arial" w:cs="Arial"/>
          <w:sz w:val="22"/>
          <w:szCs w:val="22"/>
        </w:rPr>
        <w:t xml:space="preserve"> and green spaces contribute to a number of government objectives – the economy, health, climate, nature and biodiversity. In urban areas, trees can cool concrete surfaces by 12°C, mitigating the urban heat island effect. Lawns are incredibly effective at slowing water runoff, absorbing 99% of rainfall and reducing flood risk. Furthermore, green spaces actively remove air pollution. A one-metre dense hedge is capable of absorbing the pollution of a car travelling 500 miles in just seven days. They are al</w:t>
      </w:r>
      <w:r w:rsidRPr="5EA1F6DB">
        <w:rPr>
          <w:rFonts w:ascii="Arial" w:eastAsia="Arial" w:hAnsi="Arial" w:cs="Arial"/>
          <w:sz w:val="22"/>
          <w:szCs w:val="22"/>
        </w:rPr>
        <w:t>so crucial habitats for biodiversity, with diverse features that support a wide range of fauna and flora. Children living over 20 minutes from green space had two extra screen hours and poorer mental health than those within a 5-minute walk. Supporting the garden tourism sector and supply chain can help to deliver multifaceted benefits across policy portfolios, and for communities across the UK.</w:t>
      </w:r>
    </w:p>
    <w:p w:rsidR="00D535B8" w:rsidP="6833DD83">
      <w:pPr>
        <w:spacing w:before="240" w:after="240"/>
        <w:rPr>
          <w:rFonts w:ascii="Arial" w:eastAsia="Arial" w:hAnsi="Arial" w:cs="Arial"/>
          <w:b/>
          <w:bCs/>
          <w:sz w:val="22"/>
          <w:szCs w:val="22"/>
        </w:rPr>
      </w:pPr>
      <w:r w:rsidRPr="5EA1F6DB">
        <w:rPr>
          <w:rFonts w:ascii="Arial" w:eastAsia="Arial" w:hAnsi="Arial" w:cs="Arial"/>
          <w:b/>
          <w:bCs/>
          <w:sz w:val="22"/>
          <w:szCs w:val="22"/>
        </w:rPr>
        <w:t xml:space="preserve"> Are transport links, digital connectivity and cultural infrastructure adequate?</w:t>
      </w:r>
    </w:p>
    <w:p w:rsidR="00D535B8" w:rsidP="1C24AE1F">
      <w:pPr>
        <w:pStyle w:val="ListParagraph"/>
        <w:numPr>
          <w:ilvl w:val="0"/>
          <w:numId w:val="1"/>
        </w:numPr>
        <w:spacing w:before="240" w:after="240"/>
        <w:rPr>
          <w:rFonts w:ascii="Arial" w:eastAsia="Arial" w:hAnsi="Arial" w:cs="Arial"/>
          <w:sz w:val="22"/>
          <w:szCs w:val="22"/>
        </w:rPr>
      </w:pPr>
      <w:r w:rsidRPr="089C7D2E">
        <w:rPr>
          <w:rFonts w:ascii="Arial" w:eastAsia="Arial" w:hAnsi="Arial" w:cs="Arial"/>
          <w:sz w:val="22"/>
          <w:szCs w:val="22"/>
        </w:rPr>
        <w:t>Transport</w:t>
      </w:r>
      <w:r w:rsidRPr="5EA1F6DB">
        <w:rPr>
          <w:rFonts w:ascii="Arial" w:eastAsia="Arial" w:hAnsi="Arial" w:cs="Arial"/>
          <w:sz w:val="22"/>
          <w:szCs w:val="22"/>
        </w:rPr>
        <w:t xml:space="preserve"> remains a major barrier, especially the “final mile” between stations, towns and garden attractions. Better coordination is needed between transport providers, local authorities, National Highways and visitor attractions, particularly in rural and semi-rural areas. Poor access limits domestic and international visitor growth and weakens the regional economic impact of garden tourism. </w:t>
      </w:r>
    </w:p>
    <w:p w:rsidR="00D535B8" w:rsidP="2F80F5E2">
      <w:pPr>
        <w:pStyle w:val="Heading2"/>
        <w:spacing w:before="299" w:after="299"/>
        <w:rPr>
          <w:rFonts w:ascii="Arial" w:eastAsia="Arial" w:hAnsi="Arial" w:cs="Arial"/>
          <w:b/>
          <w:bCs/>
          <w:color w:val="000000" w:themeColor="text1"/>
          <w:sz w:val="22"/>
          <w:szCs w:val="22"/>
        </w:rPr>
      </w:pPr>
      <w:r w:rsidRPr="7843B916">
        <w:rPr>
          <w:rFonts w:ascii="Arial" w:eastAsia="Arial" w:hAnsi="Arial" w:cs="Arial"/>
          <w:b/>
          <w:bCs/>
          <w:color w:val="000000" w:themeColor="text1"/>
          <w:sz w:val="22"/>
          <w:szCs w:val="22"/>
        </w:rPr>
        <w:t>How can Government maximise cultural heritage and creative assets?</w:t>
      </w:r>
    </w:p>
    <w:p w:rsidR="00D535B8" w:rsidP="466CF53F">
      <w:pPr>
        <w:pStyle w:val="ListParagraph"/>
        <w:numPr>
          <w:ilvl w:val="0"/>
          <w:numId w:val="1"/>
        </w:numPr>
        <w:spacing w:before="240" w:after="240"/>
        <w:rPr>
          <w:rFonts w:ascii="Arial" w:eastAsia="Arial" w:hAnsi="Arial" w:cs="Arial"/>
          <w:sz w:val="22"/>
          <w:szCs w:val="22"/>
        </w:rPr>
      </w:pPr>
      <w:r w:rsidRPr="466CF53F">
        <w:rPr>
          <w:rFonts w:ascii="Arial" w:eastAsia="Arial" w:hAnsi="Arial" w:cs="Arial"/>
          <w:sz w:val="22"/>
          <w:szCs w:val="22"/>
        </w:rPr>
        <w:t>Gardens are cultural heritage, living collections and creative assets. Historic gardens, flower shows, contemporary design, plant collections and garden centres all contribute to the UK’s distinctiveness. RHS Chelsea Flower Show illustrates this global appeal, with 14% of visitors in 2025 travelling from overseas</w:t>
      </w:r>
      <w:r w:rsidRPr="466CF53F">
        <w:rPr>
          <w:rFonts w:ascii="Arial" w:eastAsia="Arial" w:hAnsi="Arial" w:cs="Arial"/>
          <w:sz w:val="22"/>
          <w:szCs w:val="22"/>
        </w:rPr>
        <w:t xml:space="preserve">, and events such as the London Open Garden weekend attract over 40,000 visitors to heritage and community gardens across the capital. </w:t>
      </w:r>
      <w:r w:rsidRPr="466CF53F">
        <w:rPr>
          <w:rFonts w:ascii="Arial" w:eastAsia="Arial" w:hAnsi="Arial" w:cs="Arial"/>
          <w:sz w:val="22"/>
          <w:szCs w:val="22"/>
        </w:rPr>
        <w:t>I</w:t>
      </w:r>
      <w:r w:rsidRPr="466CF53F">
        <w:rPr>
          <w:rFonts w:ascii="Arial" w:eastAsia="Arial" w:hAnsi="Arial" w:cs="Arial"/>
          <w:sz w:val="22"/>
          <w:szCs w:val="22"/>
        </w:rPr>
        <w:t>nvest</w:t>
      </w:r>
      <w:r w:rsidRPr="466CF53F">
        <w:rPr>
          <w:rFonts w:ascii="Arial" w:eastAsia="Arial" w:hAnsi="Arial" w:cs="Arial"/>
          <w:sz w:val="22"/>
          <w:szCs w:val="22"/>
        </w:rPr>
        <w:t>ment</w:t>
      </w:r>
      <w:r w:rsidRPr="466CF53F">
        <w:rPr>
          <w:rFonts w:ascii="Arial" w:eastAsia="Arial" w:hAnsi="Arial" w:cs="Arial"/>
          <w:sz w:val="22"/>
          <w:szCs w:val="22"/>
        </w:rPr>
        <w:t xml:space="preserve"> in a dedicated garden tourism campaign</w:t>
      </w:r>
      <w:r w:rsidRPr="466CF53F">
        <w:rPr>
          <w:rFonts w:ascii="Arial" w:eastAsia="Arial" w:hAnsi="Arial" w:cs="Arial"/>
          <w:sz w:val="22"/>
          <w:szCs w:val="22"/>
        </w:rPr>
        <w:t xml:space="preserve"> would help </w:t>
      </w:r>
      <w:r w:rsidRPr="466CF53F">
        <w:rPr>
          <w:rFonts w:ascii="Arial" w:eastAsia="Arial" w:hAnsi="Arial" w:cs="Arial"/>
          <w:sz w:val="22"/>
          <w:szCs w:val="22"/>
        </w:rPr>
        <w:t>maximise the economic potential</w:t>
      </w:r>
      <w:r w:rsidRPr="466CF53F">
        <w:rPr>
          <w:rFonts w:ascii="Arial" w:eastAsia="Arial" w:hAnsi="Arial" w:cs="Arial"/>
          <w:sz w:val="22"/>
          <w:szCs w:val="22"/>
        </w:rPr>
        <w:t xml:space="preserve"> of a proven and popular tourism sector</w:t>
      </w:r>
      <w:r w:rsidRPr="466CF53F">
        <w:rPr>
          <w:rFonts w:ascii="Arial" w:eastAsia="Arial" w:hAnsi="Arial" w:cs="Arial"/>
          <w:sz w:val="22"/>
          <w:szCs w:val="22"/>
        </w:rPr>
        <w:t>.</w:t>
      </w:r>
    </w:p>
    <w:p w:rsidR="00D535B8" w:rsidP="652A2749">
      <w:pPr>
        <w:spacing w:before="240" w:after="240"/>
        <w:rPr>
          <w:rFonts w:ascii="Arial" w:eastAsia="Arial" w:hAnsi="Arial" w:cs="Arial"/>
          <w:b/>
          <w:bCs/>
          <w:sz w:val="22"/>
          <w:szCs w:val="22"/>
        </w:rPr>
      </w:pPr>
      <w:r w:rsidRPr="5EA1F6DB">
        <w:rPr>
          <w:rFonts w:ascii="Arial" w:eastAsia="Arial" w:hAnsi="Arial" w:cs="Arial"/>
          <w:b/>
          <w:bCs/>
          <w:sz w:val="22"/>
          <w:szCs w:val="22"/>
        </w:rPr>
        <w:t>What are the key issues facing the tourism workforce?</w:t>
      </w:r>
    </w:p>
    <w:p w:rsidR="00D535B8" w:rsidP="73EA6F2C">
      <w:pPr>
        <w:pStyle w:val="ListParagraph"/>
        <w:numPr>
          <w:ilvl w:val="0"/>
          <w:numId w:val="1"/>
        </w:numPr>
        <w:spacing w:before="240" w:after="240"/>
        <w:rPr>
          <w:rFonts w:ascii="Arial" w:eastAsia="Arial" w:hAnsi="Arial" w:cs="Arial"/>
          <w:sz w:val="22"/>
          <w:szCs w:val="22"/>
        </w:rPr>
      </w:pPr>
      <w:r w:rsidRPr="73EA6F2C">
        <w:rPr>
          <w:rFonts w:ascii="Arial" w:eastAsia="Arial" w:hAnsi="Arial" w:cs="Arial"/>
          <w:sz w:val="22"/>
          <w:szCs w:val="22"/>
        </w:rPr>
        <w:t>Garden</w:t>
      </w:r>
      <w:r w:rsidRPr="5EA1F6DB">
        <w:rPr>
          <w:rFonts w:ascii="Arial" w:eastAsia="Arial" w:hAnsi="Arial" w:cs="Arial"/>
          <w:sz w:val="22"/>
          <w:szCs w:val="22"/>
        </w:rPr>
        <w:t xml:space="preserve"> tourism depends on skilled horticulturists, growers, landscapers, arborists, designers, seasonal workers and visitor-facing teams. </w:t>
      </w:r>
      <w:r w:rsidRPr="5EA1F6DB">
        <w:rPr>
          <w:rFonts w:ascii="Arial" w:eastAsia="Arial" w:hAnsi="Arial" w:cs="Arial"/>
          <w:sz w:val="22"/>
          <w:szCs w:val="22"/>
        </w:rPr>
        <w:t xml:space="preserve">Affordable, accessible </w:t>
      </w:r>
      <w:r w:rsidRPr="5EA1F6DB">
        <w:rPr>
          <w:rFonts w:ascii="Arial" w:eastAsia="Arial" w:hAnsi="Arial" w:cs="Arial"/>
          <w:sz w:val="22"/>
          <w:szCs w:val="22"/>
        </w:rPr>
        <w:t xml:space="preserve">accommodation is key for tourism workforce.  Many workers stay locally at campsites or on caravan/seasonal pitches, low cost, affordable and close-to-work accommodation should be prioritised. </w:t>
      </w:r>
      <w:r w:rsidRPr="5EA1F6DB">
        <w:rPr>
          <w:rFonts w:ascii="Arial" w:eastAsia="Arial" w:hAnsi="Arial" w:cs="Arial"/>
          <w:sz w:val="22"/>
          <w:szCs w:val="22"/>
        </w:rPr>
        <w:t xml:space="preserve">Rising employment costs and regulatory burdens make it harder to maintain staffing and skills. Policy should recognise horticulture as part of the </w:t>
      </w:r>
      <w:r w:rsidRPr="5EA1F6DB">
        <w:rPr>
          <w:rFonts w:ascii="Arial" w:eastAsia="Arial" w:hAnsi="Arial" w:cs="Arial"/>
          <w:sz w:val="22"/>
          <w:szCs w:val="22"/>
        </w:rPr>
        <w:t>visitor experience</w:t>
      </w:r>
      <w:r w:rsidRPr="5EA1F6DB">
        <w:rPr>
          <w:rFonts w:ascii="Arial" w:eastAsia="Arial" w:hAnsi="Arial" w:cs="Arial"/>
          <w:sz w:val="22"/>
          <w:szCs w:val="22"/>
        </w:rPr>
        <w:t xml:space="preserve"> workforce, </w:t>
      </w:r>
      <w:r w:rsidRPr="5EA1F6DB">
        <w:rPr>
          <w:rFonts w:ascii="Arial" w:eastAsia="Arial" w:hAnsi="Arial" w:cs="Arial"/>
          <w:sz w:val="22"/>
          <w:szCs w:val="22"/>
        </w:rPr>
        <w:t>in addition to</w:t>
      </w:r>
      <w:r w:rsidRPr="5EA1F6DB">
        <w:rPr>
          <w:rFonts w:ascii="Arial" w:eastAsia="Arial" w:hAnsi="Arial" w:cs="Arial"/>
          <w:sz w:val="22"/>
          <w:szCs w:val="22"/>
        </w:rPr>
        <w:t xml:space="preserve"> production, land-based or environmental sector.</w:t>
      </w:r>
    </w:p>
    <w:p w:rsidR="00D535B8" w:rsidP="2F80F5E2"/>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3B3FB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uiPriority w:val="9"/>
    <w:unhideWhenUsed/>
    <w:qFormat/>
    <w:rsid w:val="2F80F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BF2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TOU0039</dc:title>
  <cp:revision>0</cp:revision>
</cp:coreProperties>
</file>