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F7EB9" w:rsidRPr="00560C4C" w:rsidP="00CF7EB9">
      <w:pPr>
        <w:spacing w:line="360" w:lineRule="auto"/>
        <w:jc w:val="center"/>
        <w:rPr>
          <w:rFonts w:ascii="Calibri" w:hAnsi="Calibri" w:cs="Calibri"/>
          <w:sz w:val="28"/>
          <w:szCs w:val="28"/>
        </w:rPr>
      </w:pPr>
      <w:r w:rsidRPr="00560C4C">
        <w:rPr>
          <w:rFonts w:ascii="Calibri" w:hAnsi="Calibri" w:cs="Calibri"/>
          <w:sz w:val="28"/>
          <w:szCs w:val="28"/>
        </w:rPr>
        <w:t>Written evidence submitted b</w:t>
      </w:r>
      <w:r>
        <w:rPr>
          <w:rFonts w:ascii="Calibri" w:hAnsi="Calibri" w:cs="Calibri"/>
          <w:sz w:val="28"/>
          <w:szCs w:val="28"/>
        </w:rPr>
        <w:t xml:space="preserve">y </w:t>
      </w:r>
      <w:r w:rsidRPr="00CF7EB9">
        <w:rPr>
          <w:rFonts w:ascii="Calibri" w:hAnsi="Calibri" w:cs="Calibri"/>
          <w:sz w:val="28"/>
          <w:szCs w:val="28"/>
        </w:rPr>
        <w:t>Dr Carol Zhang</w:t>
      </w:r>
    </w:p>
    <w:p w:rsidR="00D1025E" w:rsidP="007D75FF">
      <w:pPr>
        <w:spacing w:after="0" w:line="240" w:lineRule="auto"/>
        <w:jc w:val="both"/>
        <w:rPr>
          <w:rFonts w:ascii="Times New Roman" w:eastAsia="Times New Roman" w:hAnsi="Times New Roman" w:cs="Times New Roman"/>
          <w:kern w:val="0"/>
        </w:rPr>
      </w:pPr>
      <w:r w:rsidRPr="007D75FF">
        <w:rPr>
          <w:rFonts w:ascii="Times New Roman" w:eastAsia="Times New Roman" w:hAnsi="Times New Roman" w:cs="Times New Roman"/>
          <w:kern w:val="0"/>
        </w:rPr>
        <w:t>This submission argues that the UK can strengthen its tourism sector by leveraging its unique strengths in education, cultural heritage, and intellectual legacy. It highlights the potential of education-linked tourism and cultural heritage tourism to create a more inclusive visitor environment. Detailed responses to the inquiry are provided below:</w:t>
      </w:r>
    </w:p>
    <w:p w:rsidR="00D1025E" w:rsidP="007D75FF">
      <w:pPr>
        <w:spacing w:after="0" w:line="240" w:lineRule="auto"/>
        <w:jc w:val="both"/>
        <w:rPr>
          <w:rFonts w:ascii="Times New Roman" w:eastAsia="Times New Roman" w:hAnsi="Times New Roman" w:cs="Times New Roman"/>
          <w:kern w:val="0"/>
        </w:rPr>
      </w:pPr>
    </w:p>
    <w:p w:rsidR="00D1025E" w:rsidRPr="00E848FE" w:rsidP="00A63CA8">
      <w:pPr>
        <w:spacing w:after="0" w:line="240" w:lineRule="auto"/>
        <w:rPr>
          <w:rFonts w:ascii="Times New Roman" w:hAnsi="Times New Roman" w:cs="Times New Roman"/>
          <w:b/>
          <w:bCs/>
        </w:rPr>
      </w:pPr>
      <w:r w:rsidRPr="00E848FE">
        <w:rPr>
          <w:rFonts w:ascii="Times New Roman" w:hAnsi="Times New Roman" w:cs="Times New Roman"/>
          <w:b/>
          <w:bCs/>
        </w:rPr>
        <w:t>1. Supporting Growth, Competitiveness and Resilience</w:t>
      </w:r>
    </w:p>
    <w:p w:rsidR="00D1025E" w:rsidRPr="0052335B" w:rsidP="004C1570">
      <w:pPr>
        <w:spacing w:after="0" w:line="240" w:lineRule="auto"/>
        <w:ind w:firstLine="567"/>
        <w:jc w:val="both"/>
        <w:rPr>
          <w:rFonts w:ascii="Times New Roman" w:hAnsi="Times New Roman" w:cs="Times New Roman"/>
        </w:rPr>
      </w:pPr>
      <w:r w:rsidRPr="0052335B">
        <w:rPr>
          <w:rFonts w:ascii="Times New Roman" w:hAnsi="Times New Roman" w:cs="Times New Roman"/>
        </w:rPr>
        <w:t>The UK tourism sector remains globally significant but is not fully realising its potential in terms of international competitiveness and long-term resilience. A key opportunity lies in better integrating tourism with the UK’s globally recognised strengths in education, culture, and intellectual heritage.</w:t>
      </w:r>
    </w:p>
    <w:p w:rsidR="00D1025E" w:rsidP="00A63CA8">
      <w:pPr>
        <w:spacing w:after="0" w:line="240" w:lineRule="auto"/>
        <w:ind w:firstLine="567"/>
        <w:jc w:val="both"/>
        <w:rPr>
          <w:rFonts w:ascii="Times New Roman" w:hAnsi="Times New Roman" w:cs="Times New Roman"/>
        </w:rPr>
      </w:pPr>
      <w:r w:rsidRPr="0052335B">
        <w:rPr>
          <w:rFonts w:ascii="Times New Roman" w:hAnsi="Times New Roman" w:cs="Times New Roman"/>
        </w:rPr>
        <w:t xml:space="preserve">International students represent a critical but under-recognised driver of tourism. Their presence generates significant economic activity beyond tuition fees, including accommodation, local spending, and visiting friends and relatives (VFR). These extended networks create repeat visitation and sustained engagement with UK destinations. </w:t>
      </w:r>
      <w:r w:rsidRPr="00D34FDD">
        <w:rPr>
          <w:rFonts w:ascii="Times New Roman" w:hAnsi="Times New Roman" w:cs="Times New Roman"/>
        </w:rPr>
        <w:t>In the current climate, strengthening policies that support international student mobility is important. Measures could include a streamlined visa process and more favourable visa policies. These steps would help ensure the sustainable development of the UK’s visitor economy and support wider economic growth.</w:t>
      </w:r>
    </w:p>
    <w:p w:rsidR="00D1025E" w:rsidP="00AF16FF">
      <w:pPr>
        <w:spacing w:after="0" w:line="240" w:lineRule="auto"/>
        <w:ind w:firstLine="567"/>
        <w:jc w:val="both"/>
        <w:rPr>
          <w:rFonts w:ascii="Times New Roman" w:hAnsi="Times New Roman" w:cs="Times New Roman"/>
        </w:rPr>
      </w:pPr>
      <w:r w:rsidRPr="00765FE6">
        <w:rPr>
          <w:rFonts w:ascii="Times New Roman" w:hAnsi="Times New Roman" w:cs="Times New Roman"/>
        </w:rPr>
        <w:t>This contribution also links to the UK’s international competitiveness. The country’s unique cultural and intellectual narratives remain a major strength. Globally recognised figures such as Shakespeare, Isaac Newton, and Stephen Hawking, as well as contemporary cultural references such as Harry Potter, provide powerful storytelling assets. However, these are not yet consistently integrated into a coherent national tourism offer.</w:t>
      </w:r>
      <w:r>
        <w:rPr>
          <w:rFonts w:ascii="Times New Roman" w:hAnsi="Times New Roman" w:cs="Times New Roman"/>
        </w:rPr>
        <w:t xml:space="preserve"> </w:t>
      </w:r>
      <w:r w:rsidRPr="00765FE6">
        <w:rPr>
          <w:rFonts w:ascii="Times New Roman" w:hAnsi="Times New Roman" w:cs="Times New Roman"/>
        </w:rPr>
        <w:t>Greater coordination is needed to position the UK not only as a cultural destination, but also as a place of learning, creativity, and innovation. Linking historical figures with contemporary innovation and educational resources could strengthen student mobility, support educational tourism, and enhance intercultural and intellectual connections between places.</w:t>
      </w:r>
    </w:p>
    <w:p w:rsidR="00D1025E" w:rsidP="00AF16FF">
      <w:pPr>
        <w:spacing w:after="0" w:line="240" w:lineRule="auto"/>
        <w:ind w:firstLine="567"/>
        <w:jc w:val="both"/>
        <w:rPr>
          <w:rFonts w:ascii="Times New Roman" w:hAnsi="Times New Roman" w:cs="Times New Roman"/>
        </w:rPr>
      </w:pPr>
    </w:p>
    <w:p w:rsidR="00D1025E" w:rsidP="00AF16FF">
      <w:pPr>
        <w:spacing w:after="0" w:line="240" w:lineRule="auto"/>
        <w:jc w:val="both"/>
        <w:rPr>
          <w:rFonts w:ascii="Times New Roman" w:hAnsi="Times New Roman" w:cs="Times New Roman"/>
        </w:rPr>
      </w:pPr>
      <w:r w:rsidRPr="00E848FE">
        <w:rPr>
          <w:rFonts w:ascii="Times New Roman" w:hAnsi="Times New Roman" w:cs="Times New Roman"/>
          <w:b/>
          <w:bCs/>
        </w:rPr>
        <w:t>2. Government Structures and Sector Support</w:t>
      </w:r>
    </w:p>
    <w:p w:rsidR="00D1025E" w:rsidP="005771BF">
      <w:pPr>
        <w:spacing w:after="0" w:line="240" w:lineRule="auto"/>
        <w:ind w:firstLine="567"/>
        <w:jc w:val="both"/>
        <w:rPr>
          <w:rFonts w:ascii="Times New Roman" w:hAnsi="Times New Roman" w:cs="Times New Roman"/>
        </w:rPr>
      </w:pPr>
      <w:r w:rsidRPr="005771BF">
        <w:rPr>
          <w:rFonts w:ascii="Times New Roman" w:hAnsi="Times New Roman" w:cs="Times New Roman"/>
        </w:rPr>
        <w:t>Tourism governance in the UK is relatively fragmented, with multiple actors operating at national, regional, and local levels. Organisations such as VisitBritain and Destination Management Organisations (DMOs) play important roles in promotion and coordination. However, there is scope to strengthen alignment between tourism, education, and cultural policy.</w:t>
      </w:r>
      <w:r>
        <w:rPr>
          <w:rFonts w:ascii="Times New Roman" w:hAnsi="Times New Roman" w:cs="Times New Roman"/>
        </w:rPr>
        <w:t xml:space="preserve"> </w:t>
      </w:r>
      <w:r w:rsidRPr="005771BF">
        <w:rPr>
          <w:rFonts w:ascii="Times New Roman" w:hAnsi="Times New Roman" w:cs="Times New Roman"/>
        </w:rPr>
        <w:t>The recent restructuring of DMOs offers some improvements. However, DMOs often act mainly as marketing coordinators rather than leading product development or destination management. This limits their authority and influence over the visitor economy.</w:t>
      </w:r>
      <w:r>
        <w:rPr>
          <w:rFonts w:ascii="Times New Roman" w:hAnsi="Times New Roman" w:cs="Times New Roman"/>
        </w:rPr>
        <w:t xml:space="preserve"> </w:t>
      </w:r>
      <w:r w:rsidRPr="005771BF">
        <w:rPr>
          <w:rFonts w:ascii="Times New Roman" w:hAnsi="Times New Roman" w:cs="Times New Roman"/>
        </w:rPr>
        <w:t>In addition, conflicting visions between county and city-level governments further constrain effective coordination. These tensions reduce the ability of DMOs to manage destinations strategically and to deliver a coherent approach to tourism development.</w:t>
      </w:r>
    </w:p>
    <w:p w:rsidR="00D1025E" w:rsidP="006E0955">
      <w:pPr>
        <w:spacing w:after="0" w:line="240" w:lineRule="auto"/>
        <w:ind w:firstLine="567"/>
        <w:jc w:val="both"/>
        <w:rPr>
          <w:rFonts w:ascii="Times New Roman" w:hAnsi="Times New Roman" w:cs="Times New Roman"/>
        </w:rPr>
      </w:pPr>
      <w:r w:rsidRPr="00E848FE">
        <w:rPr>
          <w:rFonts w:ascii="Times New Roman" w:hAnsi="Times New Roman" w:cs="Times New Roman"/>
        </w:rPr>
        <w:t>Universities and educational institutions are currently underutilised as anchors of the visitor economy. They attract global audiences and shape international perceptions of the UK, yet they are not systematically integrated into tourism strategies. More joined-up working between government departments, regional authorities, and education providers would enable stronger coordination and more effective use of existing assets.</w:t>
      </w:r>
    </w:p>
    <w:p w:rsidR="00D1025E" w:rsidP="004C1570">
      <w:pPr>
        <w:spacing w:after="0" w:line="240" w:lineRule="auto"/>
        <w:jc w:val="both"/>
        <w:rPr>
          <w:rFonts w:ascii="Times New Roman" w:hAnsi="Times New Roman" w:cs="Times New Roman"/>
        </w:rPr>
      </w:pPr>
    </w:p>
    <w:p w:rsidR="00D1025E" w:rsidRPr="004C1570" w:rsidP="004C1570">
      <w:pPr>
        <w:spacing w:after="0" w:line="240" w:lineRule="auto"/>
        <w:jc w:val="both"/>
        <w:rPr>
          <w:rFonts w:ascii="Times New Roman" w:hAnsi="Times New Roman" w:cs="Times New Roman"/>
          <w:b/>
          <w:bCs/>
        </w:rPr>
      </w:pPr>
      <w:r w:rsidRPr="004C1570">
        <w:rPr>
          <w:rFonts w:ascii="Times New Roman" w:hAnsi="Times New Roman" w:cs="Times New Roman"/>
          <w:b/>
          <w:bCs/>
        </w:rPr>
        <w:t xml:space="preserve">3. Measurements about cultural assets visitor economy </w:t>
      </w:r>
      <w:r>
        <w:rPr>
          <w:rFonts w:ascii="Times New Roman" w:hAnsi="Times New Roman" w:cs="Times New Roman"/>
          <w:b/>
          <w:bCs/>
        </w:rPr>
        <w:t>appeal</w:t>
      </w:r>
    </w:p>
    <w:p w:rsidR="00D1025E" w:rsidP="00312F87">
      <w:pPr>
        <w:spacing w:after="0" w:line="240" w:lineRule="auto"/>
        <w:ind w:firstLine="567"/>
        <w:jc w:val="both"/>
        <w:rPr>
          <w:rFonts w:ascii="Times New Roman" w:eastAsia="Times New Roman" w:hAnsi="Times New Roman" w:cs="Times New Roman"/>
          <w:kern w:val="0"/>
        </w:rPr>
      </w:pPr>
      <w:r w:rsidRPr="00C219C3">
        <w:rPr>
          <w:rFonts w:ascii="Times New Roman" w:eastAsia="Times New Roman" w:hAnsi="Times New Roman" w:cs="Times New Roman"/>
          <w:kern w:val="0"/>
        </w:rPr>
        <w:t xml:space="preserve">Not all heritage sites are equally important, and not all cultural attractions have national or international appeal. For this reason, it is essential to develop clear evaluation methods and </w:t>
      </w:r>
      <w:r w:rsidRPr="00C219C3">
        <w:rPr>
          <w:rFonts w:ascii="Times New Roman" w:eastAsia="Times New Roman" w:hAnsi="Times New Roman" w:cs="Times New Roman"/>
          <w:kern w:val="0"/>
        </w:rPr>
        <w:t>metrics. These tools can help identify where investment should be prioritised, especially under financial pressure.</w:t>
      </w:r>
    </w:p>
    <w:p w:rsidR="00D1025E" w:rsidP="00312F87">
      <w:pPr>
        <w:spacing w:after="0" w:line="240" w:lineRule="auto"/>
        <w:ind w:firstLine="567"/>
        <w:jc w:val="both"/>
        <w:rPr>
          <w:rFonts w:ascii="Times New Roman" w:eastAsia="Times New Roman" w:hAnsi="Times New Roman" w:cs="Times New Roman"/>
          <w:kern w:val="0"/>
        </w:rPr>
      </w:pPr>
      <w:r w:rsidRPr="00312F87">
        <w:rPr>
          <w:rFonts w:ascii="Times New Roman" w:eastAsia="Times New Roman" w:hAnsi="Times New Roman" w:cs="Times New Roman"/>
          <w:kern w:val="0"/>
        </w:rPr>
        <w:t>A structured assessment of cultural assets should consider different levels of significance, including international, national, and local importance. It should also assess whether attractions have strong market appeal.</w:t>
      </w:r>
      <w:r>
        <w:rPr>
          <w:rFonts w:ascii="Times New Roman" w:eastAsia="Times New Roman" w:hAnsi="Times New Roman" w:cs="Times New Roman"/>
          <w:kern w:val="0"/>
        </w:rPr>
        <w:t xml:space="preserve"> </w:t>
      </w:r>
      <w:r w:rsidRPr="00312F87">
        <w:rPr>
          <w:rFonts w:ascii="Times New Roman" w:eastAsia="Times New Roman" w:hAnsi="Times New Roman" w:cs="Times New Roman"/>
          <w:kern w:val="0"/>
        </w:rPr>
        <w:t>Locally significant attractions are important, but their financial sustainability must be realistic. It should be recognised that not all sites can develop into national or international destinations. For example, major investment in Nottingham Castle is unlikely to transform it into an international attraction, as it remains primarily regional in appeal.</w:t>
      </w:r>
      <w:r>
        <w:rPr>
          <w:rFonts w:ascii="Times New Roman" w:eastAsia="Times New Roman" w:hAnsi="Times New Roman" w:cs="Times New Roman"/>
          <w:kern w:val="0"/>
        </w:rPr>
        <w:t xml:space="preserve"> </w:t>
      </w:r>
      <w:r w:rsidRPr="00312F87">
        <w:rPr>
          <w:rFonts w:ascii="Times New Roman" w:eastAsia="Times New Roman" w:hAnsi="Times New Roman" w:cs="Times New Roman"/>
          <w:kern w:val="0"/>
        </w:rPr>
        <w:t>A thorough evaluation framework and practical toolkit are therefore essential to assess tourism potential. This approach would also help policymakers bal</w:t>
      </w:r>
      <w:r w:rsidRPr="00312F87">
        <w:rPr>
          <w:rFonts w:ascii="Times New Roman" w:eastAsia="Times New Roman" w:hAnsi="Times New Roman" w:cs="Times New Roman"/>
          <w:kern w:val="0"/>
        </w:rPr>
        <w:t>ance economic returns with cultural and social value.</w:t>
      </w:r>
    </w:p>
    <w:p w:rsidR="00D1025E" w:rsidP="00312F87">
      <w:pPr>
        <w:spacing w:after="0" w:line="240" w:lineRule="auto"/>
        <w:jc w:val="both"/>
        <w:rPr>
          <w:rFonts w:ascii="Times New Roman" w:eastAsia="Times New Roman" w:hAnsi="Times New Roman" w:cs="Times New Roman"/>
          <w:kern w:val="0"/>
        </w:rPr>
      </w:pPr>
    </w:p>
    <w:p w:rsidR="00D1025E" w:rsidP="003D4B91">
      <w:pPr>
        <w:spacing w:after="0" w:line="240" w:lineRule="auto"/>
        <w:jc w:val="both"/>
        <w:rPr>
          <w:rFonts w:ascii="Times New Roman" w:hAnsi="Times New Roman" w:cs="Times New Roman"/>
        </w:rPr>
      </w:pPr>
      <w:r>
        <w:rPr>
          <w:rFonts w:ascii="Times New Roman" w:hAnsi="Times New Roman" w:cs="Times New Roman"/>
          <w:b/>
          <w:bCs/>
        </w:rPr>
        <w:t>4</w:t>
      </w:r>
      <w:r w:rsidRPr="00E848FE">
        <w:rPr>
          <w:rFonts w:ascii="Times New Roman" w:hAnsi="Times New Roman" w:cs="Times New Roman"/>
          <w:b/>
          <w:bCs/>
        </w:rPr>
        <w:t xml:space="preserve">. </w:t>
      </w:r>
      <w:r>
        <w:rPr>
          <w:rFonts w:ascii="Times New Roman" w:hAnsi="Times New Roman" w:cs="Times New Roman"/>
          <w:b/>
          <w:bCs/>
        </w:rPr>
        <w:t xml:space="preserve">Accessibility to </w:t>
      </w:r>
      <w:r>
        <w:rPr>
          <w:rFonts w:ascii="Times New Roman" w:hAnsi="Times New Roman" w:cs="Times New Roman"/>
          <w:b/>
          <w:bCs/>
        </w:rPr>
        <w:t xml:space="preserve">cultural attractions. </w:t>
      </w:r>
    </w:p>
    <w:p w:rsidR="00D1025E" w:rsidRPr="006E0955" w:rsidP="006E0955">
      <w:pPr>
        <w:spacing w:after="0" w:line="240" w:lineRule="auto"/>
        <w:jc w:val="both"/>
        <w:rPr>
          <w:rFonts w:ascii="Times New Roman" w:hAnsi="Times New Roman" w:cs="Times New Roman"/>
        </w:rPr>
      </w:pPr>
      <w:r w:rsidRPr="006E0955">
        <w:rPr>
          <w:rFonts w:ascii="Times New Roman" w:hAnsi="Times New Roman" w:cs="Times New Roman"/>
        </w:rPr>
        <w:t>With an increased emphasis on the educational and intellectual potential of the UK’s cultural and educational resources, accessibility becomes a key issue. It affects both international and domestic visitation.</w:t>
      </w:r>
      <w:r>
        <w:rPr>
          <w:rFonts w:ascii="Times New Roman" w:hAnsi="Times New Roman" w:cs="Times New Roman"/>
        </w:rPr>
        <w:t xml:space="preserve"> </w:t>
      </w:r>
      <w:r w:rsidRPr="006E0955">
        <w:rPr>
          <w:rFonts w:ascii="Times New Roman" w:hAnsi="Times New Roman" w:cs="Times New Roman"/>
        </w:rPr>
        <w:t>Regional markets, heritage sites, museums, public art, and science centres have strong potential to attract diverse visitor groups. However, they often face constraints related to funding, accessibility, and visibility.</w:t>
      </w:r>
    </w:p>
    <w:p w:rsidR="00D1025E" w:rsidP="006E0955">
      <w:pPr>
        <w:spacing w:after="0" w:line="240" w:lineRule="auto"/>
        <w:ind w:firstLine="567"/>
        <w:rPr>
          <w:rFonts w:ascii="Times New Roman" w:hAnsi="Times New Roman" w:cs="Times New Roman"/>
        </w:rPr>
      </w:pPr>
      <w:r w:rsidRPr="006E0955">
        <w:rPr>
          <w:rFonts w:ascii="Times New Roman" w:hAnsi="Times New Roman" w:cs="Times New Roman"/>
        </w:rPr>
        <w:t>A critical priority is to improve accessibility across heritage and cultural assets. This should be understood as a multidimensional concept, including:</w:t>
      </w:r>
    </w:p>
    <w:p w:rsidR="00D1025E" w:rsidP="006E0955">
      <w:pPr>
        <w:pStyle w:val="ListParagraph"/>
        <w:numPr>
          <w:ilvl w:val="0"/>
          <w:numId w:val="7"/>
        </w:numPr>
        <w:spacing w:after="0" w:line="240" w:lineRule="auto"/>
        <w:rPr>
          <w:rFonts w:ascii="Times New Roman" w:hAnsi="Times New Roman" w:cs="Times New Roman"/>
        </w:rPr>
      </w:pPr>
      <w:r w:rsidRPr="006E0955">
        <w:rPr>
          <w:rFonts w:ascii="Times New Roman" w:hAnsi="Times New Roman" w:cs="Times New Roman"/>
        </w:rPr>
        <w:t>physical access (inclusive transport and infrastructure)</w:t>
      </w:r>
    </w:p>
    <w:p w:rsidR="00D1025E" w:rsidP="006E0955">
      <w:pPr>
        <w:pStyle w:val="ListParagraph"/>
        <w:numPr>
          <w:ilvl w:val="0"/>
          <w:numId w:val="7"/>
        </w:numPr>
        <w:spacing w:after="0" w:line="240" w:lineRule="auto"/>
        <w:rPr>
          <w:rFonts w:ascii="Times New Roman" w:hAnsi="Times New Roman" w:cs="Times New Roman"/>
        </w:rPr>
      </w:pPr>
      <w:r w:rsidRPr="006E0955">
        <w:rPr>
          <w:rFonts w:ascii="Times New Roman" w:hAnsi="Times New Roman" w:cs="Times New Roman"/>
        </w:rPr>
        <w:t>economic access (affordability and pricing structures)</w:t>
      </w:r>
    </w:p>
    <w:p w:rsidR="00D1025E" w:rsidP="006E0955">
      <w:pPr>
        <w:pStyle w:val="ListParagraph"/>
        <w:numPr>
          <w:ilvl w:val="0"/>
          <w:numId w:val="7"/>
        </w:numPr>
        <w:spacing w:after="0" w:line="240" w:lineRule="auto"/>
        <w:rPr>
          <w:rFonts w:ascii="Times New Roman" w:hAnsi="Times New Roman" w:cs="Times New Roman"/>
        </w:rPr>
      </w:pPr>
      <w:r w:rsidRPr="006E0955">
        <w:rPr>
          <w:rFonts w:ascii="Times New Roman" w:hAnsi="Times New Roman" w:cs="Times New Roman"/>
        </w:rPr>
        <w:t>digital access (availability of information and booking systems)</w:t>
      </w:r>
    </w:p>
    <w:p w:rsidR="00D1025E" w:rsidP="006E0955">
      <w:pPr>
        <w:pStyle w:val="ListParagraph"/>
        <w:numPr>
          <w:ilvl w:val="0"/>
          <w:numId w:val="7"/>
        </w:numPr>
        <w:spacing w:after="0" w:line="240" w:lineRule="auto"/>
        <w:rPr>
          <w:rFonts w:ascii="Times New Roman" w:hAnsi="Times New Roman" w:cs="Times New Roman"/>
        </w:rPr>
      </w:pPr>
      <w:r w:rsidRPr="006E0955">
        <w:rPr>
          <w:rFonts w:ascii="Times New Roman" w:hAnsi="Times New Roman" w:cs="Times New Roman"/>
        </w:rPr>
        <w:t>cultural access (representation and inclusivity)</w:t>
      </w:r>
    </w:p>
    <w:p w:rsidR="00D1025E" w:rsidRPr="006E0955" w:rsidP="006E0955">
      <w:pPr>
        <w:pStyle w:val="ListParagraph"/>
        <w:numPr>
          <w:ilvl w:val="0"/>
          <w:numId w:val="7"/>
        </w:numPr>
        <w:spacing w:after="0" w:line="240" w:lineRule="auto"/>
        <w:rPr>
          <w:rFonts w:ascii="Times New Roman" w:hAnsi="Times New Roman" w:cs="Times New Roman"/>
        </w:rPr>
      </w:pPr>
      <w:r w:rsidRPr="006E0955">
        <w:rPr>
          <w:rFonts w:ascii="Times New Roman" w:hAnsi="Times New Roman" w:cs="Times New Roman"/>
        </w:rPr>
        <w:t>social access (identity, social inclusion, and sense of belonging)</w:t>
      </w:r>
    </w:p>
    <w:p w:rsidR="00D1025E" w:rsidP="00312F87">
      <w:pPr>
        <w:spacing w:after="0" w:line="240" w:lineRule="auto"/>
        <w:rPr>
          <w:rFonts w:ascii="Times New Roman" w:hAnsi="Times New Roman" w:cs="Times New Roman"/>
        </w:rPr>
      </w:pPr>
      <w:r w:rsidRPr="006E0955">
        <w:rPr>
          <w:rFonts w:ascii="Times New Roman" w:hAnsi="Times New Roman" w:cs="Times New Roman"/>
        </w:rPr>
        <w:t>Improving accessibility would enable a wider range of visitors to engage with cultural assets. This, in turn, could increase visitor numbers, length of stay, and overall spending</w:t>
      </w:r>
    </w:p>
    <w:p w:rsidR="00D1025E" w:rsidRPr="00E848FE" w:rsidP="00312F87">
      <w:pPr>
        <w:spacing w:after="0" w:line="240" w:lineRule="auto"/>
        <w:rPr>
          <w:rFonts w:ascii="Times New Roman" w:hAnsi="Times New Roman" w:cs="Times New Roman"/>
        </w:rPr>
      </w:pPr>
    </w:p>
    <w:p w:rsidR="00D1025E" w:rsidRPr="00E848FE" w:rsidP="00312F87">
      <w:pPr>
        <w:spacing w:after="0" w:line="240" w:lineRule="auto"/>
        <w:rPr>
          <w:rFonts w:ascii="Times New Roman" w:hAnsi="Times New Roman" w:cs="Times New Roman"/>
          <w:b/>
          <w:bCs/>
        </w:rPr>
      </w:pPr>
      <w:r>
        <w:rPr>
          <w:rFonts w:ascii="Times New Roman" w:hAnsi="Times New Roman" w:cs="Times New Roman"/>
          <w:b/>
          <w:bCs/>
        </w:rPr>
        <w:t>5</w:t>
      </w:r>
      <w:r w:rsidRPr="00E848FE">
        <w:rPr>
          <w:rFonts w:ascii="Times New Roman" w:hAnsi="Times New Roman" w:cs="Times New Roman"/>
          <w:b/>
          <w:bCs/>
        </w:rPr>
        <w:t>. Workforce Issues</w:t>
      </w:r>
    </w:p>
    <w:p w:rsidR="00D1025E" w:rsidRPr="00CF7EB9" w:rsidP="00CF7EB9">
      <w:pPr>
        <w:spacing w:after="0" w:line="240" w:lineRule="auto"/>
        <w:ind w:firstLine="567"/>
        <w:jc w:val="both"/>
        <w:rPr>
          <w:rFonts w:ascii="Times New Roman" w:hAnsi="Times New Roman" w:cs="Times New Roman"/>
        </w:rPr>
      </w:pPr>
      <w:r w:rsidRPr="0052526D">
        <w:rPr>
          <w:rFonts w:ascii="Times New Roman" w:hAnsi="Times New Roman" w:cs="Times New Roman"/>
        </w:rPr>
        <w:t>The tourism sector, and the wider service industry, faces ongoing challenges in recruitment, retention, and career progression. Improving job quality, training opportunities, and long-term career pathways is essential to maintain high-quality visitor experiences.</w:t>
      </w:r>
      <w:r>
        <w:rPr>
          <w:rFonts w:ascii="Times New Roman" w:hAnsi="Times New Roman" w:cs="Times New Roman"/>
        </w:rPr>
        <w:t xml:space="preserve"> </w:t>
      </w:r>
      <w:r w:rsidRPr="0052526D">
        <w:rPr>
          <w:rFonts w:ascii="Times New Roman" w:hAnsi="Times New Roman" w:cs="Times New Roman"/>
        </w:rPr>
        <w:t xml:space="preserve">However, achieving this is not straightforward. Attitudes towards jobs are often shaped early in life. The national curriculum tends to emphasise traditional careers, such as doctors and lawyers, or focuses on corporate and financial pathways. As a result, it can be difficult to introduce service-sector careers to young adults </w:t>
      </w:r>
      <w:r w:rsidRPr="0052526D">
        <w:rPr>
          <w:rFonts w:ascii="Times New Roman" w:hAnsi="Times New Roman" w:cs="Times New Roman"/>
        </w:rPr>
        <w:t>later on</w:t>
      </w:r>
      <w:r w:rsidRPr="0052526D">
        <w:rPr>
          <w:rFonts w:ascii="Times New Roman" w:hAnsi="Times New Roman" w:cs="Times New Roman"/>
        </w:rPr>
        <w:t>.</w:t>
      </w:r>
      <w:r>
        <w:rPr>
          <w:rFonts w:ascii="Times New Roman" w:hAnsi="Times New Roman" w:cs="Times New Roman"/>
        </w:rPr>
        <w:t xml:space="preserve"> </w:t>
      </w:r>
      <w:r w:rsidRPr="0052526D">
        <w:rPr>
          <w:rFonts w:ascii="Times New Roman" w:hAnsi="Times New Roman" w:cs="Times New Roman"/>
        </w:rPr>
        <w:t>Early intervention is therefore important. Child-appropriate books, curriculum reform, and targeted events can help improve the visibility of the service industry. These ef</w:t>
      </w:r>
      <w:r w:rsidRPr="0052526D">
        <w:rPr>
          <w:rFonts w:ascii="Times New Roman" w:hAnsi="Times New Roman" w:cs="Times New Roman"/>
        </w:rPr>
        <w:t>forts should present it not as a last-resort option, but as a respected career with clear progression and positive experiences.</w:t>
      </w:r>
      <w:r>
        <w:rPr>
          <w:rFonts w:ascii="Times New Roman" w:hAnsi="Times New Roman" w:cs="Times New Roman"/>
        </w:rPr>
        <w:t xml:space="preserve"> </w:t>
      </w:r>
      <w:r w:rsidRPr="0052526D">
        <w:rPr>
          <w:rFonts w:ascii="Times New Roman" w:hAnsi="Times New Roman" w:cs="Times New Roman"/>
        </w:rPr>
        <w:t>In addition, policy frameworks should recognise the importance of international talent. Immigration policies play a key role in shaping workforce availability across tourism, education, and cultural sectors. Ensuring that these policies support, rather than constrain, sector needs will be critical for future growth.</w:t>
      </w:r>
    </w:p>
    <w:p w:rsidR="00D1025E" w:rsidRPr="00E848FE" w:rsidP="00312F87">
      <w:pPr>
        <w:spacing w:after="0" w:line="240" w:lineRule="auto"/>
        <w:rPr>
          <w:rFonts w:ascii="Times New Roman" w:hAnsi="Times New Roman" w:cs="Times New Roman"/>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D5175BA"/>
    <w:multiLevelType w:val="hybridMultilevel"/>
    <w:tmpl w:val="5238BD2E"/>
    <w:lvl w:ilvl="0">
      <w:start w:val="0"/>
      <w:numFmt w:val="bullet"/>
      <w:lvlText w:val="•"/>
      <w:lvlJc w:val="left"/>
      <w:pPr>
        <w:ind w:left="644" w:hanging="360"/>
      </w:pPr>
      <w:rPr>
        <w:rFonts w:ascii="Times New Roman" w:hAnsi="Times New Roman" w:eastAsiaTheme="minorEastAsia" w:cs="Times New Roman" w:hint="default"/>
      </w:rPr>
    </w:lvl>
    <w:lvl w:ilvl="1" w:tentative="1">
      <w:start w:val="1"/>
      <w:numFmt w:val="bullet"/>
      <w:lvlText w:val="o"/>
      <w:lvlJc w:val="left"/>
      <w:pPr>
        <w:ind w:left="1364" w:hanging="360"/>
      </w:pPr>
      <w:rPr>
        <w:rFonts w:ascii="Courier New" w:hAnsi="Courier New" w:cs="Courier New" w:hint="default"/>
      </w:rPr>
    </w:lvl>
    <w:lvl w:ilvl="2" w:tentative="1">
      <w:start w:val="1"/>
      <w:numFmt w:val="bullet"/>
      <w:lvlText w:val=""/>
      <w:lvlJc w:val="left"/>
      <w:pPr>
        <w:ind w:left="2084" w:hanging="360"/>
      </w:pPr>
      <w:rPr>
        <w:rFonts w:ascii="Wingdings" w:hAnsi="Wingdings" w:hint="default"/>
      </w:rPr>
    </w:lvl>
    <w:lvl w:ilvl="3" w:tentative="1">
      <w:start w:val="1"/>
      <w:numFmt w:val="bullet"/>
      <w:lvlText w:val=""/>
      <w:lvlJc w:val="left"/>
      <w:pPr>
        <w:ind w:left="2804" w:hanging="360"/>
      </w:pPr>
      <w:rPr>
        <w:rFonts w:ascii="Symbol" w:hAnsi="Symbol" w:hint="default"/>
      </w:rPr>
    </w:lvl>
    <w:lvl w:ilvl="4" w:tentative="1">
      <w:start w:val="1"/>
      <w:numFmt w:val="bullet"/>
      <w:lvlText w:val="o"/>
      <w:lvlJc w:val="left"/>
      <w:pPr>
        <w:ind w:left="3524" w:hanging="360"/>
      </w:pPr>
      <w:rPr>
        <w:rFonts w:ascii="Courier New" w:hAnsi="Courier New" w:cs="Courier New" w:hint="default"/>
      </w:rPr>
    </w:lvl>
    <w:lvl w:ilvl="5" w:tentative="1">
      <w:start w:val="1"/>
      <w:numFmt w:val="bullet"/>
      <w:lvlText w:val=""/>
      <w:lvlJc w:val="left"/>
      <w:pPr>
        <w:ind w:left="4244" w:hanging="360"/>
      </w:pPr>
      <w:rPr>
        <w:rFonts w:ascii="Wingdings" w:hAnsi="Wingdings" w:hint="default"/>
      </w:rPr>
    </w:lvl>
    <w:lvl w:ilvl="6" w:tentative="1">
      <w:start w:val="1"/>
      <w:numFmt w:val="bullet"/>
      <w:lvlText w:val=""/>
      <w:lvlJc w:val="left"/>
      <w:pPr>
        <w:ind w:left="4964" w:hanging="360"/>
      </w:pPr>
      <w:rPr>
        <w:rFonts w:ascii="Symbol" w:hAnsi="Symbol" w:hint="default"/>
      </w:rPr>
    </w:lvl>
    <w:lvl w:ilvl="7" w:tentative="1">
      <w:start w:val="1"/>
      <w:numFmt w:val="bullet"/>
      <w:lvlText w:val="o"/>
      <w:lvlJc w:val="left"/>
      <w:pPr>
        <w:ind w:left="5684" w:hanging="360"/>
      </w:pPr>
      <w:rPr>
        <w:rFonts w:ascii="Courier New" w:hAnsi="Courier New" w:cs="Courier New" w:hint="default"/>
      </w:rPr>
    </w:lvl>
    <w:lvl w:ilvl="8" w:tentative="1">
      <w:start w:val="1"/>
      <w:numFmt w:val="bullet"/>
      <w:lvlText w:val=""/>
      <w:lvlJc w:val="left"/>
      <w:pPr>
        <w:ind w:left="6404" w:hanging="360"/>
      </w:pPr>
      <w:rPr>
        <w:rFonts w:ascii="Wingdings" w:hAnsi="Wingdings" w:hint="default"/>
      </w:rPr>
    </w:lvl>
  </w:abstractNum>
  <w:abstractNum w:abstractNumId="1">
    <w:nsid w:val="228C14D4"/>
    <w:multiLevelType w:val="multilevel"/>
    <w:tmpl w:val="9FB4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95600A3"/>
    <w:multiLevelType w:val="hybridMultilevel"/>
    <w:tmpl w:val="44D2C3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5D667D7"/>
    <w:multiLevelType w:val="hybridMultilevel"/>
    <w:tmpl w:val="C8CE176E"/>
    <w:lvl w:ilvl="0">
      <w:start w:val="0"/>
      <w:numFmt w:val="bullet"/>
      <w:lvlText w:val="•"/>
      <w:lvlJc w:val="left"/>
      <w:pPr>
        <w:ind w:left="720" w:hanging="360"/>
      </w:pPr>
      <w:rPr>
        <w:rFonts w:ascii="Times New Roman" w:hAnsi="Times New Roman" w:eastAsiaTheme="minorEastAsi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D3E7A70"/>
    <w:multiLevelType w:val="multilevel"/>
    <w:tmpl w:val="E70E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C30651A"/>
    <w:multiLevelType w:val="multilevel"/>
    <w:tmpl w:val="BDF6F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B1531CB"/>
    <w:multiLevelType w:val="multilevel"/>
    <w:tmpl w:val="F32A5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4"/>
  </w:num>
  <w:num w:numId="4">
    <w:abstractNumId w:val="6"/>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84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4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4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4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4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4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4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4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4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4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4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4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4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4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4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4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4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48FE"/>
    <w:rPr>
      <w:rFonts w:eastAsiaTheme="majorEastAsia" w:cstheme="majorBidi"/>
      <w:color w:val="272727" w:themeColor="text1" w:themeTint="D8"/>
    </w:rPr>
  </w:style>
  <w:style w:type="paragraph" w:styleId="Title">
    <w:name w:val="Title"/>
    <w:basedOn w:val="Normal"/>
    <w:next w:val="Normal"/>
    <w:link w:val="TitleChar"/>
    <w:uiPriority w:val="10"/>
    <w:qFormat/>
    <w:rsid w:val="00E84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4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4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4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48FE"/>
    <w:pPr>
      <w:spacing w:before="160"/>
      <w:jc w:val="center"/>
    </w:pPr>
    <w:rPr>
      <w:i/>
      <w:iCs/>
      <w:color w:val="404040" w:themeColor="text1" w:themeTint="BF"/>
    </w:rPr>
  </w:style>
  <w:style w:type="character" w:customStyle="1" w:styleId="QuoteChar">
    <w:name w:val="Quote Char"/>
    <w:basedOn w:val="DefaultParagraphFont"/>
    <w:link w:val="Quote"/>
    <w:uiPriority w:val="29"/>
    <w:rsid w:val="00E848FE"/>
    <w:rPr>
      <w:i/>
      <w:iCs/>
      <w:color w:val="404040" w:themeColor="text1" w:themeTint="BF"/>
    </w:rPr>
  </w:style>
  <w:style w:type="paragraph" w:styleId="ListParagraph">
    <w:name w:val="List Paragraph"/>
    <w:basedOn w:val="Normal"/>
    <w:uiPriority w:val="34"/>
    <w:qFormat/>
    <w:rsid w:val="00E848FE"/>
    <w:pPr>
      <w:ind w:left="720"/>
      <w:contextualSpacing/>
    </w:pPr>
  </w:style>
  <w:style w:type="character" w:styleId="IntenseEmphasis">
    <w:name w:val="Intense Emphasis"/>
    <w:basedOn w:val="DefaultParagraphFont"/>
    <w:uiPriority w:val="21"/>
    <w:qFormat/>
    <w:rsid w:val="00E848FE"/>
    <w:rPr>
      <w:i/>
      <w:iCs/>
      <w:color w:val="0F4761" w:themeColor="accent1" w:themeShade="BF"/>
    </w:rPr>
  </w:style>
  <w:style w:type="paragraph" w:styleId="IntenseQuote">
    <w:name w:val="Intense Quote"/>
    <w:basedOn w:val="Normal"/>
    <w:next w:val="Normal"/>
    <w:link w:val="IntenseQuoteChar"/>
    <w:uiPriority w:val="30"/>
    <w:qFormat/>
    <w:rsid w:val="00E84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48FE"/>
    <w:rPr>
      <w:i/>
      <w:iCs/>
      <w:color w:val="0F4761" w:themeColor="accent1" w:themeShade="BF"/>
    </w:rPr>
  </w:style>
  <w:style w:type="character" w:styleId="IntenseReference">
    <w:name w:val="Intense Reference"/>
    <w:basedOn w:val="DefaultParagraphFont"/>
    <w:uiPriority w:val="32"/>
    <w:qFormat/>
    <w:rsid w:val="00E848FE"/>
    <w:rPr>
      <w:b/>
      <w:bCs/>
      <w:smallCaps/>
      <w:color w:val="0F4761" w:themeColor="accent1" w:themeShade="BF"/>
      <w:spacing w:val="5"/>
    </w:rPr>
  </w:style>
  <w:style w:type="paragraph" w:styleId="Header">
    <w:name w:val="header"/>
    <w:basedOn w:val="Normal"/>
    <w:link w:val="HeaderChar"/>
    <w:uiPriority w:val="99"/>
    <w:unhideWhenUsed/>
    <w:rsid w:val="00C043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34E"/>
  </w:style>
  <w:style w:type="paragraph" w:styleId="Footer">
    <w:name w:val="footer"/>
    <w:basedOn w:val="Normal"/>
    <w:link w:val="FooterChar"/>
    <w:uiPriority w:val="99"/>
    <w:unhideWhenUsed/>
    <w:rsid w:val="00C043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TOU0034</dc:title>
  <cp:revision>0</cp:revision>
</cp:coreProperties>
</file>