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7FC1" w:rsidRPr="00560C4C" w:rsidP="00047FC1">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047FC1">
        <w:rPr>
          <w:rFonts w:ascii="Calibri" w:hAnsi="Calibri" w:cs="Calibri"/>
          <w:sz w:val="28"/>
          <w:szCs w:val="28"/>
        </w:rPr>
        <w:t xml:space="preserve"> </w:t>
      </w:r>
      <w:r>
        <w:rPr>
          <w:rFonts w:ascii="Calibri" w:hAnsi="Calibri" w:cs="Calibri"/>
          <w:sz w:val="28"/>
          <w:szCs w:val="28"/>
        </w:rPr>
        <w:t>the</w:t>
      </w:r>
      <w:r>
        <w:rPr>
          <w:rFonts w:ascii="Calibri" w:hAnsi="Calibri" w:cs="Calibri"/>
          <w:sz w:val="28"/>
          <w:szCs w:val="28"/>
        </w:rPr>
        <w:br/>
      </w:r>
      <w:r w:rsidRPr="00047FC1">
        <w:rPr>
          <w:rFonts w:ascii="Calibri" w:hAnsi="Calibri" w:cs="Calibri"/>
          <w:sz w:val="28"/>
          <w:szCs w:val="28"/>
        </w:rPr>
        <w:t>Department for Culture, Media and Sport</w:t>
      </w:r>
    </w:p>
    <w:p w:rsidR="00047FC1" w:rsidP="00C3316F">
      <w:pPr>
        <w:spacing w:before="200" w:after="200"/>
        <w:jc w:val="center"/>
        <w:rPr>
          <w:b/>
          <w:bCs/>
          <w:u w:val="single"/>
        </w:rPr>
      </w:pPr>
    </w:p>
    <w:p w:rsidR="008E1491">
      <w:pPr>
        <w:spacing w:before="200" w:after="200"/>
        <w:jc w:val="both"/>
      </w:pPr>
      <w:r>
        <w:rPr>
          <w:b/>
          <w:bCs/>
        </w:rPr>
        <w:t>Introduction</w:t>
      </w:r>
    </w:p>
    <w:p w:rsidR="008E1491">
      <w:pPr>
        <w:spacing w:before="200" w:after="200"/>
        <w:jc w:val="both"/>
      </w:pPr>
      <w:r>
        <w:t xml:space="preserve">The Government welcomes the opportunity to provide written evidence to the inquiry of the Culture, Media and Sport Committee into tourism. </w:t>
      </w:r>
    </w:p>
    <w:p w:rsidR="008E1491">
      <w:pPr>
        <w:spacing w:before="200" w:after="200"/>
        <w:jc w:val="both"/>
      </w:pPr>
      <w:r>
        <w:t>We are committed to supporting the visitor economy, and recognise its importance as a key driver for the Government to attract investment, generate jobs and showcase the UK’s cultural and natural assets on a global stage. The forthcoming Visitor Economy Growth Strategy, co-created with the sector, will lay out our ambitions in ensuring that both international and domestic tourism continue to drive sustainable growth across the country.</w:t>
      </w:r>
    </w:p>
    <w:p w:rsidR="008E1491" w:rsidRPr="00C3316F">
      <w:pPr>
        <w:spacing w:before="200" w:after="200"/>
        <w:jc w:val="both"/>
      </w:pPr>
      <w:r>
        <w:t xml:space="preserve">We look forward to the findings of the Committee when they are published. </w:t>
      </w:r>
    </w:p>
    <w:p w:rsidR="008E1491">
      <w:pPr>
        <w:spacing w:before="200" w:after="200"/>
        <w:jc w:val="both"/>
        <w:rPr>
          <w:b/>
          <w:bCs/>
        </w:rPr>
      </w:pPr>
      <w:r>
        <w:rPr>
          <w:b/>
          <w:bCs/>
        </w:rPr>
        <w:t>Background</w:t>
      </w:r>
    </w:p>
    <w:p w:rsidR="008E1491">
      <w:pPr>
        <w:spacing w:before="200" w:after="200"/>
        <w:jc w:val="both"/>
      </w:pPr>
      <w:r>
        <w:t>Tourism is a significant contributor to the economy. According to VisitBritain when supply chain effects are taken into account, it is worth £147 billion annually and generates £52 billion in tax revenues.</w:t>
      </w:r>
      <w:r>
        <w:rPr>
          <w:vertAlign w:val="superscript"/>
        </w:rPr>
        <w:footnoteReference w:id="2"/>
      </w:r>
      <w:r>
        <w:t xml:space="preserve"> According to latest estimates from the ONS, when taking direct impacts into account only, the tourism sector is valued at £64 billion.</w:t>
      </w:r>
      <w:r>
        <w:rPr>
          <w:vertAlign w:val="superscript"/>
        </w:rPr>
        <w:footnoteReference w:id="3"/>
      </w:r>
      <w:r>
        <w:t xml:space="preserve"> The International Passenger Survey estimates that in 2024, 42.6 million overseas residents came to the UK and spent £32.5 billion.</w:t>
      </w:r>
      <w:r>
        <w:rPr>
          <w:vertAlign w:val="superscript"/>
        </w:rPr>
        <w:footnoteReference w:id="4"/>
      </w:r>
      <w:r>
        <w:t xml:space="preserve"> The top reasons for visiting the UK in 2024 were for a holiday (41%), to visit friends and relatives (34%) and for business (17%). In the same year, VisitBritain Official-Statistics in development estimated domestic overnight tourists made 105.6 million overnight visits in Great Britain and spent a total of £32.9 billion.</w:t>
      </w:r>
      <w:r>
        <w:rPr>
          <w:vertAlign w:val="superscript"/>
        </w:rPr>
        <w:footnoteReference w:id="5"/>
      </w:r>
      <w:r>
        <w:t xml:space="preserve"> </w:t>
      </w:r>
    </w:p>
    <w:p w:rsidR="008E1491">
      <w:pPr>
        <w:spacing w:before="200" w:after="200"/>
        <w:jc w:val="both"/>
        <w:rPr>
          <w:b/>
          <w:bCs/>
        </w:rPr>
      </w:pPr>
      <w:r>
        <w:t>Tourism is a major employer in all parts of the UK, according to VisitBritain, supporting nearly one in every 15 jobs, or about 2.4 million jobs across every region and nation of the country (when supply chain effects are taken into account).</w:t>
      </w:r>
      <w:r>
        <w:rPr>
          <w:vertAlign w:val="superscript"/>
        </w:rPr>
        <w:footnoteReference w:id="6"/>
      </w:r>
      <w:r>
        <w:t xml:space="preserve"> According to latest estimates from the ONS, the tourism sector directly employs 1.3 million people.</w:t>
      </w:r>
      <w:r>
        <w:rPr>
          <w:vertAlign w:val="superscript"/>
        </w:rPr>
        <w:footnoteReference w:id="7"/>
      </w:r>
      <w:r>
        <w:t xml:space="preserve"> It also creates essential opportunities for young people, with many 16 to 25 year olds starting their careers in tourism and hospitality roles. The sector is predicted to create 175,000 additional jobs by 2030.</w:t>
      </w:r>
      <w:r>
        <w:rPr>
          <w:vertAlign w:val="superscript"/>
        </w:rPr>
        <w:footnoteReference w:id="8"/>
      </w:r>
      <w:r>
        <w:t xml:space="preserve"> </w:t>
      </w:r>
    </w:p>
    <w:p w:rsidR="008E1491">
      <w:pPr>
        <w:spacing w:before="200" w:after="200"/>
        <w:jc w:val="both"/>
      </w:pPr>
      <w:r>
        <w:t>The Government recognises that the tourism sector continues to face challenges regarding high operating costs, limited regional distribution of benefits and skills shortages. By continuing to enhance our tourism offer, support businesses and strengthen regional economies, we can ensure the UK remains a world-leading destination and a key driver of national prosperity.</w:t>
      </w:r>
    </w:p>
    <w:p w:rsidR="008E1491">
      <w:pPr>
        <w:spacing w:before="200" w:after="200"/>
        <w:jc w:val="both"/>
        <w:rPr>
          <w:b/>
          <w:bCs/>
        </w:rPr>
      </w:pPr>
      <w:r>
        <w:rPr>
          <w:b/>
          <w:bCs/>
        </w:rPr>
        <w:t>1. How effective are government policies in supporting the growth, competitiveness and long-term resilience of the tourism sector?</w:t>
      </w:r>
    </w:p>
    <w:p w:rsidR="008E1491">
      <w:pPr>
        <w:spacing w:before="200" w:after="200"/>
        <w:jc w:val="both"/>
      </w:pPr>
      <w:r>
        <w:t xml:space="preserve">The UK’s tourism sector is one of the country's most significant economic assets. The Government's ambition to grow overseas visitor numbers to 50 million by 2030 underlines our ambitions for the sector, and the establishment of the Visitor Economy Advisory Council is an important step toward the kind of sustained government/industry partnership that will be needed to achieve it. </w:t>
      </w:r>
    </w:p>
    <w:p w:rsidR="008E1491">
      <w:pPr>
        <w:spacing w:before="200" w:after="200"/>
        <w:jc w:val="both"/>
      </w:pPr>
      <w:r>
        <w:t>The forthcoming national Visitor Economy Growth Strategy represents a significant opportunity to align policy levers across departments, particularly between DCMS, HM Treasury, the Home Office and the Department for Transport, to ensure that decisions across all departments collectively support the UK's competitiveness as a visitor destination. While DCMS leads on tourism strategy, culture and major events, outcomes are also shaped by taxation, visa and border policy, aviation connectivity, international pr</w:t>
      </w:r>
      <w:r>
        <w:t xml:space="preserve">omotion and regional growth plans. </w:t>
      </w:r>
    </w:p>
    <w:p w:rsidR="008E1491">
      <w:pPr>
        <w:spacing w:before="200" w:after="200"/>
        <w:jc w:val="both"/>
        <w:rPr>
          <w:u w:val="single"/>
        </w:rPr>
      </w:pPr>
      <w:r>
        <w:rPr>
          <w:u w:val="single"/>
        </w:rPr>
        <w:t>International competitiveness</w:t>
      </w:r>
    </w:p>
    <w:p w:rsidR="008E1491">
      <w:pPr>
        <w:spacing w:before="200" w:after="200"/>
        <w:jc w:val="both"/>
      </w:pPr>
      <w:r>
        <w:t>The UK’s tourism offer is world class, with its culture, heritage, events and landscapes continuing to attract international visitors. The successful rollout of eVisas for visitors has enabled an efficient, slick and secure border experience and will make planning a trip to the UK quicker and easier, supporting growth from key international markets. Most applicants for an ETA receive an automatic decision within minutes via the app.</w:t>
      </w:r>
    </w:p>
    <w:p w:rsidR="008E1491">
      <w:pPr>
        <w:spacing w:before="200" w:after="200"/>
        <w:jc w:val="both"/>
      </w:pPr>
      <w:r>
        <w:t>London Heathrow is the world’s most internationally connected airport, and the second busiest by international passenger traffic.</w:t>
      </w:r>
      <w:r>
        <w:rPr>
          <w:vertAlign w:val="superscript"/>
        </w:rPr>
        <w:footnoteReference w:id="9"/>
      </w:r>
      <w:r>
        <w:t xml:space="preserve"> Continuing to grow aviation connectivity will allow us to capitalise on increased visitor numbers. There is also an opportunity to build on the success of VisitBritain’s international campaigns. Sustained promotion in both established and emerging markets can support growth, strengthen the UK’s global profile and help diversify the visitor base, improving the sector’s long term resilience and economic contribution.</w:t>
      </w:r>
    </w:p>
    <w:p w:rsidR="008E1491">
      <w:pPr>
        <w:spacing w:before="200" w:after="200"/>
        <w:jc w:val="both"/>
      </w:pPr>
      <w:r>
        <w:rPr>
          <w:u w:val="single"/>
        </w:rPr>
        <w:t>UK compared to European destinations</w:t>
      </w:r>
    </w:p>
    <w:p w:rsidR="008E1491">
      <w:pPr>
        <w:spacing w:before="200" w:after="200"/>
        <w:jc w:val="both"/>
      </w:pPr>
      <w:r>
        <w:t>The UK’s tourism sector shows continued growth, though within a competitive international landscape. According to UN Tourism, in 2024 the UK was the seventh most visited country in the world with 42.6 million international arrivals, and fourth for inbound visitor spending at $103.2 billion, compared to European competitors France (102 million arrivals; $59.8 billion), Spain (93.8 million arrivals; $32.7 billion) and Italy (57.8 million arrivals; $35.7 billion).</w:t>
      </w:r>
      <w:r>
        <w:rPr>
          <w:vertAlign w:val="superscript"/>
        </w:rPr>
        <w:footnoteReference w:id="10"/>
      </w:r>
      <w:r>
        <w:t xml:space="preserve"> </w:t>
      </w:r>
    </w:p>
    <w:p w:rsidR="008E1491">
      <w:pPr>
        <w:spacing w:before="200" w:after="200"/>
        <w:jc w:val="both"/>
      </w:pPr>
      <w:r>
        <w:t>The UK’s tourism model differs from many Southern European competitors, as it is more driven by city breaks, events, culture and shorter stay travel. At the same time, the UK benefits from relatively low seasonality, with only 29% of annual visits occurring during the summer peak, compared to 45-60% in some Mediterranean destinations.</w:t>
      </w:r>
      <w:r>
        <w:rPr>
          <w:vertAlign w:val="superscript"/>
        </w:rPr>
        <w:footnoteReference w:id="11"/>
      </w:r>
    </w:p>
    <w:p w:rsidR="008E1491">
      <w:pPr>
        <w:spacing w:before="200" w:after="200"/>
        <w:jc w:val="both"/>
      </w:pPr>
      <w:r>
        <w:t xml:space="preserve">High-spending, long haul markets, especially the Gulf </w:t>
      </w:r>
      <w:r>
        <w:t>states, generate significant economic benefit, with visitors from Saudi Arabia, Qatar and Kuwait spending around £2,900 per visit on average.</w:t>
      </w:r>
      <w:r>
        <w:rPr>
          <w:vertAlign w:val="superscript"/>
        </w:rPr>
        <w:footnoteReference w:id="12"/>
      </w:r>
      <w:r>
        <w:t xml:space="preserve"> We continue to closely monitor the impacts of conflict in the Middle East on inbound visitor numbers from the region. The UK remains a leading global brand, ranking 6th out of 50 on the Nation Brands Index, and scoring well on visitor perceptions of our culture and urban attractions.</w:t>
      </w:r>
      <w:r>
        <w:rPr>
          <w:vertAlign w:val="superscript"/>
        </w:rPr>
        <w:footnoteReference w:id="13"/>
      </w:r>
      <w:r>
        <w:t xml:space="preserve"> </w:t>
      </w:r>
    </w:p>
    <w:p w:rsidR="008E1491">
      <w:pPr>
        <w:spacing w:before="200" w:after="200"/>
        <w:jc w:val="both"/>
      </w:pPr>
      <w:r>
        <w:t>Key drivers of inbound tourism include major sporting, music and cultural events (£15 billion annually</w:t>
      </w:r>
      <w:r>
        <w:rPr>
          <w:vertAlign w:val="superscript"/>
        </w:rPr>
        <w:footnoteReference w:id="14"/>
      </w:r>
      <w:r>
        <w:t>), heritage travel (£12.5 billion</w:t>
      </w:r>
      <w:r>
        <w:rPr>
          <w:vertAlign w:val="superscript"/>
        </w:rPr>
        <w:footnoteReference w:id="15"/>
      </w:r>
      <w:r>
        <w:t>), visiting friends and family (£7.7 billion</w:t>
      </w:r>
      <w:r>
        <w:rPr>
          <w:vertAlign w:val="superscript"/>
        </w:rPr>
        <w:footnoteReference w:id="16"/>
      </w:r>
      <w:r>
        <w:t>), and business tourism (£5.9 billion</w:t>
      </w:r>
      <w:r>
        <w:rPr>
          <w:vertAlign w:val="superscript"/>
        </w:rPr>
        <w:footnoteReference w:id="17"/>
      </w:r>
      <w:r>
        <w:t>) [please note these figures are taken from differing sources and should therefore be taken individually and not be summed cumulatively]. The Visitor Economy Growth Strategy will lay out how we can better utilise these drivers to increase the value of the sector, including leveraging data to better understand evolving trends, continuing to champion accessibility, supporting the events landscape and working to strengthen skills pipelines.</w:t>
      </w:r>
    </w:p>
    <w:p w:rsidR="008E1491">
      <w:pPr>
        <w:spacing w:before="200" w:after="200"/>
        <w:jc w:val="both"/>
      </w:pPr>
      <w:r>
        <w:rPr>
          <w:u w:val="single"/>
        </w:rPr>
        <w:t>Overnight visitor levy</w:t>
      </w:r>
    </w:p>
    <w:p w:rsidR="008E1491">
      <w:pPr>
        <w:spacing w:before="200" w:after="200"/>
        <w:jc w:val="both"/>
      </w:pPr>
      <w:r>
        <w:t>The Government is empowering Mayors with the ability to decide whether to introduce a</w:t>
      </w:r>
      <w:r>
        <w:rPr>
          <w:b/>
          <w:bCs/>
        </w:rPr>
        <w:t xml:space="preserve"> </w:t>
      </w:r>
      <w:r>
        <w:t>visitor levy on short-term overnight accommodation in their region, to drive economic growth including through support for the local visitor economy. This is an historic step for English devolution, giving Mayors control of a new local revenue-raising power to help them to drive investment on local priorities and deliver growth projects. We would encourage local leaders to recognise the importance of the visitor economy when allocating levy funding, recognising its significant contribution to local growth,</w:t>
      </w:r>
      <w:r>
        <w:t xml:space="preserve"> job creation and the vitality of places. </w:t>
      </w:r>
    </w:p>
    <w:p w:rsidR="008E1491">
      <w:pPr>
        <w:spacing w:before="200" w:after="200"/>
        <w:jc w:val="both"/>
      </w:pPr>
      <w:r>
        <w:rPr>
          <w:b/>
          <w:bCs/>
        </w:rPr>
        <w:t>2. How effectively do government structures and working arrangements support the tourism sector?</w:t>
      </w:r>
    </w:p>
    <w:p w:rsidR="008E1491">
      <w:pPr>
        <w:spacing w:before="200" w:after="200"/>
        <w:jc w:val="both"/>
        <w:rPr>
          <w:u w:val="single"/>
        </w:rPr>
      </w:pPr>
      <w:r>
        <w:rPr>
          <w:u w:val="single"/>
        </w:rPr>
        <w:t>VisitBritain/VisitEngland</w:t>
      </w:r>
    </w:p>
    <w:p w:rsidR="008E1491">
      <w:pPr>
        <w:spacing w:before="200" w:after="200"/>
        <w:jc w:val="both"/>
      </w:pPr>
      <w:r>
        <w:t>VisitBritain/VisitEngland (VB/VE) and England’s destination management system provide strong national leadership and improve regional coordination. At a national level, VB/VE performs strongly against core objectives of driving demand, increasing spend and supporting regional dispersal. According to VisitBritain, in 2024/25, VisitBritain activity contributed an additional £562 million to the UK economy, with 60% of that outside London. According to VisitBritain campaign performance is particularly strong, w</w:t>
      </w:r>
      <w:r>
        <w:t xml:space="preserve">ith a £20 return for every £1 invested in the “Starring GREAT Britain” campaign. Overall, VB/VE compares favourably to international competitors in terms of strategic capability, coordination and marketing effectiveness. VisitBritain will also be submitting their own evidence to the inquiry. </w:t>
      </w:r>
    </w:p>
    <w:p w:rsidR="008E1491">
      <w:pPr>
        <w:spacing w:before="200" w:after="200"/>
        <w:jc w:val="both"/>
        <w:rPr>
          <w:u w:val="single"/>
        </w:rPr>
      </w:pPr>
      <w:r>
        <w:rPr>
          <w:u w:val="single"/>
        </w:rPr>
        <w:t>Destination management reform</w:t>
      </w:r>
    </w:p>
    <w:p w:rsidR="008E1491">
      <w:pPr>
        <w:spacing w:before="200" w:after="200"/>
        <w:jc w:val="both"/>
      </w:pPr>
      <w:r>
        <w:t>DCMS has led the largest reform of destination management in a generation, with 37 accredited Local Visitor Economy Partnerships (LVEPs) across England. This represents a step-change in destination management, moving from marketing-led organisations to strategic place-based partnerships with a remit covering skills, investment and product development. Structurally, the UK is now moving closer to international best practice. The introduction of the LVEP model aligns England with OECD-recommended reforms to c</w:t>
      </w:r>
      <w:r>
        <w:t>onsolidate fragmented Destination Management Organisations (DMOs) into fewer, more strategic regional bodies with clearer mandates and co-funding expectations.</w:t>
      </w:r>
      <w:r>
        <w:rPr>
          <w:vertAlign w:val="superscript"/>
        </w:rPr>
        <w:footnoteReference w:id="18"/>
      </w:r>
    </w:p>
    <w:p w:rsidR="008E1491">
      <w:pPr>
        <w:spacing w:before="200" w:after="200"/>
        <w:jc w:val="both"/>
      </w:pPr>
      <w:r>
        <w:t xml:space="preserve">Recognising that the visitor economy is fundamentally a place-based sector, which requires strong local leadership, the next phase of reform is for VB/VE to target its resources to actively support Mayoral Strategic Authorities and regions to deliver their ambitious local visitor </w:t>
      </w:r>
      <w:r>
        <w:t>economy growth plans. By focusing on generating international demand and unlocking investment, these national bodies empower local leaders to curate their own destinations, ensuring that regional growth is sustainable and authentically grounded in the identity of the place.</w:t>
      </w:r>
    </w:p>
    <w:p w:rsidR="008E1491">
      <w:pPr>
        <w:spacing w:before="200" w:after="200"/>
        <w:jc w:val="both"/>
      </w:pPr>
      <w:r>
        <w:rPr>
          <w:u w:val="single"/>
        </w:rPr>
        <w:t>Devolution</w:t>
      </w:r>
    </w:p>
    <w:p w:rsidR="008E1491">
      <w:pPr>
        <w:spacing w:before="200" w:after="200"/>
        <w:jc w:val="both"/>
      </w:pPr>
      <w:r>
        <w:t>Tourism is a devolved policy matter with some reserved policy levers (e.g. aviation connectivity, immigration). The UK Minister for Tourism meets periodically with the Devolved Administrations’ Interministerial Group for Tourism to collaborate in areas of shared interest, such as domestic and international visitor activity, challenges facing businesses and strategic marketing initiatives through the GREAT campaign. England, Scotland, Wales and Northern Ireland each have their own national tourist boards, wi</w:t>
      </w:r>
      <w:r>
        <w:t xml:space="preserve">th VisitBritain holding responsibility for marketing Britain worldwide. </w:t>
      </w:r>
    </w:p>
    <w:p w:rsidR="008E1491">
      <w:pPr>
        <w:shd w:val="clear" w:color="auto" w:fill="FFFFFF"/>
        <w:spacing w:before="200" w:after="200"/>
        <w:jc w:val="both"/>
      </w:pPr>
      <w:r>
        <w:t>The ongoing shift toward devolution in England acknowledges the place-based nature of the visitor economy, as tourism relies on the unique cultural, historical, and geographical assets of specific localities. In recognition of this, Mayors and Combined Authorities have developed bespoke growth plans that place the visitor economy at the heart of regional economic development, viewing tourism not just as a leisure activity, but as a primary driver of growth, regeneration, high-value employment and inward inv</w:t>
      </w:r>
      <w:r>
        <w:t>estment. The role of government and VB/VE is to support the delivery of those place-based growth plans.</w:t>
      </w:r>
    </w:p>
    <w:p w:rsidR="008E1491">
      <w:pPr>
        <w:spacing w:before="200" w:after="200"/>
        <w:jc w:val="both"/>
      </w:pPr>
      <w:r>
        <w:rPr>
          <w:u w:val="single"/>
        </w:rPr>
        <w:t>Short-term lets registration scheme</w:t>
      </w:r>
    </w:p>
    <w:p w:rsidR="008E1491">
      <w:pPr>
        <w:spacing w:before="200" w:after="200"/>
        <w:jc w:val="both"/>
      </w:pPr>
      <w:r>
        <w:t>The Government is committed to delivering a short-term lets registration scheme. Short-term lets are an important component of the visitor economy which give visitors a wider choice of accommodation options and provide surge capacity for major cultural and sporting events. The scheme will increase consistency across providers and make it clearer what rules they must follow. Having a national register of short-term lets across England will also equip local authorities with valuable data to support decision-m</w:t>
      </w:r>
      <w:r>
        <w:t xml:space="preserve">aking. </w:t>
      </w:r>
    </w:p>
    <w:p w:rsidR="008E1491">
      <w:pPr>
        <w:spacing w:before="200" w:after="200"/>
        <w:jc w:val="both"/>
      </w:pPr>
      <w:r>
        <w:rPr>
          <w:b/>
          <w:bCs/>
        </w:rPr>
        <w:t>3. What opportunities exist to increase inward investment into tourism infrastructure and what changes may be needed to encourage it?</w:t>
      </w:r>
    </w:p>
    <w:p w:rsidR="008E1491">
      <w:pPr>
        <w:spacing w:before="200" w:after="200"/>
        <w:jc w:val="both"/>
      </w:pPr>
      <w:r>
        <w:t>The top five most-visited UK destinations for overnight visits by inbound visitors in 2024 were London, Edinburgh, Manchester, Birmingham and Liverpool. Scotland has seen strong growth overall in the share of overnight international visitors it attracts, rising from 8.8% in 2019 to 11.4% in 2024.</w:t>
      </w:r>
      <w:r>
        <w:rPr>
          <w:vertAlign w:val="superscript"/>
        </w:rPr>
        <w:footnoteReference w:id="19"/>
      </w:r>
      <w:r>
        <w:t xml:space="preserve"> </w:t>
      </w:r>
    </w:p>
    <w:p w:rsidR="008E1491">
      <w:pPr>
        <w:spacing w:before="200" w:after="200"/>
        <w:jc w:val="both"/>
      </w:pPr>
      <w:r>
        <w:rPr>
          <w:u w:val="single"/>
        </w:rPr>
        <w:t>Unlocking investment</w:t>
      </w:r>
    </w:p>
    <w:p w:rsidR="008E1491">
      <w:pPr>
        <w:spacing w:before="200" w:after="200"/>
        <w:jc w:val="both"/>
      </w:pPr>
      <w:r>
        <w:t>While the UK attracts the highest tourism FDI in Europe, according to Ernst and Young, nearly half of all inward FDI is focused in London.</w:t>
      </w:r>
      <w:r>
        <w:rPr>
          <w:vertAlign w:val="superscript"/>
        </w:rPr>
        <w:footnoteReference w:id="20"/>
      </w:r>
      <w:r>
        <w:t xml:space="preserve"> We are diversifying the investment landscape by supporting major projects outside the capital like the £210 million Aviva Studios in Manchester and Universal’s multi-billion pound investment in Bedford.</w:t>
      </w:r>
    </w:p>
    <w:p w:rsidR="008E1491">
      <w:pPr>
        <w:spacing w:before="200" w:after="200"/>
        <w:jc w:val="both"/>
      </w:pPr>
      <w:r>
        <w:t xml:space="preserve">Following the De Bois Review, DCMS has provided £3.2 million in support of piloting broader, regional Destination Development Partnerships in the North East and West Midlands. By coordinating efforts across attractions, hospitality, events, and nightlife, and providing strong local leadership, the aim of the pilots was to test whether a regional approach can better boost </w:t>
      </w:r>
      <w:r>
        <w:t>growth, develop new transport routes, create jobs and establish these areas as attractive destinations in their own right in an effort to diversify from the successful ‘London Plus’ model.</w:t>
      </w:r>
    </w:p>
    <w:p w:rsidR="008E1491">
      <w:pPr>
        <w:spacing w:before="200" w:after="200"/>
        <w:jc w:val="both"/>
      </w:pPr>
      <w:r>
        <w:t>During the pilot, the North East demonstrated that strategic research strengthened investor confidence and helped scale activity to the regional level. An accommodation audit and strategy engaged over 50 potential developers and 16 hotel projects are actively progressing, a pipeline investment valued at £162 million and an expansion of 1,300 rooms or beds.</w:t>
      </w:r>
      <w:r>
        <w:rPr>
          <w:vertAlign w:val="superscript"/>
        </w:rPr>
        <w:footnoteReference w:id="21"/>
      </w:r>
      <w:r>
        <w:t xml:space="preserve"> In the West Midlands, the pilot generated £10 million through attracting business conferences, and the region’s visitor economy grew by 15% to £16.3 billion</w:t>
      </w:r>
      <w:r>
        <w:rPr>
          <w:vertAlign w:val="superscript"/>
        </w:rPr>
        <w:footnoteReference w:id="22"/>
      </w:r>
      <w:r>
        <w:t>.</w:t>
      </w:r>
    </w:p>
    <w:p w:rsidR="008E1491">
      <w:pPr>
        <w:spacing w:before="200" w:after="200"/>
        <w:jc w:val="both"/>
      </w:pPr>
      <w:r>
        <w:t>Drawing from these pilots, DCMS is now leading the next stage of destination development by exploring how to create regional, consumer-facing destinations and supporting Mayoral Strategic Authorities as they deliver their ambitious visitor economy growth plans. DCMS will also continue to work closely with VisitBritain and the Office for Investment to explore investment opportunities across the regions and create a bespoke visitor economy portal on the Government’s Expand Your Business website.</w:t>
      </w:r>
    </w:p>
    <w:p w:rsidR="008E1491">
      <w:pPr>
        <w:spacing w:before="200" w:after="200"/>
        <w:jc w:val="both"/>
      </w:pPr>
      <w:r>
        <w:rPr>
          <w:b/>
          <w:bCs/>
        </w:rPr>
        <w:t>4. How well is the visitor economy recovering from the COVID-19 pandemic and what challenges continue to affect business and destinations?</w:t>
      </w:r>
    </w:p>
    <w:p w:rsidR="008E1491">
      <w:pPr>
        <w:spacing w:before="200" w:after="200"/>
        <w:jc w:val="both"/>
      </w:pPr>
      <w:r>
        <w:t>2024 international inbound arrivals figures (42.6 million) produced from the International Passenger Survey (IPS) and published by the ONS are not directly comparable to previous years due to underlying methodology changes.</w:t>
      </w:r>
      <w:r>
        <w:rPr>
          <w:vertAlign w:val="superscript"/>
        </w:rPr>
        <w:footnoteReference w:id="23"/>
      </w:r>
      <w:r>
        <w:t xml:space="preserve"> VisitBritain carried out modelling to estimate 2024 figures that are better aligned with outputs from previous IPS methodologies. These estimates indicate inbound visits in 2024 were just 1% below pre-COVID levels (40.9 million visits in 2019), and up 6% from 2023.</w:t>
      </w:r>
      <w:r>
        <w:rPr>
          <w:vertAlign w:val="superscript"/>
        </w:rPr>
        <w:footnoteReference w:id="24"/>
      </w:r>
      <w:r>
        <w:t xml:space="preserve"> VisitBritain modelled estimates indicate that inbound visitor spending was up compared to 2019 in nominal terms, while real-terms spend remained below 2019 levels.</w:t>
      </w:r>
      <w:r>
        <w:rPr>
          <w:vertAlign w:val="superscript"/>
        </w:rPr>
        <w:footnoteReference w:id="25"/>
      </w:r>
      <w:r>
        <w:t xml:space="preserve"> </w:t>
      </w:r>
    </w:p>
    <w:p w:rsidR="008E1491">
      <w:pPr>
        <w:spacing w:before="200" w:after="200"/>
        <w:jc w:val="both"/>
      </w:pPr>
      <w:r>
        <w:t>2024 domestic tourism trip figures produced from the Great Britain Tourism Survey (GBTS) show there were 106 million domestic overnight trips in Great Britain in 2024, representing a 10% decrease since 2023 and a decline of 14% vs 2022.</w:t>
      </w:r>
      <w:r>
        <w:rPr>
          <w:vertAlign w:val="superscript"/>
        </w:rPr>
        <w:footnoteReference w:id="26"/>
      </w:r>
      <w:r>
        <w:t xml:space="preserve"> The average spend per night (per person) continued an increasing trend, reaching £107 in 2024 (an overall increase of 26% since 2022).</w:t>
      </w:r>
      <w:r>
        <w:rPr>
          <w:vertAlign w:val="superscript"/>
        </w:rPr>
        <w:footnoteReference w:id="27"/>
      </w:r>
      <w:r>
        <w:t xml:space="preserve"> Figures from the GBTS are not directly comparable for years prior to 2022 due to survey methodology changes, and therefore domestic tourism comparisons to the pre-COVID period are not possible.</w:t>
      </w:r>
    </w:p>
    <w:p w:rsidR="008E1491">
      <w:pPr>
        <w:spacing w:before="200" w:after="200"/>
        <w:jc w:val="both"/>
        <w:rPr>
          <w:b/>
          <w:bCs/>
        </w:rPr>
      </w:pPr>
      <w:r>
        <w:rPr>
          <w:u w:val="single"/>
        </w:rPr>
        <w:t>Ongoing challenges</w:t>
      </w:r>
    </w:p>
    <w:p w:rsidR="008E1491">
      <w:pPr>
        <w:spacing w:before="200" w:after="200"/>
        <w:jc w:val="both"/>
      </w:pPr>
      <w:r>
        <w:t>The UK has a travel trade deficit, with £77.4 billion spent abroad by UK residents in 2024, compared to £65.4 billion in inbound and domestic overnight spend.</w:t>
      </w:r>
      <w:r>
        <w:rPr>
          <w:vertAlign w:val="superscript"/>
        </w:rPr>
        <w:footnoteReference w:id="28"/>
      </w:r>
      <w:r>
        <w:t xml:space="preserve"> VisitBritain estimates that converting just 5% of what UK residents spend abroad to domestic trips could deliver a £4 billion boost to the economy each year, and we are working with Mayoral Authorities to </w:t>
      </w:r>
      <w:r>
        <w:t xml:space="preserve">support destination development and encourage year-round visits to regions across the country. </w:t>
      </w:r>
    </w:p>
    <w:p w:rsidR="008E1491" w:rsidRPr="00C3316F">
      <w:pPr>
        <w:spacing w:before="200" w:after="200"/>
        <w:jc w:val="both"/>
      </w:pPr>
      <w:r>
        <w:t xml:space="preserve">Conflict in the Middle East is causing renewed uncertainty, impacting tourism from both a supply and demand perspective. Rising fuel and food costs are being exacerbated by cancellations and slowing visitor numbers. We continue to closely monitor the conflict’s impact on the economy and stand ready to take action. </w:t>
      </w:r>
    </w:p>
    <w:p w:rsidR="008E1491">
      <w:pPr>
        <w:spacing w:before="200" w:after="200"/>
        <w:jc w:val="both"/>
        <w:rPr>
          <w:b/>
          <w:bCs/>
        </w:rPr>
      </w:pPr>
      <w:r>
        <w:rPr>
          <w:b/>
          <w:bCs/>
        </w:rPr>
        <w:t>5. How effectively is the domestic tourism sector functioning across the UK and what factors are shaping current levels of demand and recovery?</w:t>
      </w:r>
    </w:p>
    <w:p w:rsidR="008E1491">
      <w:pPr>
        <w:spacing w:before="200" w:after="200"/>
        <w:jc w:val="both"/>
      </w:pPr>
      <w:r>
        <w:t xml:space="preserve">The majority of the visitor economy is made up of micro, small and medium sized businesses, accounting for 98% of the sector. We know that these businesses have felt the impact of rising operational and workforce costs. For consumers, these higher costs are often reflected in increased prices for accommodation, food and attractions, with households becoming more selective about their spending. </w:t>
      </w:r>
    </w:p>
    <w:p w:rsidR="008E1491">
      <w:pPr>
        <w:spacing w:before="200" w:after="200"/>
        <w:jc w:val="both"/>
      </w:pPr>
      <w:r>
        <w:t xml:space="preserve">We have already taken action to ease pressures on the cost of living. £53 million of immediate support has been announced for vulnerable heating oil customers, to help households struggling with rising costs. The new energy price cap will lower household energy bills, the National Minimum and Living Wage both went up and millions of pensioners are getting a boost on their State Pension. </w:t>
      </w:r>
    </w:p>
    <w:p w:rsidR="008E1491">
      <w:pPr>
        <w:shd w:val="clear" w:color="auto" w:fill="FFFFFF"/>
        <w:spacing w:before="200" w:after="200"/>
        <w:jc w:val="both"/>
      </w:pPr>
      <w:r>
        <w:t xml:space="preserve">The Government is committed to growing domestic tourism so more people can experience everything the UK has to offer. Our forthcoming Visitor Economy Growth Strategy will set out a long-term plan to increase visitor numbers, boost spending, and ensure growth is sustainable. A key focus of this strategy is spreading visitors more evenly across the UK, so more destinations are able to share in the economic benefits. </w:t>
      </w:r>
    </w:p>
    <w:p w:rsidR="008E1491">
      <w:pPr>
        <w:spacing w:before="200" w:after="200"/>
        <w:jc w:val="both"/>
        <w:rPr>
          <w:b/>
          <w:bCs/>
        </w:rPr>
      </w:pPr>
      <w:r>
        <w:rPr>
          <w:b/>
          <w:bCs/>
        </w:rPr>
        <w:t>6. How can tourism better support regional growth, community prosperity and wider Government objectives?</w:t>
      </w:r>
    </w:p>
    <w:p w:rsidR="008E1491">
      <w:pPr>
        <w:spacing w:before="200" w:after="200"/>
        <w:jc w:val="both"/>
      </w:pPr>
      <w:r>
        <w:t>Regional tourism is well placed for further growth, with opportunities to better balance demand across the year. Increasing engagement with LVEPs by attractions and accommodation providers is a positive step, enabling more coordinated marketing, aligned investment and stronger collaboration across destinations.</w:t>
      </w:r>
    </w:p>
    <w:p w:rsidR="008E1491">
      <w:pPr>
        <w:spacing w:before="200" w:after="200"/>
        <w:jc w:val="both"/>
      </w:pPr>
      <w:r>
        <w:t>Transport connections are strong in major cities and some well-established destinations, but in other areas, limited rail links and infrequent buses can make it difficult for visitors to travel without a car. Regional aviation links to international airports still predominantly cater to the outbound holiday market, despite significant efforts by airports to forge strong links with local economic partners and strategic sectors to grow their operations. The Department for Transport recently published Better C</w:t>
      </w:r>
      <w:r>
        <w:t>onnected: A Strategy for Integrated Transport, which reaffirms our commitment to simplifying journeys, improving last-mile connectivity and encouraging greater alignment between transport planning and destination development.</w:t>
      </w:r>
    </w:p>
    <w:p w:rsidR="008E1491">
      <w:pPr>
        <w:spacing w:before="200" w:after="200"/>
        <w:jc w:val="both"/>
      </w:pPr>
      <w:r>
        <w:t xml:space="preserve">Digital connectivity is important for trip planning and digital ticketing, as well as accessibility, providing access to real-time travel information, translation tools and assistive technologies that many visitors rely on. We are working to improve coverage in rural and coastal areas, where mobile and broadband infrastructure can often take account of the number of residents but not the number of visitors. Around 96% of the UK now has 4G coverage, and we continue </w:t>
      </w:r>
      <w:r>
        <w:t>to deliver access to high-speed broadband at pace, with full-fibre networks available to 78% of small and medium businesses in 2025.</w:t>
      </w:r>
      <w:r>
        <w:rPr>
          <w:vertAlign w:val="superscript"/>
        </w:rPr>
        <w:footnoteReference w:id="29"/>
      </w:r>
      <w:r>
        <w:t xml:space="preserve"> </w:t>
      </w:r>
    </w:p>
    <w:p w:rsidR="008E1491">
      <w:pPr>
        <w:spacing w:before="200" w:after="200"/>
        <w:jc w:val="both"/>
      </w:pPr>
      <w:r>
        <w:t xml:space="preserve">The UK has a rich cultural offer, but provision is uneven. Larger cities benefit from sustained investment and a critical mass of venues, while smaller towns and rural areas often face underinvestment, making it harder to create year-round demand and diversify the offer beyond peak seasons. Our significant investment in the Arts Everywhere Fund (£1.5 billion) will help cultural venues to improve their infrastructure and technology to make places more accessible, safe and welcoming to residents and visitors </w:t>
      </w:r>
      <w:r>
        <w:t xml:space="preserve">alike. </w:t>
      </w:r>
    </w:p>
    <w:p w:rsidR="008E1491">
      <w:pPr>
        <w:spacing w:before="200" w:after="200"/>
        <w:jc w:val="both"/>
      </w:pPr>
      <w:r>
        <w:t>Coastal areas, boosted by investment like the King Charles III England Coast Path, offer strong natural appeal, with pote</w:t>
      </w:r>
      <w:r>
        <w:t xml:space="preserve">ntial for high street and heritage-led regeneration. However, seasonality is a constraint, and many areas face deprivation and lower-paid seasonal jobs. Rural destinations benefit from varied landscapes and heritage, supported by investment in National Parks and sustainable tourism. Structural challenges include public transport connectivity, skills shortages and dispersed small and medium sized businesses making scaling difficult - an issue shared with coastal areas. </w:t>
      </w:r>
    </w:p>
    <w:p w:rsidR="008E1491">
      <w:pPr>
        <w:spacing w:before="200" w:after="200"/>
        <w:jc w:val="both"/>
      </w:pPr>
      <w:r>
        <w:t>We know that domestic visitors are key markets for our rural and coastal destinations, and that events, business travel and year-round attractions are crucial pull factors. VisitEngland recently launched a major domestic campaign highlighting North West seaside resorts (£1 million pilot), to shine a spotlight on destinations, attractions, experiences and accommodation providers, and encourage more trips and overnight stays during the shoulder season.</w:t>
      </w:r>
    </w:p>
    <w:p w:rsidR="008E1491">
      <w:pPr>
        <w:spacing w:before="200" w:after="200"/>
        <w:jc w:val="both"/>
        <w:rPr>
          <w:b/>
          <w:bCs/>
        </w:rPr>
      </w:pPr>
      <w:r>
        <w:rPr>
          <w:b/>
          <w:bCs/>
        </w:rPr>
        <w:t>7. How can the Government and tourism sector maximise the potential of cultural heritage and creative assets to attract visitors?</w:t>
      </w:r>
    </w:p>
    <w:p w:rsidR="008E1491">
      <w:pPr>
        <w:spacing w:before="200" w:after="200"/>
        <w:jc w:val="both"/>
        <w:rPr>
          <w:u w:val="single"/>
        </w:rPr>
      </w:pPr>
      <w:r>
        <w:rPr>
          <w:u w:val="single"/>
        </w:rPr>
        <w:t>Cultural heritage</w:t>
      </w:r>
    </w:p>
    <w:p w:rsidR="008E1491">
      <w:pPr>
        <w:spacing w:before="200" w:after="200"/>
        <w:jc w:val="both"/>
      </w:pPr>
      <w:r>
        <w:t>In 2024, 6 of the 10 most popular paid visitor attractions in England were heritage attractions.</w:t>
      </w:r>
      <w:r>
        <w:rPr>
          <w:vertAlign w:val="superscript"/>
        </w:rPr>
        <w:footnoteReference w:id="30"/>
      </w:r>
      <w:r>
        <w:t xml:space="preserve"> Heritage-related tourism spend stood at £12.5 billion in 2023, and estimated spend for domestic day visits stood at £11.4 billion.</w:t>
      </w:r>
      <w:r>
        <w:rPr>
          <w:vertAlign w:val="superscript"/>
        </w:rPr>
        <w:footnoteReference w:id="31"/>
      </w:r>
      <w:r>
        <w:t xml:space="preserve"> Through collaboration with VisitEngland, Historic England produces an annual Visitor Attraction Survey which monitors visitor volumes, accessibility and sustainability.</w:t>
      </w:r>
      <w:r>
        <w:rPr>
          <w:vertAlign w:val="superscript"/>
        </w:rPr>
        <w:footnoteReference w:id="32"/>
      </w:r>
      <w:r>
        <w:t xml:space="preserve"> In 2025, the National Lottery Heritage Fund awarded £9 million to the Birmingham Botanical Gardens, to support the restoration of its Grade II* listed glasshouses, enhance visitor infrastructure and expand public access. English Heritage’s Overseas Visitor Pass offers international visitors flexibility to visit more than 100 sites over a set period of days. VisitBritain’s marketing continues to promote both our traditional heritage offering, and tours and trips with a historical focus to appeal to an evolv</w:t>
      </w:r>
      <w:r>
        <w:t xml:space="preserve">ing, experience-driven market. </w:t>
      </w:r>
    </w:p>
    <w:p w:rsidR="008E1491">
      <w:pPr>
        <w:spacing w:before="200" w:after="200"/>
        <w:jc w:val="both"/>
        <w:rPr>
          <w:u w:val="single"/>
        </w:rPr>
      </w:pPr>
      <w:r>
        <w:rPr>
          <w:u w:val="single"/>
        </w:rPr>
        <w:t>Film tourism</w:t>
      </w:r>
    </w:p>
    <w:p w:rsidR="008E1491">
      <w:pPr>
        <w:spacing w:before="200" w:after="200"/>
        <w:jc w:val="both"/>
      </w:pPr>
      <w:r>
        <w:t>Research shows that films and television are a growing part of our global offer, with 9 in 10 potential visitors interested in visiting British locations used in filming.</w:t>
      </w:r>
      <w:r>
        <w:rPr>
          <w:vertAlign w:val="superscript"/>
        </w:rPr>
        <w:footnoteReference w:id="33"/>
      </w:r>
      <w:r>
        <w:t xml:space="preserve"> We have committed £75 million to a Screen Growth Package over three years, an investment which will strengthen the UK production ecosystem and enable the creation of content which showcases our best attractions. VisitBritain’s ‘Starring GREAT Britain’ campaign, launched in January 2025, is a </w:t>
      </w:r>
      <w:r>
        <w:t>global screen tourism initiative with a blockbuster-inspired short film, a digital hub with film-based itineraries and an advertising campaign in our most valuable inbound visitor markets. VisitBritain also signed a Me</w:t>
      </w:r>
      <w:r>
        <w:t xml:space="preserve">morandum of Understanding with the British Film Commission in December 2023, with both parties agreeing to share market intelligence and coordinate promotional activity to increase investment in both film and tourism. </w:t>
      </w:r>
    </w:p>
    <w:p w:rsidR="008E1491">
      <w:pPr>
        <w:spacing w:before="200" w:after="200"/>
        <w:jc w:val="both"/>
        <w:rPr>
          <w:u w:val="single"/>
        </w:rPr>
      </w:pPr>
      <w:r>
        <w:rPr>
          <w:u w:val="single"/>
        </w:rPr>
        <w:t>Music events</w:t>
      </w:r>
    </w:p>
    <w:p w:rsidR="008E1491">
      <w:pPr>
        <w:spacing w:before="200" w:after="200"/>
        <w:jc w:val="both"/>
        <w:rPr>
          <w:b/>
          <w:bCs/>
        </w:rPr>
      </w:pPr>
      <w:r>
        <w:t>In 2024, a record 23.5 million people attended live music concerts and festivals in the UK - a 23% year-on-year increase.</w:t>
      </w:r>
      <w:r>
        <w:rPr>
          <w:vertAlign w:val="superscript"/>
        </w:rPr>
        <w:footnoteReference w:id="34"/>
      </w:r>
      <w:r>
        <w:t xml:space="preserve"> Music tourism encompasses £5.1 billion in direct spend which includes the ticket price, on-site spend, travel, accommodation and meals, with a further £4.9 billion spent indirectly through the events value chain.</w:t>
      </w:r>
      <w:r>
        <w:rPr>
          <w:vertAlign w:val="superscript"/>
        </w:rPr>
        <w:footnoteReference w:id="35"/>
      </w:r>
      <w:r>
        <w:t xml:space="preserve"> For every 10,000 attendees at a live music event, around £1 million is spent in the local visitor economy on restaurants, bars, transport and hotels.</w:t>
      </w:r>
      <w:r>
        <w:rPr>
          <w:vertAlign w:val="superscript"/>
        </w:rPr>
        <w:footnoteReference w:id="36"/>
      </w:r>
      <w:r>
        <w:t xml:space="preserve"> The Creative Industries Sector Plan includes a Music Growth Package of up to £30 million to safeguard the future of grassroots music. The package builds upon existing government funding and will keep our grassroots music venues globally competitive, lower barriers to touring and increase opportunities for visitors to see artists perform across the country.</w:t>
      </w:r>
    </w:p>
    <w:p w:rsidR="008E1491">
      <w:pPr>
        <w:spacing w:before="200" w:after="200"/>
        <w:jc w:val="both"/>
      </w:pPr>
      <w:r>
        <w:rPr>
          <w:b/>
          <w:bCs/>
        </w:rPr>
        <w:t>8. What are the key issues facing the tourism workforce?</w:t>
      </w:r>
    </w:p>
    <w:p w:rsidR="008E1491">
      <w:pPr>
        <w:spacing w:before="200" w:after="200"/>
        <w:jc w:val="both"/>
      </w:pPr>
      <w:r>
        <w:t>The sector faces long-term systemic challenges, including under investment in training, limited career visibility, and challenges in attracting and retaining skilled workers. High vacancy rates have struggled to recover post-COVID. Changes to migration have impacted the sector, which relies on international workers more than most industries, and business confidence in employing staff is low. The sector faces labour shortages with around 70,000 vacancies.</w:t>
      </w:r>
      <w:r>
        <w:rPr>
          <w:vertAlign w:val="superscript"/>
        </w:rPr>
        <w:footnoteReference w:id="37"/>
      </w:r>
    </w:p>
    <w:p w:rsidR="008E1491" w:rsidRPr="00C3316F">
      <w:pPr>
        <w:spacing w:before="200" w:after="200"/>
        <w:jc w:val="both"/>
      </w:pPr>
      <w:r>
        <w:t>The sector offers huge potential for bringing NEETs into the workforce and supporting regional employment, particularly in coastal and rural communities. It is a vital entry-point employer for young people and those who face barriers to entering the workforce, with nearly 40% of its diverse workforce aged 16–34.</w:t>
      </w:r>
      <w:r>
        <w:rPr>
          <w:vertAlign w:val="superscript"/>
        </w:rPr>
        <w:footnoteReference w:id="38"/>
      </w:r>
      <w:r>
        <w:t xml:space="preserve"> The hospitality specific Sector-based Work Academy Programme gave 2,310 jobseekers tailored support between 2021 and 2024. The Hospitality Skills Passport initiative supported this by creating a universal entry standard and offering relevant work experience to help build skills and confidence. </w:t>
      </w:r>
    </w:p>
    <w:p w:rsidR="008E1491">
      <w:pPr>
        <w:spacing w:before="200" w:after="200"/>
        <w:jc w:val="both"/>
      </w:pPr>
      <w:r>
        <w:rPr>
          <w:b/>
          <w:bCs/>
        </w:rPr>
        <w:t>Next steps</w:t>
      </w:r>
    </w:p>
    <w:p w:rsidR="008E1491">
      <w:pPr>
        <w:spacing w:before="200" w:after="200"/>
        <w:jc w:val="both"/>
      </w:pPr>
      <w:r>
        <w:t xml:space="preserve">The Government’s ambition for the sector will be laid out in the forthcoming Visitor Economy Growth Strategy, due to be published this year. Developed in collaboration with tourism stakeholders, the strategy focuses on unlocking investment, supporting jobs and ensuring that tourism growth is sustainable and inclusive. We envision the strategy acting as an enabling force to share the benefits of tourism across every nation and region, empowering local leaders to invest in growth opportunities based on their </w:t>
      </w:r>
      <w:r>
        <w:t xml:space="preserve">area’s unique assets, infrastructure and identity. </w:t>
      </w:r>
    </w:p>
    <w:p w:rsidR="008E1491" w:rsidRPr="00157095">
      <w:pPr>
        <w:spacing w:before="200" w:after="200"/>
        <w:rPr>
          <w:rFonts w:ascii="Calibri" w:eastAsia="Calibri" w:hAnsi="Calibri" w:cs="Calibri"/>
          <w:b/>
          <w:i/>
          <w:sz w:val="24"/>
          <w:szCs w:val="24"/>
          <w:u w:val="single"/>
        </w:rPr>
      </w:pPr>
      <w:r w:rsidRPr="00157095">
        <w:rPr>
          <w:b/>
          <w:i/>
        </w:rPr>
        <w:t>May 2026</w:t>
      </w:r>
    </w:p>
    <w:sectPr>
      <w:footerReference w:type="default" r:id="rId5"/>
      <w:pgSz w:w="11909" w:h="16834"/>
      <w:pgMar w:top="708" w:right="1440" w:bottom="974"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3610003-11A2-45C7-A48D-5589BBD5BBB4}"/>
    <w:embedBoldItalic r:id="rId2" w:fontKey="{9A125B28-3AA9-466D-B197-9D81E33EC2BF}"/>
  </w:font>
  <w:font w:name="Cambria">
    <w:panose1 w:val="02040503050406030204"/>
    <w:charset w:val="00"/>
    <w:family w:val="roman"/>
    <w:pitch w:val="variable"/>
    <w:sig w:usb0="E00006FF" w:usb1="420024FF" w:usb2="02000000" w:usb3="00000000" w:csb0="0000019F" w:csb1="00000000"/>
    <w:embedRegular r:id="rId3" w:fontKey="{E0FE1879-785F-45FD-AB51-63E5D2DAA5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1491"/>
  <w:p w:rsidR="008E1491">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1491">
      <w:pPr>
        <w:spacing w:line="240" w:lineRule="auto"/>
      </w:pPr>
      <w:r>
        <w:separator/>
      </w:r>
    </w:p>
  </w:footnote>
  <w:footnote w:type="continuationSeparator" w:id="1">
    <w:p w:rsidR="008E1491">
      <w:pPr>
        <w:spacing w:line="240" w:lineRule="auto"/>
      </w:pPr>
      <w:r>
        <w:continuationSeparator/>
      </w:r>
    </w:p>
  </w:footnote>
  <w:footnote w:id="2">
    <w:p w:rsidR="008E1491">
      <w:pPr>
        <w:spacing w:line="240" w:lineRule="auto"/>
        <w:rPr>
          <w:sz w:val="16"/>
          <w:szCs w:val="16"/>
        </w:rPr>
      </w:pPr>
      <w:r>
        <w:rPr>
          <w:vertAlign w:val="superscript"/>
        </w:rPr>
        <w:footnoteRef/>
      </w:r>
      <w:r>
        <w:rPr>
          <w:sz w:val="16"/>
          <w:szCs w:val="16"/>
        </w:rPr>
        <w:t xml:space="preserve"> V</w:t>
      </w:r>
      <w:r>
        <w:rPr>
          <w:sz w:val="16"/>
          <w:szCs w:val="16"/>
        </w:rPr>
        <w:t>isitBritain, Economic Value of Tourism in the United Kingdom report (January 2026)</w:t>
      </w:r>
    </w:p>
  </w:footnote>
  <w:footnote w:id="3">
    <w:p w:rsidR="008E1491">
      <w:pPr>
        <w:spacing w:line="240" w:lineRule="auto"/>
        <w:rPr>
          <w:sz w:val="16"/>
          <w:szCs w:val="16"/>
        </w:rPr>
      </w:pPr>
      <w:r>
        <w:rPr>
          <w:vertAlign w:val="superscript"/>
        </w:rPr>
        <w:footnoteRef/>
      </w:r>
      <w:r>
        <w:rPr>
          <w:sz w:val="16"/>
          <w:szCs w:val="16"/>
        </w:rPr>
        <w:t xml:space="preserve"> ONS, Provisional UK Tourism Satellite Account indicator 2024 (December 2025)</w:t>
      </w:r>
    </w:p>
  </w:footnote>
  <w:footnote w:id="4">
    <w:p w:rsidR="008E1491">
      <w:pPr>
        <w:spacing w:line="240" w:lineRule="auto"/>
        <w:rPr>
          <w:sz w:val="16"/>
          <w:szCs w:val="16"/>
        </w:rPr>
      </w:pPr>
      <w:r>
        <w:rPr>
          <w:vertAlign w:val="superscript"/>
        </w:rPr>
        <w:footnoteRef/>
      </w:r>
      <w:r>
        <w:rPr>
          <w:sz w:val="16"/>
          <w:szCs w:val="16"/>
        </w:rPr>
        <w:t xml:space="preserve"> ONS, Travel trends estimates: overseas residents in the UK (August 2024)</w:t>
      </w:r>
    </w:p>
  </w:footnote>
  <w:footnote w:id="5">
    <w:p w:rsidR="008E1491">
      <w:pPr>
        <w:spacing w:line="240" w:lineRule="auto"/>
        <w:rPr>
          <w:sz w:val="16"/>
          <w:szCs w:val="16"/>
        </w:rPr>
      </w:pPr>
      <w:r>
        <w:rPr>
          <w:vertAlign w:val="superscript"/>
        </w:rPr>
        <w:footnoteRef/>
      </w:r>
      <w:r>
        <w:rPr>
          <w:sz w:val="16"/>
          <w:szCs w:val="16"/>
        </w:rPr>
        <w:t xml:space="preserve"> VisitBritain, Great Britain domestic overnight trips 2024 (May 2025)</w:t>
      </w:r>
    </w:p>
  </w:footnote>
  <w:footnote w:id="6">
    <w:p w:rsidR="008E1491">
      <w:pPr>
        <w:spacing w:line="240" w:lineRule="auto"/>
        <w:rPr>
          <w:sz w:val="16"/>
          <w:szCs w:val="16"/>
        </w:rPr>
      </w:pPr>
      <w:r>
        <w:rPr>
          <w:vertAlign w:val="superscript"/>
        </w:rPr>
        <w:footnoteRef/>
      </w:r>
      <w:r>
        <w:rPr>
          <w:sz w:val="16"/>
          <w:szCs w:val="16"/>
        </w:rPr>
        <w:t xml:space="preserve"> VisitBritain, Economic Value of Tourism in the United Kingdom report (January 2026)</w:t>
      </w:r>
    </w:p>
  </w:footnote>
  <w:footnote w:id="7">
    <w:p w:rsidR="008E1491">
      <w:pPr>
        <w:spacing w:line="240" w:lineRule="auto"/>
        <w:rPr>
          <w:sz w:val="16"/>
          <w:szCs w:val="16"/>
        </w:rPr>
      </w:pPr>
      <w:r>
        <w:rPr>
          <w:vertAlign w:val="superscript"/>
        </w:rPr>
        <w:footnoteRef/>
      </w:r>
      <w:r>
        <w:rPr>
          <w:sz w:val="16"/>
          <w:szCs w:val="16"/>
        </w:rPr>
        <w:t xml:space="preserve"> ONS, Provisional UK Tourism Satellite Account indicator 2024 (December 2025)</w:t>
      </w:r>
    </w:p>
  </w:footnote>
  <w:footnote w:id="8">
    <w:p w:rsidR="008E1491">
      <w:pPr>
        <w:spacing w:line="240" w:lineRule="auto"/>
        <w:rPr>
          <w:sz w:val="16"/>
          <w:szCs w:val="16"/>
        </w:rPr>
      </w:pPr>
      <w:r>
        <w:rPr>
          <w:vertAlign w:val="superscript"/>
        </w:rPr>
        <w:footnoteRef/>
      </w:r>
      <w:r>
        <w:rPr>
          <w:sz w:val="16"/>
          <w:szCs w:val="16"/>
        </w:rPr>
        <w:t xml:space="preserve"> VisitBritain, Economic Value of Tourism in the United Kingdom report (January 2026)</w:t>
      </w:r>
    </w:p>
  </w:footnote>
  <w:footnote w:id="9">
    <w:p w:rsidR="008E1491">
      <w:pPr>
        <w:spacing w:line="240" w:lineRule="auto"/>
        <w:rPr>
          <w:sz w:val="16"/>
          <w:szCs w:val="16"/>
        </w:rPr>
      </w:pPr>
      <w:r>
        <w:rPr>
          <w:vertAlign w:val="superscript"/>
        </w:rPr>
        <w:footnoteRef/>
      </w:r>
      <w:r>
        <w:rPr>
          <w:sz w:val="16"/>
          <w:szCs w:val="16"/>
        </w:rPr>
        <w:t xml:space="preserve"> OAG, Megahubs 2024 and World's Busiest Airports of 2025</w:t>
      </w:r>
    </w:p>
  </w:footnote>
  <w:footnote w:id="10">
    <w:p w:rsidR="008E1491">
      <w:pPr>
        <w:spacing w:line="240" w:lineRule="auto"/>
        <w:rPr>
          <w:sz w:val="16"/>
          <w:szCs w:val="16"/>
        </w:rPr>
      </w:pPr>
      <w:r>
        <w:rPr>
          <w:vertAlign w:val="superscript"/>
        </w:rPr>
        <w:footnoteRef/>
      </w:r>
      <w:r>
        <w:rPr>
          <w:sz w:val="16"/>
          <w:szCs w:val="16"/>
        </w:rPr>
        <w:t xml:space="preserve"> UN Tourism Data Dashboard 2024</w:t>
      </w:r>
    </w:p>
  </w:footnote>
  <w:footnote w:id="11">
    <w:p w:rsidR="008E1491">
      <w:pPr>
        <w:spacing w:line="240" w:lineRule="auto"/>
        <w:rPr>
          <w:sz w:val="20"/>
          <w:szCs w:val="20"/>
          <w:vertAlign w:val="superscript"/>
        </w:rPr>
      </w:pPr>
      <w:r>
        <w:rPr>
          <w:vertAlign w:val="superscript"/>
        </w:rPr>
        <w:footnoteRef/>
      </w:r>
      <w:r>
        <w:rPr>
          <w:sz w:val="20"/>
          <w:szCs w:val="20"/>
          <w:vertAlign w:val="superscript"/>
        </w:rPr>
        <w:t xml:space="preserve"> </w:t>
      </w:r>
      <w:r>
        <w:rPr>
          <w:sz w:val="16"/>
          <w:szCs w:val="16"/>
        </w:rPr>
        <w:t>VisitBritain, Economic Value of Tourism in the United Kingdom report (January 2026)</w:t>
      </w:r>
    </w:p>
  </w:footnote>
  <w:footnote w:id="12">
    <w:p w:rsidR="008E1491">
      <w:pPr>
        <w:spacing w:line="240" w:lineRule="auto"/>
        <w:rPr>
          <w:sz w:val="16"/>
          <w:szCs w:val="16"/>
        </w:rPr>
      </w:pPr>
      <w:r>
        <w:rPr>
          <w:vertAlign w:val="superscript"/>
        </w:rPr>
        <w:footnoteRef/>
      </w:r>
      <w:r>
        <w:rPr>
          <w:sz w:val="16"/>
          <w:szCs w:val="16"/>
        </w:rPr>
        <w:t xml:space="preserve"> VisitBritain, Economic Value of Tourism in the United Kingdom report (January 2026)</w:t>
      </w:r>
    </w:p>
  </w:footnote>
  <w:footnote w:id="13">
    <w:p w:rsidR="008E1491">
      <w:pPr>
        <w:spacing w:line="240" w:lineRule="auto"/>
        <w:rPr>
          <w:sz w:val="16"/>
          <w:szCs w:val="16"/>
        </w:rPr>
      </w:pPr>
      <w:r>
        <w:rPr>
          <w:vertAlign w:val="superscript"/>
        </w:rPr>
        <w:footnoteRef/>
      </w:r>
      <w:r>
        <w:rPr>
          <w:sz w:val="16"/>
          <w:szCs w:val="16"/>
        </w:rPr>
        <w:t xml:space="preserve"> Anholt Nation Brands Index 2025</w:t>
      </w:r>
    </w:p>
  </w:footnote>
  <w:footnote w:id="14">
    <w:p w:rsidR="008E1491">
      <w:pPr>
        <w:spacing w:line="240" w:lineRule="auto"/>
        <w:rPr>
          <w:sz w:val="16"/>
          <w:szCs w:val="16"/>
        </w:rPr>
      </w:pPr>
      <w:r>
        <w:rPr>
          <w:vertAlign w:val="superscript"/>
        </w:rPr>
        <w:footnoteRef/>
      </w:r>
      <w:r>
        <w:rPr>
          <w:sz w:val="16"/>
          <w:szCs w:val="16"/>
        </w:rPr>
        <w:t xml:space="preserve"> VisitBritain, Activities undertaken by inbound visitors (IPS, various years to 2024)</w:t>
      </w:r>
    </w:p>
  </w:footnote>
  <w:footnote w:id="15">
    <w:p w:rsidR="008E1491">
      <w:pPr>
        <w:spacing w:line="240" w:lineRule="auto"/>
        <w:rPr>
          <w:sz w:val="16"/>
          <w:szCs w:val="16"/>
        </w:rPr>
      </w:pPr>
      <w:r>
        <w:rPr>
          <w:vertAlign w:val="superscript"/>
        </w:rPr>
        <w:footnoteRef/>
      </w:r>
      <w:r>
        <w:rPr>
          <w:sz w:val="16"/>
          <w:szCs w:val="16"/>
        </w:rPr>
        <w:t xml:space="preserve"> Historic England, The Contribution of the Heritage Sector to the Visitor Economy (2024)</w:t>
      </w:r>
    </w:p>
  </w:footnote>
  <w:footnote w:id="16">
    <w:p w:rsidR="008E1491">
      <w:pPr>
        <w:spacing w:line="240" w:lineRule="auto"/>
        <w:rPr>
          <w:sz w:val="16"/>
          <w:szCs w:val="16"/>
        </w:rPr>
      </w:pPr>
      <w:r>
        <w:rPr>
          <w:vertAlign w:val="superscript"/>
        </w:rPr>
        <w:footnoteRef/>
      </w:r>
      <w:r>
        <w:rPr>
          <w:sz w:val="16"/>
          <w:szCs w:val="16"/>
        </w:rPr>
        <w:t xml:space="preserve"> ONS, Travel trends estimates: overseas residents in the UK (August 2024)</w:t>
      </w:r>
    </w:p>
  </w:footnote>
  <w:footnote w:id="17">
    <w:p w:rsidR="008E1491">
      <w:pPr>
        <w:spacing w:line="240" w:lineRule="auto"/>
        <w:rPr>
          <w:sz w:val="16"/>
          <w:szCs w:val="16"/>
        </w:rPr>
      </w:pPr>
      <w:r>
        <w:rPr>
          <w:vertAlign w:val="superscript"/>
        </w:rPr>
        <w:footnoteRef/>
      </w:r>
      <w:r>
        <w:rPr>
          <w:sz w:val="16"/>
          <w:szCs w:val="16"/>
        </w:rPr>
        <w:t xml:space="preserve"> VisitBritain, Understanding Business Visits report (2024)</w:t>
      </w:r>
    </w:p>
  </w:footnote>
  <w:footnote w:id="18">
    <w:p w:rsidR="008E1491">
      <w:pPr>
        <w:spacing w:line="240" w:lineRule="auto"/>
        <w:rPr>
          <w:sz w:val="16"/>
          <w:szCs w:val="16"/>
        </w:rPr>
      </w:pPr>
      <w:r>
        <w:rPr>
          <w:vertAlign w:val="superscript"/>
        </w:rPr>
        <w:footnoteRef/>
      </w:r>
      <w:r>
        <w:rPr>
          <w:sz w:val="16"/>
          <w:szCs w:val="16"/>
        </w:rPr>
        <w:t xml:space="preserve"> OECD Tourism Trends and Policies 2024</w:t>
      </w:r>
    </w:p>
  </w:footnote>
  <w:footnote w:id="19">
    <w:p w:rsidR="008E1491">
      <w:pPr>
        <w:spacing w:line="240" w:lineRule="auto"/>
        <w:rPr>
          <w:sz w:val="16"/>
          <w:szCs w:val="16"/>
        </w:rPr>
      </w:pPr>
      <w:r>
        <w:rPr>
          <w:vertAlign w:val="superscript"/>
        </w:rPr>
        <w:footnoteRef/>
      </w:r>
      <w:r>
        <w:rPr>
          <w:sz w:val="16"/>
          <w:szCs w:val="16"/>
        </w:rPr>
        <w:t xml:space="preserve"> VisitBritain, Inbound visits and spend: trends by UK town (2025)</w:t>
      </w:r>
    </w:p>
  </w:footnote>
  <w:footnote w:id="20">
    <w:p w:rsidR="008E1491">
      <w:pPr>
        <w:spacing w:line="240" w:lineRule="auto"/>
        <w:rPr>
          <w:sz w:val="16"/>
          <w:szCs w:val="16"/>
        </w:rPr>
      </w:pPr>
      <w:r>
        <w:rPr>
          <w:vertAlign w:val="superscript"/>
        </w:rPr>
        <w:footnoteRef/>
      </w:r>
      <w:r>
        <w:rPr>
          <w:sz w:val="20"/>
          <w:szCs w:val="20"/>
        </w:rPr>
        <w:t xml:space="preserve"> </w:t>
      </w:r>
      <w:r>
        <w:rPr>
          <w:sz w:val="16"/>
          <w:szCs w:val="16"/>
        </w:rPr>
        <w:t>EY UK Attractiveness Survey, 2025</w:t>
      </w:r>
    </w:p>
  </w:footnote>
  <w:footnote w:id="21">
    <w:p w:rsidR="008E1491">
      <w:pPr>
        <w:spacing w:line="240" w:lineRule="auto"/>
        <w:rPr>
          <w:sz w:val="16"/>
          <w:szCs w:val="16"/>
        </w:rPr>
      </w:pPr>
      <w:r>
        <w:rPr>
          <w:vertAlign w:val="superscript"/>
        </w:rPr>
        <w:footnoteRef/>
      </w:r>
      <w:r>
        <w:rPr>
          <w:sz w:val="16"/>
          <w:szCs w:val="16"/>
        </w:rPr>
        <w:t xml:space="preserve"> Wavehill, Evaluation of the North-East DDP Evaluation Report (2025)</w:t>
      </w:r>
    </w:p>
  </w:footnote>
  <w:footnote w:id="22">
    <w:p w:rsidR="008E1491">
      <w:pPr>
        <w:spacing w:line="240" w:lineRule="auto"/>
        <w:rPr>
          <w:sz w:val="16"/>
          <w:szCs w:val="16"/>
        </w:rPr>
      </w:pPr>
      <w:r>
        <w:rPr>
          <w:vertAlign w:val="superscript"/>
        </w:rPr>
        <w:footnoteRef/>
      </w:r>
      <w:r>
        <w:rPr>
          <w:sz w:val="20"/>
          <w:szCs w:val="20"/>
          <w:vertAlign w:val="superscript"/>
        </w:rPr>
        <w:t xml:space="preserve"> </w:t>
      </w:r>
      <w:r>
        <w:rPr>
          <w:sz w:val="16"/>
          <w:szCs w:val="16"/>
        </w:rPr>
        <w:t>GOV.UK, 2025</w:t>
      </w:r>
    </w:p>
  </w:footnote>
  <w:footnote w:id="23">
    <w:p w:rsidR="008E1491">
      <w:pPr>
        <w:spacing w:line="240" w:lineRule="auto"/>
        <w:rPr>
          <w:sz w:val="16"/>
          <w:szCs w:val="16"/>
        </w:rPr>
      </w:pPr>
      <w:r>
        <w:rPr>
          <w:vertAlign w:val="superscript"/>
        </w:rPr>
        <w:footnoteRef/>
      </w:r>
      <w:r>
        <w:rPr>
          <w:sz w:val="16"/>
          <w:szCs w:val="16"/>
        </w:rPr>
        <w:t xml:space="preserve"> ONS, Travel trends estimates: overseas residents in the UK (August 2024)</w:t>
      </w:r>
    </w:p>
  </w:footnote>
  <w:footnote w:id="24">
    <w:p w:rsidR="008E1491">
      <w:pPr>
        <w:spacing w:line="240" w:lineRule="auto"/>
        <w:rPr>
          <w:sz w:val="16"/>
          <w:szCs w:val="16"/>
        </w:rPr>
      </w:pPr>
      <w:r>
        <w:rPr>
          <w:vertAlign w:val="superscript"/>
        </w:rPr>
        <w:footnoteRef/>
      </w:r>
      <w:r>
        <w:rPr>
          <w:sz w:val="16"/>
          <w:szCs w:val="16"/>
        </w:rPr>
        <w:t xml:space="preserve"> VisitBritain, </w:t>
      </w:r>
      <w:r>
        <w:rPr>
          <w:color w:val="1C1C1C"/>
          <w:sz w:val="16"/>
          <w:szCs w:val="16"/>
        </w:rPr>
        <w:t>2024 IPS UK Total Inbound (August 2025)</w:t>
      </w:r>
    </w:p>
  </w:footnote>
  <w:footnote w:id="25">
    <w:p w:rsidR="008E1491">
      <w:pPr>
        <w:spacing w:line="240" w:lineRule="auto"/>
        <w:rPr>
          <w:sz w:val="16"/>
          <w:szCs w:val="16"/>
          <w:vertAlign w:val="superscript"/>
        </w:rPr>
      </w:pPr>
      <w:r>
        <w:rPr>
          <w:vertAlign w:val="superscript"/>
        </w:rPr>
        <w:footnoteRef/>
      </w:r>
      <w:r>
        <w:rPr>
          <w:sz w:val="16"/>
          <w:szCs w:val="16"/>
          <w:vertAlign w:val="superscript"/>
        </w:rPr>
        <w:t xml:space="preserve">  </w:t>
      </w:r>
      <w:r>
        <w:rPr>
          <w:sz w:val="16"/>
          <w:szCs w:val="16"/>
        </w:rPr>
        <w:t>VisitBritain, Inbound visits and spend: annual, UK (2025)</w:t>
      </w:r>
    </w:p>
  </w:footnote>
  <w:footnote w:id="26">
    <w:p w:rsidR="008E1491">
      <w:pPr>
        <w:spacing w:line="240" w:lineRule="auto"/>
        <w:rPr>
          <w:sz w:val="16"/>
          <w:szCs w:val="16"/>
          <w:vertAlign w:val="superscript"/>
        </w:rPr>
      </w:pPr>
      <w:r>
        <w:rPr>
          <w:vertAlign w:val="superscript"/>
        </w:rPr>
        <w:footnoteRef/>
      </w:r>
      <w:r>
        <w:rPr>
          <w:sz w:val="16"/>
          <w:szCs w:val="16"/>
          <w:vertAlign w:val="superscript"/>
        </w:rPr>
        <w:t xml:space="preserve"> </w:t>
      </w:r>
      <w:r>
        <w:rPr>
          <w:sz w:val="16"/>
          <w:szCs w:val="16"/>
        </w:rPr>
        <w:t xml:space="preserve"> VisitBritain, Great Britain domestic overnight trips 2024 (May 2025)</w:t>
      </w:r>
    </w:p>
  </w:footnote>
  <w:footnote w:id="27">
    <w:p w:rsidR="008E1491">
      <w:pPr>
        <w:spacing w:line="240" w:lineRule="auto"/>
        <w:rPr>
          <w:sz w:val="16"/>
          <w:szCs w:val="16"/>
        </w:rPr>
      </w:pPr>
      <w:r>
        <w:rPr>
          <w:vertAlign w:val="superscript"/>
        </w:rPr>
        <w:footnoteRef/>
      </w:r>
      <w:r>
        <w:rPr>
          <w:sz w:val="16"/>
          <w:szCs w:val="16"/>
        </w:rPr>
        <w:t xml:space="preserve"> As above</w:t>
      </w:r>
    </w:p>
  </w:footnote>
  <w:footnote w:id="28">
    <w:p w:rsidR="008E1491">
      <w:pPr>
        <w:spacing w:line="240" w:lineRule="auto"/>
        <w:rPr>
          <w:sz w:val="16"/>
          <w:szCs w:val="16"/>
        </w:rPr>
      </w:pPr>
      <w:r>
        <w:rPr>
          <w:vertAlign w:val="superscript"/>
        </w:rPr>
        <w:footnoteRef/>
      </w:r>
      <w:r>
        <w:rPr>
          <w:sz w:val="16"/>
          <w:szCs w:val="16"/>
        </w:rPr>
        <w:t xml:space="preserve"> ONS, Travel trends estimates: UK residents’ visits abroad, 2024</w:t>
      </w:r>
    </w:p>
  </w:footnote>
  <w:footnote w:id="29">
    <w:p w:rsidR="008E1491">
      <w:pPr>
        <w:spacing w:line="240" w:lineRule="auto"/>
        <w:rPr>
          <w:sz w:val="16"/>
          <w:szCs w:val="16"/>
        </w:rPr>
      </w:pPr>
      <w:r>
        <w:rPr>
          <w:vertAlign w:val="superscript"/>
        </w:rPr>
        <w:footnoteRef/>
      </w:r>
      <w:r>
        <w:rPr>
          <w:sz w:val="16"/>
          <w:szCs w:val="16"/>
        </w:rPr>
        <w:t xml:space="preserve"> Ofcom, Connected Nations 2025</w:t>
      </w:r>
    </w:p>
  </w:footnote>
  <w:footnote w:id="30">
    <w:p w:rsidR="008E1491">
      <w:pPr>
        <w:spacing w:line="240" w:lineRule="auto"/>
        <w:rPr>
          <w:sz w:val="16"/>
          <w:szCs w:val="16"/>
        </w:rPr>
      </w:pPr>
      <w:r>
        <w:rPr>
          <w:vertAlign w:val="superscript"/>
        </w:rPr>
        <w:footnoteRef/>
      </w:r>
      <w:r>
        <w:rPr>
          <w:sz w:val="16"/>
          <w:szCs w:val="16"/>
        </w:rPr>
        <w:t xml:space="preserve"> VisitBritain, Annual Visitor Survey (June 2025)</w:t>
      </w:r>
    </w:p>
  </w:footnote>
  <w:footnote w:id="31">
    <w:p w:rsidR="008E1491">
      <w:pPr>
        <w:spacing w:line="240" w:lineRule="auto"/>
        <w:rPr>
          <w:sz w:val="16"/>
          <w:szCs w:val="16"/>
        </w:rPr>
      </w:pPr>
      <w:r>
        <w:rPr>
          <w:vertAlign w:val="superscript"/>
        </w:rPr>
        <w:footnoteRef/>
      </w:r>
      <w:r>
        <w:rPr>
          <w:sz w:val="16"/>
          <w:szCs w:val="16"/>
        </w:rPr>
        <w:t xml:space="preserve"> Cebr, The heritage sector in England and its impact on the economy (August 2024)</w:t>
      </w:r>
    </w:p>
  </w:footnote>
  <w:footnote w:id="32">
    <w:p w:rsidR="008E1491">
      <w:pPr>
        <w:spacing w:line="240" w:lineRule="auto"/>
        <w:rPr>
          <w:sz w:val="16"/>
          <w:szCs w:val="16"/>
        </w:rPr>
      </w:pPr>
      <w:r>
        <w:rPr>
          <w:vertAlign w:val="superscript"/>
        </w:rPr>
        <w:footnoteRef/>
      </w:r>
      <w:r>
        <w:rPr>
          <w:sz w:val="16"/>
          <w:szCs w:val="16"/>
        </w:rPr>
        <w:t xml:space="preserve"> Historic England, The Contribution of the Heritage Sector to the Visitor Economy (November 2024)</w:t>
      </w:r>
    </w:p>
  </w:footnote>
  <w:footnote w:id="33">
    <w:p w:rsidR="008E1491">
      <w:pPr>
        <w:spacing w:line="240" w:lineRule="auto"/>
        <w:rPr>
          <w:sz w:val="16"/>
          <w:szCs w:val="16"/>
        </w:rPr>
      </w:pPr>
      <w:r>
        <w:rPr>
          <w:vertAlign w:val="superscript"/>
        </w:rPr>
        <w:footnoteRef/>
      </w:r>
      <w:r>
        <w:rPr>
          <w:sz w:val="16"/>
          <w:szCs w:val="16"/>
        </w:rPr>
        <w:t xml:space="preserve"> VisitBritain, Influence of Film &amp; TV on travel to UK (July 2024)</w:t>
      </w:r>
    </w:p>
  </w:footnote>
  <w:footnote w:id="34">
    <w:p w:rsidR="008E1491">
      <w:pPr>
        <w:spacing w:line="240" w:lineRule="auto"/>
        <w:rPr>
          <w:sz w:val="16"/>
          <w:szCs w:val="16"/>
          <w:vertAlign w:val="superscript"/>
        </w:rPr>
      </w:pPr>
      <w:r>
        <w:rPr>
          <w:vertAlign w:val="superscript"/>
        </w:rPr>
        <w:footnoteRef/>
      </w:r>
      <w:r>
        <w:rPr>
          <w:sz w:val="16"/>
          <w:szCs w:val="16"/>
          <w:vertAlign w:val="superscript"/>
        </w:rPr>
        <w:t xml:space="preserve">  </w:t>
      </w:r>
      <w:r>
        <w:rPr>
          <w:sz w:val="16"/>
          <w:szCs w:val="16"/>
        </w:rPr>
        <w:t>UK Music, Hometown Glory report (July 2025)</w:t>
      </w:r>
    </w:p>
  </w:footnote>
  <w:footnote w:id="35">
    <w:p w:rsidR="008E1491">
      <w:pPr>
        <w:spacing w:line="240" w:lineRule="auto"/>
        <w:rPr>
          <w:sz w:val="16"/>
          <w:szCs w:val="16"/>
        </w:rPr>
      </w:pPr>
      <w:r>
        <w:rPr>
          <w:vertAlign w:val="superscript"/>
        </w:rPr>
        <w:footnoteRef/>
      </w:r>
      <w:r>
        <w:rPr>
          <w:sz w:val="16"/>
          <w:szCs w:val="16"/>
        </w:rPr>
        <w:t xml:space="preserve"> As above</w:t>
      </w:r>
    </w:p>
  </w:footnote>
  <w:footnote w:id="36">
    <w:p w:rsidR="008E1491">
      <w:pPr>
        <w:spacing w:line="240" w:lineRule="auto"/>
        <w:rPr>
          <w:sz w:val="16"/>
          <w:szCs w:val="16"/>
        </w:rPr>
      </w:pPr>
      <w:r>
        <w:rPr>
          <w:vertAlign w:val="superscript"/>
        </w:rPr>
        <w:footnoteRef/>
      </w:r>
      <w:r>
        <w:rPr>
          <w:sz w:val="16"/>
          <w:szCs w:val="16"/>
        </w:rPr>
        <w:t xml:space="preserve"> Oak View Group, written evidence to HMT’s ‘Transforming Business Rates’ discussion paper</w:t>
      </w:r>
    </w:p>
  </w:footnote>
  <w:footnote w:id="37">
    <w:p w:rsidR="008E1491">
      <w:pPr>
        <w:spacing w:line="240" w:lineRule="auto"/>
        <w:rPr>
          <w:sz w:val="16"/>
          <w:szCs w:val="16"/>
          <w:vertAlign w:val="superscript"/>
        </w:rPr>
      </w:pPr>
      <w:r>
        <w:rPr>
          <w:vertAlign w:val="superscript"/>
        </w:rPr>
        <w:footnoteRef/>
      </w:r>
      <w:r>
        <w:rPr>
          <w:sz w:val="16"/>
          <w:szCs w:val="16"/>
          <w:vertAlign w:val="superscript"/>
        </w:rPr>
        <w:t xml:space="preserve"> </w:t>
      </w:r>
      <w:r>
        <w:rPr>
          <w:sz w:val="16"/>
          <w:szCs w:val="16"/>
        </w:rPr>
        <w:t>ONS, Vacancies by industry (10 June 2025)</w:t>
      </w:r>
    </w:p>
  </w:footnote>
  <w:footnote w:id="38">
    <w:p w:rsidR="008E1491">
      <w:pPr>
        <w:spacing w:line="240" w:lineRule="auto"/>
        <w:rPr>
          <w:sz w:val="16"/>
          <w:szCs w:val="16"/>
        </w:rPr>
      </w:pPr>
      <w:r>
        <w:rPr>
          <w:vertAlign w:val="superscript"/>
        </w:rPr>
        <w:footnoteRef/>
      </w:r>
      <w:r>
        <w:rPr>
          <w:sz w:val="16"/>
          <w:szCs w:val="16"/>
        </w:rPr>
        <w:t xml:space="preserve"> UKHospitality, Social Productivity Index 2025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2F1DD8"/>
    <w:multiLevelType w:val="multilevel"/>
    <w:tmpl w:val="334C7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E595008"/>
    <w:multiLevelType w:val="multilevel"/>
    <w:tmpl w:val="015C6D46"/>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FE54A11"/>
    <w:multiLevelType w:val="multilevel"/>
    <w:tmpl w:val="518E0FA4"/>
    <w:lvl w:ilvl="0">
      <w:start w:val="1"/>
      <w:numFmt w:val="decimal"/>
      <w:lvlText w:val="%1."/>
      <w:lvlJc w:val="left"/>
      <w:pPr>
        <w:ind w:left="425" w:hanging="360"/>
      </w:pPr>
      <w:rPr>
        <w:rFonts w:ascii="Arial" w:eastAsia="Arial" w:hAnsi="Arial" w:cs="Arial"/>
        <w:b w:val="0"/>
        <w:bCs w:val="0"/>
        <w:i w:val="0"/>
        <w:iCs w:val="0"/>
        <w:color w:val="000000"/>
        <w:u w:val="none"/>
        <w:shd w:val="clear" w:color="auto" w:fill="auto"/>
      </w:rPr>
    </w:lvl>
    <w:lvl w:ilvl="1">
      <w:start w:val="1"/>
      <w:numFmt w:val="bullet"/>
      <w:lvlText w:val="○"/>
      <w:lvlJc w:val="left"/>
      <w:pPr>
        <w:ind w:left="1440" w:hanging="360"/>
      </w:pPr>
      <w:rPr>
        <w:i w:val="0"/>
        <w:iCs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Pr>
  </w:style>
  <w:style w:type="paragraph" w:styleId="Header">
    <w:name w:val="header"/>
    <w:basedOn w:val="Normal"/>
    <w:link w:val="HeaderChar"/>
    <w:uiPriority w:val="99"/>
    <w:unhideWhenUsed/>
    <w:rsid w:val="00C3316F"/>
    <w:pPr>
      <w:tabs>
        <w:tab w:val="center" w:pos="4513"/>
        <w:tab w:val="right" w:pos="9026"/>
      </w:tabs>
      <w:spacing w:line="240" w:lineRule="auto"/>
    </w:pPr>
  </w:style>
  <w:style w:type="character" w:customStyle="1" w:styleId="HeaderChar">
    <w:name w:val="Header Char"/>
    <w:basedOn w:val="DefaultParagraphFont"/>
    <w:link w:val="Header"/>
    <w:uiPriority w:val="99"/>
    <w:rsid w:val="00C3316F"/>
  </w:style>
  <w:style w:type="paragraph" w:styleId="Footer">
    <w:name w:val="footer"/>
    <w:basedOn w:val="Normal"/>
    <w:link w:val="FooterChar"/>
    <w:uiPriority w:val="99"/>
    <w:unhideWhenUsed/>
    <w:rsid w:val="00C3316F"/>
    <w:pPr>
      <w:tabs>
        <w:tab w:val="center" w:pos="4513"/>
        <w:tab w:val="right" w:pos="9026"/>
      </w:tabs>
      <w:spacing w:line="240" w:lineRule="auto"/>
    </w:pPr>
  </w:style>
  <w:style w:type="character" w:customStyle="1" w:styleId="FooterChar">
    <w:name w:val="Footer Char"/>
    <w:basedOn w:val="DefaultParagraphFont"/>
    <w:link w:val="Footer"/>
    <w:uiPriority w:val="99"/>
    <w:rsid w:val="00C33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TOU0026</dc:title>
  <cp:revision>0</cp:revision>
</cp:coreProperties>
</file>