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F1237" w:rsidP="00310CB3">
      <w:pPr>
        <w:pStyle w:val="Heading1"/>
      </w:pPr>
      <w:r>
        <w:t xml:space="preserve">Written evidence submitted by </w:t>
      </w:r>
      <w:r w:rsidRPr="00EF1237">
        <w:t>North Yorkshire Council</w:t>
      </w:r>
      <w:r>
        <w:t xml:space="preserve"> (</w:t>
      </w:r>
      <w:r w:rsidRPr="00EF1237">
        <w:t>CWR0196</w:t>
      </w:r>
      <w:r>
        <w:t>)</w:t>
      </w:r>
    </w:p>
    <w:p w:rsidR="00310CB3" w:rsidP="00310CB3">
      <w:pPr>
        <w:pStyle w:val="Heading1"/>
      </w:pPr>
      <w:r>
        <w:t>Q5: Emergency Services and Local Authority Capacity</w:t>
      </w:r>
    </w:p>
    <w:p w:rsidR="00BE33C1" w:rsidP="00310CB3">
      <w:pPr>
        <w:spacing w:before="100" w:after="100"/>
        <w:rPr>
          <w:color w:val="000000"/>
        </w:rPr>
      </w:pPr>
    </w:p>
    <w:p w:rsidR="00BE33C1" w:rsidRPr="00BE33C1" w:rsidP="00BE33C1">
      <w:pPr>
        <w:spacing w:before="100" w:after="100"/>
        <w:rPr>
          <w:color w:val="000000"/>
        </w:rPr>
      </w:pPr>
      <w:r w:rsidRPr="00BE33C1">
        <w:rPr>
          <w:color w:val="000000"/>
        </w:rPr>
        <w:t>The Fylingdales Moor fire of 2025 placed exceptional demands on North Yorkshire Fire and Rescue Service, partner agencies, and the land managers and estate teams who contributed to the response. We recognise the commitment and professionalism of all involved.</w:t>
      </w:r>
    </w:p>
    <w:p w:rsidR="00BE33C1" w:rsidRPr="00BE33C1" w:rsidP="00BE33C1">
      <w:pPr>
        <w:spacing w:before="100" w:after="100"/>
        <w:rPr>
          <w:color w:val="000000"/>
        </w:rPr>
      </w:pPr>
      <w:r w:rsidRPr="00BE33C1">
        <w:rPr>
          <w:color w:val="000000"/>
        </w:rPr>
        <w:t>The increasing scale of wildfire incidents is placing significant and growing pressure on fire and rescue services and local authorities. Capacity in terms of resources, capability, and coordination mechanisms needs to be reinforced at the national level. The principal operational challenges in large rural authority areas with upland landscapes include the inaccessibility of extensive areas to conventional fire appliances; the on-call staffing model of fire and rescue services; inconsistent and incompletely mapped water supplies; the duration and complexity of peat fires; the specialist skills and equipment required for wildfire firefighting, as distinct from structural firefighting; and the need for coordination across service boundaries when fires spread over large areas.</w:t>
      </w:r>
    </w:p>
    <w:p w:rsidR="00310CB3" w:rsidP="00310CB3">
      <w:pPr>
        <w:pStyle w:val="Heading2"/>
      </w:pPr>
      <w:r>
        <w:t>The contribution of land managers and estate teams</w:t>
      </w:r>
    </w:p>
    <w:p w:rsidR="000B220B" w:rsidRPr="000B220B" w:rsidP="000B220B">
      <w:pPr>
        <w:pStyle w:val="Heading2"/>
        <w:rPr>
          <w:rFonts w:ascii="Arial" w:eastAsia="Arial" w:hAnsi="Arial" w:cs="Arial"/>
          <w:color w:val="000000"/>
          <w:sz w:val="22"/>
          <w:szCs w:val="22"/>
        </w:rPr>
      </w:pPr>
      <w:r w:rsidRPr="000B220B">
        <w:rPr>
          <w:rFonts w:ascii="Arial" w:eastAsia="Arial" w:hAnsi="Arial" w:cs="Arial"/>
          <w:color w:val="000000"/>
          <w:sz w:val="22"/>
          <w:szCs w:val="22"/>
        </w:rPr>
        <w:t>During the Fylingdales Moor fire, private landowners, estate managers, and farming families made a significant practical contribution: providing early alerts, guiding crews through terrain they knew well, making vehicles, tractors, and water bowsers available at short notice, and supporting containment efforts. This kind of local knowledge and practical support is a normal and important feature of wildfire response in remote upland landscapes, and any national framework for wildfire preparedness needs to account for it.</w:t>
      </w:r>
    </w:p>
    <w:p w:rsidR="000B220B" w:rsidP="000B220B">
      <w:pPr>
        <w:pStyle w:val="Heading2"/>
        <w:rPr>
          <w:rFonts w:ascii="Arial" w:eastAsia="Arial" w:hAnsi="Arial" w:cs="Arial"/>
          <w:color w:val="000000"/>
          <w:sz w:val="22"/>
          <w:szCs w:val="22"/>
        </w:rPr>
      </w:pPr>
      <w:r w:rsidRPr="000B220B">
        <w:rPr>
          <w:rFonts w:ascii="Arial" w:eastAsia="Arial" w:hAnsi="Arial" w:cs="Arial"/>
          <w:color w:val="000000"/>
          <w:sz w:val="22"/>
          <w:szCs w:val="22"/>
        </w:rPr>
        <w:t xml:space="preserve">We highlight </w:t>
      </w:r>
      <w:r w:rsidRPr="000B220B">
        <w:rPr>
          <w:rFonts w:ascii="Arial" w:eastAsia="Arial" w:hAnsi="Arial" w:cs="Arial"/>
          <w:color w:val="000000"/>
          <w:sz w:val="22"/>
          <w:szCs w:val="22"/>
        </w:rPr>
        <w:t>in particular the</w:t>
      </w:r>
      <w:r w:rsidRPr="000B220B">
        <w:rPr>
          <w:rFonts w:ascii="Arial" w:eastAsia="Arial" w:hAnsi="Arial" w:cs="Arial"/>
          <w:color w:val="000000"/>
          <w:sz w:val="22"/>
          <w:szCs w:val="22"/>
        </w:rPr>
        <w:t xml:space="preserve"> importance of landowners and land managers developing and maintaining fire risk registers and wildfire response plans, documenting water sources, access routes, vegetation condition, and contact arrangements, that can be shared with and coordinated by fire services and local resilience forums before incidents occur. A network of such plans, integrated into a coherent local picture, would significantly improve preparedness without requiring large-scale additional public resource.</w:t>
      </w:r>
    </w:p>
    <w:p w:rsidR="00310CB3" w:rsidP="000B220B">
      <w:pPr>
        <w:pStyle w:val="Heading2"/>
      </w:pPr>
      <w:r>
        <w:t>Areas where action would strengthen response</w:t>
      </w:r>
    </w:p>
    <w:p w:rsidR="006E0F80" w:rsidRPr="006E0F80" w:rsidP="006E0F80">
      <w:pPr>
        <w:pStyle w:val="ListParagraph"/>
        <w:numPr>
          <w:ilvl w:val="0"/>
          <w:numId w:val="1"/>
        </w:numPr>
      </w:pPr>
      <w:r w:rsidRPr="006E0F80">
        <w:t xml:space="preserve">Developing a national framework for wildfire capability, </w:t>
      </w:r>
      <w:r w:rsidRPr="006E0F80">
        <w:t>similar to</w:t>
      </w:r>
      <w:r w:rsidRPr="006E0F80">
        <w:t xml:space="preserve"> the DEFRA Flood Concept of Operations, for responding agencies, covering equipment, training, and coordination, with dedicated funding for services in the highest-risk areas.</w:t>
      </w:r>
    </w:p>
    <w:p w:rsidR="00E3119D" w:rsidP="00310CB3">
      <w:pPr>
        <w:pStyle w:val="ListParagraph"/>
        <w:numPr>
          <w:ilvl w:val="0"/>
          <w:numId w:val="1"/>
        </w:numPr>
        <w:spacing w:before="60" w:after="60"/>
        <w:contextualSpacing w:val="0"/>
      </w:pPr>
      <w:r>
        <w:t xml:space="preserve">To assist local authorities in providing immediate financial support, arrangements </w:t>
      </w:r>
      <w:r>
        <w:t>similar to</w:t>
      </w:r>
      <w:r>
        <w:t xml:space="preserve"> the </w:t>
      </w:r>
      <w:r w:rsidR="1C9A83A0">
        <w:t xml:space="preserve">Bellwin Scheme, </w:t>
      </w:r>
      <w:r>
        <w:t>Farming Recovery Fund and the Flood Recovery Framework should be established for wildfire incidents.</w:t>
      </w:r>
    </w:p>
    <w:p w:rsidR="00E3119D" w:rsidP="00310CB3">
      <w:pPr>
        <w:pStyle w:val="ListParagraph"/>
        <w:numPr>
          <w:ilvl w:val="0"/>
          <w:numId w:val="1"/>
        </w:numPr>
        <w:spacing w:before="60" w:after="60"/>
        <w:contextualSpacing w:val="0"/>
      </w:pPr>
      <w:r w:rsidRPr="00E3119D">
        <w:t>Mapping upland water supply infrastructure for firefighting purposes, drawing on land manager knowledge as well as statutory records, and investing in provision where gaps are most significant.</w:t>
      </w:r>
    </w:p>
    <w:p w:rsidR="00E3119D" w:rsidP="00310CB3">
      <w:pPr>
        <w:pStyle w:val="ListParagraph"/>
        <w:numPr>
          <w:ilvl w:val="0"/>
          <w:numId w:val="1"/>
        </w:numPr>
        <w:spacing w:before="60" w:after="60"/>
        <w:contextualSpacing w:val="0"/>
      </w:pPr>
      <w:r w:rsidRPr="00E3119D">
        <w:t>Ensuring that non–Local Resilience Forum organisations with a vital role in wildfire response are engaged in supporting Community Risk Register processes and cross-</w:t>
      </w:r>
      <w:r w:rsidRPr="00E3119D">
        <w:t>boundary wildfire response exercises. This would improve coordination when incidents spread across service boundaries.</w:t>
      </w:r>
    </w:p>
    <w:p w:rsidR="00E3119D" w:rsidP="00310CB3">
      <w:pPr>
        <w:pStyle w:val="ListParagraph"/>
        <w:numPr>
          <w:ilvl w:val="0"/>
          <w:numId w:val="1"/>
        </w:numPr>
        <w:spacing w:before="60" w:after="60"/>
        <w:contextualSpacing w:val="0"/>
      </w:pPr>
      <w:r w:rsidRPr="00E3119D">
        <w:t xml:space="preserve">Providing capital support for specialist wildfire equipment, including tracked all-terrain vehicles, high-volume portable pumps, and drone capability, for services covering national parks and other high-risk upland areas. </w:t>
      </w:r>
    </w:p>
    <w:p w:rsidR="00E3119D" w:rsidP="00310CB3">
      <w:pPr>
        <w:pStyle w:val="ListParagraph"/>
        <w:numPr>
          <w:ilvl w:val="0"/>
          <w:numId w:val="1"/>
        </w:numPr>
        <w:spacing w:before="60" w:after="60"/>
        <w:contextualSpacing w:val="0"/>
      </w:pPr>
      <w:r w:rsidRPr="00E3119D">
        <w:t>Developing a formal framework for integrating land manager and estate team contributions into wildfire response, including support for fire risk registers, pre-agreed access protocols, and recognition within local emergency planning frameworks.</w:t>
      </w:r>
    </w:p>
    <w:p w:rsidR="00A926A7" w:rsidP="00A926A7">
      <w:pPr>
        <w:pStyle w:val="Heading1"/>
      </w:pPr>
      <w:r>
        <w:t>Q8: Cross-Departmental Coordination</w:t>
      </w:r>
    </w:p>
    <w:p w:rsidR="00A926A7" w:rsidP="00A926A7">
      <w:pPr>
        <w:spacing w:before="100" w:after="100"/>
      </w:pPr>
      <w:r>
        <w:rPr>
          <w:color w:val="000000"/>
        </w:rPr>
        <w:t xml:space="preserve">Wildfire responsibility is currently distributed across MHCLG (Fire and Rescue Services, planning policy), Defra (land management, </w:t>
      </w:r>
      <w:r>
        <w:rPr>
          <w:color w:val="000000"/>
        </w:rPr>
        <w:t>agri</w:t>
      </w:r>
      <w:r>
        <w:rPr>
          <w:color w:val="000000"/>
        </w:rPr>
        <w:t xml:space="preserve">-environment, Natural England, Environment Agency, Forestry Commission), the Home Office (emergency response), DESNZ (climate adaptation), and the Cabinet Office (civil contingencies). </w:t>
      </w:r>
      <w:r>
        <w:rPr>
          <w:color w:val="000000"/>
        </w:rPr>
        <w:t>National park</w:t>
      </w:r>
      <w:r>
        <w:rPr>
          <w:color w:val="000000"/>
        </w:rPr>
        <w:t xml:space="preserve"> authorities, which have statutory responsibility for some of the highest-risk landscapes in England, have no formal role in any national wildfire strategy. This fragmentation creates real challenges for coherent action.</w:t>
      </w:r>
    </w:p>
    <w:p w:rsidR="00235FC6" w:rsidP="00A926A7">
      <w:pPr>
        <w:spacing w:before="100" w:after="100"/>
        <w:rPr>
          <w:color w:val="000000"/>
        </w:rPr>
      </w:pPr>
      <w:r>
        <w:rPr>
          <w:color w:val="000000"/>
        </w:rPr>
        <w:t xml:space="preserve">The response to the Fylingdales Moor fire was coordinated locally through the North Yorkshire Local Resilience Forum, working with North Yorkshire Fire and Rescue Service, the NYMPA, Forestry England, landowners, and other partners. </w:t>
      </w:r>
      <w:r w:rsidRPr="00235FC6">
        <w:rPr>
          <w:color w:val="000000"/>
        </w:rPr>
        <w:t>We wish to acknowledge the effectiveness of these local support structures throughout the response and recovery phases. These arrangements followed the response and recovery frameworks set out in the Civil Contingencies Act and required significant resource commitments from the local authority, fire and rescue services, and other partners.</w:t>
      </w:r>
      <w:r>
        <w:rPr>
          <w:color w:val="000000"/>
        </w:rPr>
        <w:t xml:space="preserve">  </w:t>
      </w:r>
    </w:p>
    <w:p w:rsidR="00A926A7" w:rsidP="00A926A7">
      <w:pPr>
        <w:spacing w:before="100" w:after="100"/>
      </w:pPr>
      <w:r>
        <w:rPr>
          <w:color w:val="000000"/>
        </w:rPr>
        <w:t xml:space="preserve">We also wish to acknowledge the </w:t>
      </w:r>
      <w:r w:rsidR="00235FC6">
        <w:rPr>
          <w:color w:val="000000"/>
        </w:rPr>
        <w:t xml:space="preserve">vital </w:t>
      </w:r>
      <w:r>
        <w:rPr>
          <w:color w:val="000000"/>
        </w:rPr>
        <w:t xml:space="preserve">role </w:t>
      </w:r>
      <w:r w:rsidR="00235FC6">
        <w:rPr>
          <w:color w:val="000000"/>
        </w:rPr>
        <w:t xml:space="preserve">that is required to </w:t>
      </w:r>
      <w:r>
        <w:rPr>
          <w:color w:val="000000"/>
        </w:rPr>
        <w:t xml:space="preserve">played by </w:t>
      </w:r>
      <w:r w:rsidR="00235FC6">
        <w:rPr>
          <w:color w:val="000000"/>
        </w:rPr>
        <w:t xml:space="preserve">MHCLG and </w:t>
      </w:r>
      <w:r>
        <w:rPr>
          <w:color w:val="000000"/>
        </w:rPr>
        <w:t>Defra during the recovery phase</w:t>
      </w:r>
      <w:r w:rsidRPr="00235FC6" w:rsidR="00235FC6">
        <w:t xml:space="preserve"> </w:t>
      </w:r>
      <w:r w:rsidRPr="00235FC6" w:rsidR="00235FC6">
        <w:rPr>
          <w:color w:val="000000"/>
        </w:rPr>
        <w:t>in coordinating the central government contribution, facilitating access to resources, and maintaining communication across Whitehall on the longer-term implications of the fire.</w:t>
      </w:r>
      <w:r w:rsidR="00235FC6">
        <w:rPr>
          <w:color w:val="000000"/>
        </w:rPr>
        <w:t xml:space="preserve">  </w:t>
      </w:r>
      <w:r w:rsidRPr="00235FC6" w:rsidR="00235FC6">
        <w:rPr>
          <w:color w:val="000000"/>
        </w:rPr>
        <w:t>Nonetheless, the experience underlines the extent to which effective wildfire management currently depends on the strength of local relationships rather than a coherent national framework.</w:t>
      </w:r>
    </w:p>
    <w:p w:rsidR="00A926A7" w:rsidP="00A926A7">
      <w:pPr>
        <w:pStyle w:val="Heading2"/>
      </w:pPr>
      <w:r>
        <w:t>Areas where stronger coordination would deliver benefit</w:t>
      </w:r>
    </w:p>
    <w:p w:rsidR="00235FC6" w:rsidP="00A926A7">
      <w:pPr>
        <w:pStyle w:val="ListParagraph"/>
        <w:numPr>
          <w:ilvl w:val="0"/>
          <w:numId w:val="1"/>
        </w:numPr>
        <w:spacing w:before="60" w:after="60"/>
        <w:contextualSpacing w:val="0"/>
      </w:pPr>
      <w:r w:rsidRPr="00235FC6">
        <w:t>The designation of a clear lead function for wildfire risk policy in England, with responsibility for cross-departmental coordination and the development of a national strategy. Given the central role of land management in determining wildfire risk, Defra is well placed to take on this function.</w:t>
      </w:r>
    </w:p>
    <w:p w:rsidR="000F50E3" w:rsidP="00A926A7">
      <w:pPr>
        <w:pStyle w:val="ListParagraph"/>
        <w:numPr>
          <w:ilvl w:val="0"/>
          <w:numId w:val="1"/>
        </w:numPr>
        <w:spacing w:before="60" w:after="60"/>
        <w:contextualSpacing w:val="0"/>
      </w:pPr>
      <w:r w:rsidRPr="000F50E3">
        <w:t>The establishment of a National Wildfire Risk Board, bringing together Defra, MHCLG, the NFCC, Natural England, the Environment Agency, the Forestry Commission, national park authorities, and National Landscapes, to develop strategy, share evidence, and coordinate action.</w:t>
      </w:r>
    </w:p>
    <w:p w:rsidR="000F50E3" w:rsidP="00A926A7">
      <w:pPr>
        <w:pStyle w:val="ListParagraph"/>
        <w:numPr>
          <w:ilvl w:val="0"/>
          <w:numId w:val="1"/>
        </w:numPr>
        <w:spacing w:before="60" w:after="60"/>
        <w:contextualSpacing w:val="0"/>
      </w:pPr>
      <w:r w:rsidRPr="000F50E3">
        <w:t>The development of a National Wildfire Strategy for England by 2027, covering risk assessment, land management, public engagement, emergency response capability, and recovery.</w:t>
      </w:r>
    </w:p>
    <w:p w:rsidR="000F50E3" w:rsidP="00A926A7">
      <w:pPr>
        <w:pStyle w:val="ListParagraph"/>
        <w:numPr>
          <w:ilvl w:val="0"/>
          <w:numId w:val="1"/>
        </w:numPr>
        <w:spacing w:before="60" w:after="60"/>
        <w:contextualSpacing w:val="0"/>
      </w:pPr>
      <w:r w:rsidRPr="000F50E3">
        <w:t>Requiring the National Adaptation Programme (NAP3 and subsequent iterations) to include specific, measurable commitments on wildfire risk reduction, thereby embedding wildfire risk within the statutory climate adaptation framework.</w:t>
      </w:r>
    </w:p>
    <w:p w:rsidR="00310CB3" w:rsidP="00BE33C1">
      <w:pPr>
        <w:pStyle w:val="ListParagraph"/>
        <w:numPr>
          <w:ilvl w:val="0"/>
          <w:numId w:val="1"/>
        </w:numPr>
        <w:spacing w:before="60" w:after="60"/>
      </w:pPr>
      <w:r w:rsidRPr="00BE33C1">
        <w:t xml:space="preserve">Supporting Local Resilience Forums in high-risk upland areas to develop local reasonable worst-case scenarios for their Community Risk Registers, </w:t>
      </w:r>
      <w:r w:rsidRPr="00BE33C1">
        <w:t>in order to</w:t>
      </w:r>
      <w:r w:rsidRPr="00BE33C1">
        <w:t xml:space="preserve"> </w:t>
      </w:r>
      <w:r w:rsidRPr="00BE33C1">
        <w:t xml:space="preserve">inform the development of </w:t>
      </w:r>
      <w:r w:rsidRPr="00BE33C1">
        <w:t>wildfire</w:t>
      </w:r>
      <w:r w:rsidRPr="00BE33C1">
        <w:t xml:space="preserve"> plans integrated with the Fire Community Risk Model and response plans developed by landowners and land managers.</w:t>
      </w:r>
    </w:p>
    <w:p w:rsidR="00E43F62" w:rsidP="00E43F62">
      <w:pPr>
        <w:spacing w:before="60" w:after="60"/>
      </w:pPr>
    </w:p>
    <w:p w:rsidR="00E43F62" w:rsidRPr="00E43F62" w:rsidP="00E43F62">
      <w:pPr>
        <w:spacing w:before="60" w:after="60"/>
        <w:rPr>
          <w:b/>
          <w:bCs/>
        </w:rPr>
      </w:pPr>
      <w:r w:rsidRPr="00E43F62">
        <w:rPr>
          <w:b/>
          <w:bCs/>
        </w:rPr>
        <w:t>May 2026</w:t>
      </w:r>
    </w:p>
    <w:p w:rsidR="00CD08B6"/>
    <w:sectPr>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A14">
    <w:pPr>
      <w:pStyle w:val="Footer"/>
    </w:pPr>
    <w:r>
      <w:rPr>
        <w:noProof/>
      </w:rPr>
      <w:pict>
        <v:shapetype id="_x0000_t202" coordsize="21600,21600" o:spt="202" path="m,l,21600r21600,l21600,xe">
          <v:stroke joinstyle="miter"/>
          <v:path gradientshapeok="t" o:connecttype="rect"/>
        </v:shapetype>
        <v:shape id="Text Box 2" o:spid="_x0000_s2049" type="#_x0000_t202" alt="OFFICIAL" style="height:27.2pt;margin-left:0;margin-top:0;mso-position-horizontal:center;mso-position-horizontal-relative:page;mso-position-vertical:bottom;mso-position-vertical-relative:page;mso-wrap-distance-bottom:0;mso-wrap-distance-left:0;mso-wrap-distance-right:0;mso-wrap-distance-top:0;mso-wrap-style:none;position:absolute;v-text-anchor:bottom;visibility:visible;width:36.2pt;z-index:251659264" filled="f" stroked="f">
          <v:fill o:detectmouseclick="t"/>
          <v:textbox style="mso-fit-shape-to-text:t" inset="0,0,0,15pt">
            <w:txbxContent>
              <w:p w:rsidR="00E74A14" w:rsidRPr="00E74A14" w:rsidP="00E74A14">
                <w:pPr>
                  <w:rPr>
                    <w:rFonts w:ascii="Calibri" w:eastAsia="Calibri" w:hAnsi="Calibri" w:cs="Calibri"/>
                    <w:noProof/>
                    <w:color w:val="FF0000"/>
                    <w:sz w:val="20"/>
                    <w:szCs w:val="20"/>
                  </w:rPr>
                </w:pPr>
                <w:r w:rsidRPr="00E74A14">
                  <w:rPr>
                    <w:rFonts w:ascii="Calibri" w:eastAsia="Calibri" w:hAnsi="Calibri" w:cs="Calibri"/>
                    <w:noProof/>
                    <w:color w:val="FF0000"/>
                    <w:sz w:val="20"/>
                    <w:szCs w:val="20"/>
                  </w:rPr>
                  <w:t>OFFICIAL</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A14">
    <w:pPr>
      <w:pStyle w:val="Footer"/>
    </w:pPr>
    <w:r>
      <w:rPr>
        <w:noProof/>
      </w:rPr>
      <w:pict>
        <v:shapetype id="_x0000_t202" coordsize="21600,21600" o:spt="202" path="m,l,21600r21600,l21600,xe">
          <v:stroke joinstyle="miter"/>
          <v:path gradientshapeok="t" o:connecttype="rect"/>
        </v:shapetype>
        <v:shape id="Text Box 3" o:spid="_x0000_s2050" type="#_x0000_t202" alt="OFFICIAL" style="height:27.2pt;margin-left:0;margin-top:0;mso-position-horizontal:center;mso-position-horizontal-relative:page;mso-position-vertical:bottom;mso-position-vertical-relative:page;mso-wrap-distance-bottom:0;mso-wrap-distance-left:0;mso-wrap-distance-right:0;mso-wrap-distance-top:0;mso-wrap-style:none;position:absolute;v-text-anchor:bottom;visibility:visible;width:36.2pt;z-index:251660288" filled="f" stroked="f">
          <v:fill o:detectmouseclick="t"/>
          <v:textbox style="mso-fit-shape-to-text:t" inset="0,0,0,15pt">
            <w:txbxContent>
              <w:p w:rsidR="00E74A14" w:rsidRPr="00E74A14" w:rsidP="00E74A14">
                <w:pPr>
                  <w:rPr>
                    <w:rFonts w:ascii="Calibri" w:eastAsia="Calibri" w:hAnsi="Calibri" w:cs="Calibri"/>
                    <w:noProof/>
                    <w:color w:val="FF0000"/>
                    <w:sz w:val="20"/>
                    <w:szCs w:val="20"/>
                  </w:rPr>
                </w:pPr>
                <w:r w:rsidRPr="00E74A14">
                  <w:rPr>
                    <w:rFonts w:ascii="Calibri" w:eastAsia="Calibri" w:hAnsi="Calibri" w:cs="Calibri"/>
                    <w:noProof/>
                    <w:color w:val="FF0000"/>
                    <w:sz w:val="20"/>
                    <w:szCs w:val="20"/>
                  </w:rPr>
                  <w:t>OFFICIAL</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4A14">
    <w:pPr>
      <w:pStyle w:val="Footer"/>
    </w:pPr>
    <w:r>
      <w:rPr>
        <w:noProof/>
      </w:rPr>
      <w:pict>
        <v:shapetype id="_x0000_t202" coordsize="21600,21600" o:spt="202" path="m,l,21600r21600,l21600,xe">
          <v:stroke joinstyle="miter"/>
          <v:path gradientshapeok="t" o:connecttype="rect"/>
        </v:shapetype>
        <v:shape id="Text Box 1" o:spid="_x0000_s2051" type="#_x0000_t202" alt="OFFICIAL" style="height:27.2pt;margin-left:0;margin-top:0;mso-position-horizontal:center;mso-position-horizontal-relative:page;mso-position-vertical:bottom;mso-position-vertical-relative:page;mso-wrap-distance-bottom:0;mso-wrap-distance-left:0;mso-wrap-distance-right:0;mso-wrap-distance-top:0;mso-wrap-style:none;position:absolute;v-text-anchor:bottom;visibility:visible;width:36.2pt;z-index:251658240" filled="f" stroked="f">
          <v:fill o:detectmouseclick="t"/>
          <v:textbox style="mso-fit-shape-to-text:t" inset="0,0,0,15pt">
            <w:txbxContent>
              <w:p w:rsidR="00E74A14" w:rsidRPr="00E74A14" w:rsidP="00E74A14">
                <w:pPr>
                  <w:rPr>
                    <w:rFonts w:ascii="Calibri" w:eastAsia="Calibri" w:hAnsi="Calibri" w:cs="Calibri"/>
                    <w:noProof/>
                    <w:color w:val="FF0000"/>
                    <w:sz w:val="20"/>
                    <w:szCs w:val="20"/>
                  </w:rPr>
                </w:pPr>
                <w:r w:rsidRPr="00E74A14">
                  <w:rPr>
                    <w:rFonts w:ascii="Calibri" w:eastAsia="Calibri" w:hAnsi="Calibri" w:cs="Calibri"/>
                    <w:noProof/>
                    <w:color w:val="FF0000"/>
                    <w:sz w:val="20"/>
                    <w:szCs w:val="20"/>
                  </w:rPr>
                  <w:t>OFFICIAL</w:t>
                </w:r>
              </w:p>
            </w:txbxContent>
          </v:textbox>
          <w10:wrap anchorx="page" anchory="page"/>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CFB33B8"/>
    <w:multiLevelType w:val="hybridMultilevel"/>
    <w:tmpl w:val="ED2EB406"/>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CB3"/>
    <w:pPr>
      <w:spacing w:after="0" w:line="240" w:lineRule="auto"/>
    </w:pPr>
    <w:rPr>
      <w:rFonts w:ascii="Arial" w:eastAsia="Arial" w:hAnsi="Arial" w:cs="Arial"/>
      <w:kern w:val="0"/>
      <w:lang w:eastAsia="en-GB"/>
    </w:rPr>
  </w:style>
  <w:style w:type="paragraph" w:styleId="Heading1">
    <w:name w:val="heading 1"/>
    <w:basedOn w:val="Normal"/>
    <w:next w:val="Normal"/>
    <w:link w:val="Heading1Char"/>
    <w:uiPriority w:val="9"/>
    <w:qFormat/>
    <w:rsid w:val="00310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CB3"/>
    <w:rPr>
      <w:rFonts w:eastAsiaTheme="majorEastAsia" w:cstheme="majorBidi"/>
      <w:color w:val="272727" w:themeColor="text1" w:themeTint="D8"/>
    </w:rPr>
  </w:style>
  <w:style w:type="paragraph" w:styleId="Title">
    <w:name w:val="Title"/>
    <w:basedOn w:val="Normal"/>
    <w:next w:val="Normal"/>
    <w:link w:val="TitleChar"/>
    <w:uiPriority w:val="10"/>
    <w:qFormat/>
    <w:rsid w:val="00310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CB3"/>
    <w:pPr>
      <w:spacing w:before="160"/>
      <w:jc w:val="center"/>
    </w:pPr>
    <w:rPr>
      <w:i/>
      <w:iCs/>
      <w:color w:val="404040" w:themeColor="text1" w:themeTint="BF"/>
    </w:rPr>
  </w:style>
  <w:style w:type="character" w:customStyle="1" w:styleId="QuoteChar">
    <w:name w:val="Quote Char"/>
    <w:basedOn w:val="DefaultParagraphFont"/>
    <w:link w:val="Quote"/>
    <w:uiPriority w:val="29"/>
    <w:rsid w:val="00310CB3"/>
    <w:rPr>
      <w:i/>
      <w:iCs/>
      <w:color w:val="404040" w:themeColor="text1" w:themeTint="BF"/>
    </w:rPr>
  </w:style>
  <w:style w:type="paragraph" w:styleId="ListParagraph">
    <w:name w:val="List Paragraph"/>
    <w:basedOn w:val="Normal"/>
    <w:qFormat/>
    <w:rsid w:val="00310CB3"/>
    <w:pPr>
      <w:ind w:left="720"/>
      <w:contextualSpacing/>
    </w:pPr>
  </w:style>
  <w:style w:type="character" w:styleId="IntenseEmphasis">
    <w:name w:val="Intense Emphasis"/>
    <w:basedOn w:val="DefaultParagraphFont"/>
    <w:uiPriority w:val="21"/>
    <w:qFormat/>
    <w:rsid w:val="00310CB3"/>
    <w:rPr>
      <w:i/>
      <w:iCs/>
      <w:color w:val="0F4761" w:themeColor="accent1" w:themeShade="BF"/>
    </w:rPr>
  </w:style>
  <w:style w:type="paragraph" w:styleId="IntenseQuote">
    <w:name w:val="Intense Quote"/>
    <w:basedOn w:val="Normal"/>
    <w:next w:val="Normal"/>
    <w:link w:val="IntenseQuoteChar"/>
    <w:uiPriority w:val="30"/>
    <w:qFormat/>
    <w:rsid w:val="00310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CB3"/>
    <w:rPr>
      <w:i/>
      <w:iCs/>
      <w:color w:val="0F4761" w:themeColor="accent1" w:themeShade="BF"/>
    </w:rPr>
  </w:style>
  <w:style w:type="character" w:styleId="IntenseReference">
    <w:name w:val="Intense Reference"/>
    <w:basedOn w:val="DefaultParagraphFont"/>
    <w:uiPriority w:val="32"/>
    <w:qFormat/>
    <w:rsid w:val="00310CB3"/>
    <w:rPr>
      <w:b/>
      <w:bCs/>
      <w:smallCaps/>
      <w:color w:val="0F4761" w:themeColor="accent1" w:themeShade="BF"/>
      <w:spacing w:val="5"/>
    </w:rPr>
  </w:style>
  <w:style w:type="paragraph" w:styleId="Footer">
    <w:name w:val="footer"/>
    <w:basedOn w:val="Normal"/>
    <w:link w:val="FooterChar"/>
    <w:uiPriority w:val="99"/>
    <w:unhideWhenUsed/>
    <w:rsid w:val="00E74A14"/>
    <w:pPr>
      <w:tabs>
        <w:tab w:val="center" w:pos="4513"/>
        <w:tab w:val="right" w:pos="9026"/>
      </w:tabs>
    </w:pPr>
  </w:style>
  <w:style w:type="character" w:customStyle="1" w:styleId="FooterChar">
    <w:name w:val="Footer Char"/>
    <w:basedOn w:val="DefaultParagraphFont"/>
    <w:link w:val="Footer"/>
    <w:uiPriority w:val="99"/>
    <w:rsid w:val="00E74A14"/>
    <w:rPr>
      <w:rFonts w:ascii="Arial" w:eastAsia="Arial" w:hAnsi="Arial" w:cs="Arial"/>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c35e2274-36a7-4dd1-b151-0be71d563c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F02A57FF57C48BDD68CB7CE3A54BE" ma:contentTypeVersion="16" ma:contentTypeDescription="Create a new document." ma:contentTypeScope="" ma:versionID="85277dec507ee41ec9ff9ff95448e796">
  <xsd:schema xmlns:xsd="http://www.w3.org/2001/XMLSchema" xmlns:xs="http://www.w3.org/2001/XMLSchema" xmlns:p="http://schemas.microsoft.com/office/2006/metadata/properties" xmlns:ns2="c35e2274-36a7-4dd1-b151-0be71d563c7c" xmlns:ns3="c3228960-8dda-4990-96fa-d0546ee09822" targetNamespace="http://schemas.microsoft.com/office/2006/metadata/properties" ma:root="true" ma:fieldsID="9aa9b4f2f062ba5158b08fdf5d08b3cb" ns2:_="" ns3:_="">
    <xsd:import namespace="c35e2274-36a7-4dd1-b151-0be71d563c7c"/>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e2274-36a7-4dd1-b151-0be71d56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93CA5-4946-4B24-8602-C459767039F9}">
  <ds:schemaRefs>
    <ds:schemaRef ds:uri="http://schemas.microsoft.com/office/2006/metadata/properties"/>
    <ds:schemaRef ds:uri="http://schemas.microsoft.com/office/infopath/2007/PartnerControls"/>
    <ds:schemaRef ds:uri="c3228960-8dda-4990-96fa-d0546ee09822"/>
    <ds:schemaRef ds:uri="c35e2274-36a7-4dd1-b151-0be71d563c7c"/>
  </ds:schemaRefs>
</ds:datastoreItem>
</file>

<file path=customXml/itemProps2.xml><?xml version="1.0" encoding="utf-8"?>
<ds:datastoreItem xmlns:ds="http://schemas.openxmlformats.org/officeDocument/2006/customXml" ds:itemID="{FE255DCA-878B-4C4E-A6A8-130BCB2D39A6}">
  <ds:schemaRefs>
    <ds:schemaRef ds:uri="http://schemas.microsoft.com/sharepoint/v3/contenttype/forms"/>
  </ds:schemaRefs>
</ds:datastoreItem>
</file>

<file path=customXml/itemProps3.xml><?xml version="1.0" encoding="utf-8"?>
<ds:datastoreItem xmlns:ds="http://schemas.openxmlformats.org/officeDocument/2006/customXml" ds:itemID="{3B3A3F3C-7E5E-4F1F-A1BB-0598B5A60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e2274-36a7-4dd1-b151-0be71d563c7c"/>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CWR0196</dc:title>
  <cp:revision>0</cp:revision>
</cp:coreProperties>
</file>