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95FB7" w:rsidRPr="00095FB7" w:rsidP="00095FB7">
      <w:pPr>
        <w:jc w:val="center"/>
        <w:rPr>
          <w:b/>
          <w:bCs/>
        </w:rPr>
      </w:pPr>
      <w:r w:rsidRPr="00095FB7">
        <w:rPr>
          <w:b/>
          <w:bCs/>
        </w:rPr>
        <w:t>Written evidence submitted by Nature Friendly Farming Network (</w:t>
      </w:r>
      <w:r w:rsidRPr="00095FB7">
        <w:rPr>
          <w:b/>
          <w:bCs/>
        </w:rPr>
        <w:t>CWR0185</w:t>
      </w:r>
      <w:r w:rsidRPr="00095FB7">
        <w:rPr>
          <w:b/>
          <w:bCs/>
        </w:rPr>
        <w:t>)</w:t>
      </w:r>
    </w:p>
    <w:p w:rsidR="00095FB7" w:rsidP="00095FB7">
      <w:pPr>
        <w:jc w:val="center"/>
      </w:pPr>
    </w:p>
    <w:p w:rsidR="00343320">
      <w:pPr>
        <w:pStyle w:val="Title"/>
      </w:pPr>
      <w:r>
        <w:t>EFRA Committee Wildfire Risk Response</w:t>
      </w:r>
    </w:p>
    <w:p w:rsidR="00343320">
      <w:pPr>
        <w:pStyle w:val="Subtitle"/>
      </w:pPr>
      <w:bookmarkStart w:id="0" w:name="_rhtws6cp9as8" w:colFirst="0" w:colLast="0"/>
      <w:bookmarkEnd w:id="0"/>
      <w:r>
        <w:t>NFFN Response</w:t>
      </w:r>
    </w:p>
    <w:p w:rsidR="00343320">
      <w:pPr>
        <w:pStyle w:val="Heading3"/>
        <w:shd w:val="clear" w:color="auto" w:fill="F8F6FC"/>
        <w:spacing w:after="180"/>
      </w:pPr>
      <w:bookmarkStart w:id="1" w:name="_idwcyhfesjfo" w:colFirst="0" w:colLast="0"/>
      <w:bookmarkEnd w:id="1"/>
      <w:r>
        <w:t>The Committee is inviting responses to the following questions:</w:t>
      </w:r>
    </w:p>
    <w:p w:rsidR="00343320">
      <w:pPr>
        <w:pStyle w:val="Heading4"/>
        <w:numPr>
          <w:ilvl w:val="0"/>
          <w:numId w:val="1"/>
        </w:numPr>
        <w:shd w:val="clear" w:color="auto" w:fill="F8F6FC"/>
        <w:spacing w:after="220"/>
      </w:pPr>
      <w:bookmarkStart w:id="2" w:name="_3uunpotwgip2" w:colFirst="0" w:colLast="0"/>
      <w:bookmarkEnd w:id="2"/>
      <w:r>
        <w:t>How can land management techniques be best used at a regional level to prevent and control wildfires whilst balancing the needs of different land users? What evidence-gaps are there and how can they be filled?</w:t>
      </w:r>
    </w:p>
    <w:p w:rsidR="00343320">
      <w:r>
        <w:t>As NFFN is an agricultural organisation our answers to these questions will largely focus on the agricultural perspective.</w:t>
      </w:r>
    </w:p>
    <w:p w:rsidR="00343320"/>
    <w:p w:rsidR="00343320">
      <w:r>
        <w:t xml:space="preserve">The Land Use Framework (LUF) for England has now been published and details the importance of multifunctional land use in England. With multiple demands on finite land, more strategic land use and land management decisions are essential to integrate the need for more built development with food production and nature </w:t>
      </w:r>
      <w:r>
        <w:t>restoration.The</w:t>
      </w:r>
      <w:r>
        <w:t xml:space="preserve"> NFFN  champions a whole farm approach to managing the production of conventional marketable commodities  - food, feed, fibre etc -  with the production of environmental goods and services, including improvements to water quality, reduced flooding risk, carbon sequestration and reduced wildfire risk.</w:t>
      </w:r>
    </w:p>
    <w:p w:rsidR="00343320"/>
    <w:p w:rsidR="00343320">
      <w:r>
        <w:t xml:space="preserve">Farmers are at the frontline of many climate-related hazards, including wildfire, which can be devastating, both personally and financially. We are seeing in real-time how farmers who use nature-friendly farming practices are improving their ability to adapt to a changing climate, thereby increasing their business and personal resilience. </w:t>
      </w:r>
    </w:p>
    <w:p w:rsidR="00343320"/>
    <w:p w:rsidR="00343320">
      <w:r>
        <w:t xml:space="preserve">Using the LUF and local </w:t>
      </w:r>
      <w:r>
        <w:t>Local</w:t>
      </w:r>
      <w:r>
        <w:t xml:space="preserve"> Nature Recovery Strategies (LNRS), National Government and local Responsible and/or Combined Authorities should determine areas at high risk of wildfire e.g. degraded upland peatland, large arable fields bordering a town etc. Once identified, these should become priority targets for LNRS delivery, including supporting the targeting of relevant policy tools such as the ELM Landscape Recovery scheme where large-scale changes to land management practice can improve environmental resilience and reduce the risk, frequency and severity of wildfires. This could include projects such as those being conducted through the Nature North partnership including the Great Northern Bog and the Northern Forest which aim to improve the health of large areas of upland peat bogs through re-wetting, and changes in management and planting of more native broad-leaved trees across the North of England.  </w:t>
      </w:r>
    </w:p>
    <w:p w:rsidR="00343320"/>
    <w:p w:rsidR="00343320">
      <w:r>
        <w:t>At the moment</w:t>
      </w:r>
      <w:r>
        <w:t xml:space="preserve"> there is limited evidence around the public perception of wildfires and how much the </w:t>
      </w:r>
      <w:r>
        <w:t>general public</w:t>
      </w:r>
      <w:r>
        <w:t xml:space="preserve"> knows about wildfire risks. A recent UK study found that sections of </w:t>
      </w:r>
      <w:r>
        <w:t>the public believe the UK is ‘too wet’ for wildfires to occur, despite growing media coverage</w:t>
      </w:r>
      <w:r>
        <w:rPr>
          <w:vertAlign w:val="superscript"/>
        </w:rPr>
        <w:footnoteReference w:id="2"/>
      </w:r>
      <w:r>
        <w:t xml:space="preserve"> and incidents on habitats potentially perceived to be ‘wildfire proof’, such as a recent - and deliberately set - fire at the saltmarshes of Sandwich and </w:t>
      </w:r>
      <w:r>
        <w:t>Pegwell</w:t>
      </w:r>
      <w:r>
        <w:t xml:space="preserve"> Bay in Kent, which badly damaging SSSI and SPA designated areas</w:t>
      </w:r>
      <w:r>
        <w:rPr>
          <w:vertAlign w:val="superscript"/>
        </w:rPr>
        <w:footnoteReference w:id="3"/>
      </w:r>
      <w:r>
        <w:t>. This lack of awareness is likely to exacerbate the risk of fires caused by both accidental and malicious human activity. More research into public perceptions of wildfire risks is therefore necessary to inform risk reduction strategies, particularly relating to human activity-related fires.</w:t>
      </w:r>
    </w:p>
    <w:p w:rsidR="00343320">
      <w:r>
        <w:t xml:space="preserve"> </w:t>
      </w:r>
    </w:p>
    <w:p w:rsidR="00343320">
      <w:r>
        <w:t xml:space="preserve">There are also limited academic studies on the risks, causes and management of wildfires in the UK, with much of the evidence being used by the government close to 10 years old. More research in a UK climate context, which considers how wildfire management is more than just a problem for the fire service to solve, would be beneficial. We know that </w:t>
      </w:r>
      <w:r>
        <w:t>nature based</w:t>
      </w:r>
      <w:r>
        <w:t xml:space="preserve"> solutions can reduce the risks of wildfire</w:t>
      </w:r>
      <w:r>
        <w:rPr>
          <w:vertAlign w:val="superscript"/>
        </w:rPr>
        <w:footnoteReference w:id="4"/>
      </w:r>
      <w:r>
        <w:rPr>
          <w:vertAlign w:val="superscript"/>
        </w:rPr>
        <w:footnoteReference w:id="5"/>
      </w:r>
      <w:r>
        <w:rPr>
          <w:vertAlign w:val="superscript"/>
        </w:rPr>
        <w:footnoteReference w:id="6"/>
      </w:r>
      <w:r>
        <w:t xml:space="preserve"> but more evidence is needed on both the impact on wildfire frequency and severity and the cost implications in areas where nature-friendly farming practices are implemented would help to highlight the importance of a joined-up management approach between different sectors.</w:t>
      </w:r>
    </w:p>
    <w:p w:rsidR="00343320">
      <w:pPr>
        <w:pStyle w:val="Heading4"/>
        <w:numPr>
          <w:ilvl w:val="0"/>
          <w:numId w:val="1"/>
        </w:numPr>
        <w:shd w:val="clear" w:color="auto" w:fill="F8F6FC"/>
        <w:spacing w:after="220"/>
      </w:pPr>
      <w:bookmarkStart w:id="3" w:name="_n9nckwrf3um0" w:colFirst="0" w:colLast="0"/>
      <w:bookmarkEnd w:id="3"/>
      <w:r>
        <w:t>What role do nature-based solutions, such as improving biodiversity and more resilient landscapes, have in the prevention and control of wildfires?</w:t>
      </w:r>
    </w:p>
    <w:p w:rsidR="00343320">
      <w:r>
        <w:t xml:space="preserve">Wildfire risk, occurrence and severity is increasing across the UK </w:t>
      </w:r>
      <w:r>
        <w:t>as a result of</w:t>
      </w:r>
      <w:r>
        <w:t xml:space="preserve"> climate change. Extreme temperatures in the spring and summer months and the lack of substantial rainfall in certain areas e.g. East Anglia, is creating the perfect environment for wildfires, once they start, to spread quickly and burn for longer. </w:t>
      </w:r>
    </w:p>
    <w:p w:rsidR="00343320"/>
    <w:p w:rsidR="00343320">
      <w:r>
        <w:t xml:space="preserve">Farmers are learning to adapt to the impact of climate change </w:t>
      </w:r>
      <w:r>
        <w:t>on-farm</w:t>
      </w:r>
      <w:r>
        <w:t xml:space="preserve"> through measures such as increasing the diversity of crops they grow to spread </w:t>
      </w:r>
      <w:r>
        <w:t>risk, and</w:t>
      </w:r>
      <w:r>
        <w:t xml:space="preserve"> adding in shelter belts and </w:t>
      </w:r>
      <w:r>
        <w:t>silvopasture</w:t>
      </w:r>
      <w:r>
        <w:t xml:space="preserve"> systems to protect livestock from the extremes of weather. Whilst adaption is an important aspect of climate change resilience it is important that we also maintain focus on mitigating the impacts of climate change by switching to lower intensity more nature-friendly and climate-positive farming practices which reduce reliance on carbon intensive fertiliser and pesticide inputs and increase carbon sequestration potential through better management of our soils and trees. </w:t>
      </w:r>
    </w:p>
    <w:p w:rsidR="00343320"/>
    <w:p w:rsidR="00343320">
      <w:r>
        <w:t xml:space="preserve">By strengthening the environmental resilience of our farmed landscapes and reducing and mitigating the sector’s direct and indirect emissions, we can directly reduce risk across the </w:t>
      </w:r>
      <w:r>
        <w:t>UK. Below are some nature-based solutions which can help to reduce the risk, frequency and severity of wildfires.</w:t>
      </w:r>
    </w:p>
    <w:p w:rsidR="00343320"/>
    <w:p w:rsidR="00343320">
      <w:r>
        <w:rPr>
          <w:b/>
          <w:bCs/>
          <w:u w:val="single"/>
        </w:rPr>
        <w:t>Regenerative grazing methods</w:t>
      </w:r>
      <w:r>
        <w:t xml:space="preserve">: </w:t>
      </w:r>
    </w:p>
    <w:p w:rsidR="00343320">
      <w:r>
        <w:t xml:space="preserve">Regenerative grazing methods, including mob-grazing and tall-grass grazing, can reduce soil compaction and encourage plants to root more deeply, which in turn improves water infiltration and reduces water run-off from field surfaces. Wetter soils and longer, </w:t>
      </w:r>
      <w:r>
        <w:t>more lush</w:t>
      </w:r>
      <w:r>
        <w:t>, grass take a longer time to start burning, slowing the spread of wildfires.</w:t>
      </w:r>
    </w:p>
    <w:p w:rsidR="00343320"/>
    <w:p w:rsidR="00343320">
      <w:r>
        <w:t xml:space="preserve">It is crucial to develop and implement the most appropriate grazing management strategy for different farmed landscapes. This includes ensuring that grazing management plans ensure the ‘right animal, right place’ principle is applied to deliver the intended outcome for that area of land, which could encompass fuel load reduction, targeted habitat management and an IPM approach to managing parasitic loads in livestock. Using cattle and fell ponies to graze upland moorland in high density herds for short periods of time can help reduce the build-up of rank and dead vegetation, particularly species like Molinia, without damaging the soil structure. The introduction of heavier livestock like cattle or mountain ponies is often more effective than grazing systems using sheep alone, as they are better at breaking down coarse, woody vegetation. </w:t>
      </w:r>
    </w:p>
    <w:p w:rsidR="00343320"/>
    <w:p w:rsidR="00343320">
      <w:pPr>
        <w:rPr>
          <w:b/>
          <w:bCs/>
          <w:u w:val="single"/>
        </w:rPr>
      </w:pPr>
      <w:r>
        <w:rPr>
          <w:b/>
          <w:bCs/>
          <w:u w:val="single"/>
        </w:rPr>
        <w:t>Soil Management:</w:t>
      </w:r>
    </w:p>
    <w:p w:rsidR="00343320">
      <w:r>
        <w:t xml:space="preserve">Reducing compaction and increasing soil organic matter help to improve the overall health of soil physically and biologically, increasing its stability and aeration, allowing better water infiltration and carbon sequestration. Improved water retention and increased biological activity, e.g. mycorrhizal fungal interactions, can reduce the extent of dry, combustible matter available. </w:t>
      </w:r>
    </w:p>
    <w:p w:rsidR="00343320"/>
    <w:p w:rsidR="00343320">
      <w:r>
        <w:t xml:space="preserve">Improvements to soil structure can be made by: avoiding over-grazing grassland areas to prevent compaction; reducing the weight of machinery being used; adopting reduced tillage or no tillage cropping systems to support healthy biological ecosystems within the soil; increasing the diversity of crop and herb/grass species grown which have different rooting depths and can break up compacted soils. </w:t>
      </w:r>
    </w:p>
    <w:p w:rsidR="00343320"/>
    <w:p w:rsidR="00343320">
      <w:r>
        <w:rPr>
          <w:b/>
          <w:bCs/>
          <w:u w:val="single"/>
        </w:rPr>
        <w:t>Water Management:</w:t>
      </w:r>
      <w:r>
        <w:t xml:space="preserve"> Farmers can increase the amount of water held within the farmed landscape by monitoring and maintaining field drains and ditches, re-wetting peatland and wetland areas on their farm and creating new wetland areas and ponds. Increased water availability in a habitat provides benefits for not only on-farm wildlife, livestock and crops, but can also provide a physical barrier to the spread of wildfire, reduce the severity of wildfire as soils and plants have a higher water content, and can provide a valuable resource in efforts to stop fires once they are burning.</w:t>
      </w:r>
    </w:p>
    <w:p w:rsidR="00343320"/>
    <w:p w:rsidR="00343320">
      <w:r>
        <w:rPr>
          <w:b/>
          <w:bCs/>
          <w:u w:val="single"/>
        </w:rPr>
        <w:t>On-farm trees:</w:t>
      </w:r>
      <w:r>
        <w:t xml:space="preserve"> Well-maintained hedgerows which include a mix of native broad-leaved, high water content species, e.g. oak and alder, act as a green fire break. This is particularly true in spring and summer when lush, green, leafy growth takes longer to burn and reduces the intensity of fires. Hedgerows also act as a windbreak slowing the airflow in fields, reducing the rate of oxygen reaching the fire and slowing the spread. </w:t>
      </w:r>
    </w:p>
    <w:p w:rsidR="00343320"/>
    <w:p w:rsidR="00343320">
      <w:r>
        <w:t>Native woodland will also provide many of the same benefits that hedgerows do. Native broad-leaved trees are typically less flammable than conifer plantations or dry grassland and arable crops. The diversity of both species and the age of trees within a woodland also breaks the continuity of the fuel source and can help to reduce fire risk. Trees also provide a source of shade and the air beneath a tree’s canopy can be degrees cooler than the unshaded air temperature, helping to reduce the intensity of a burn.</w:t>
      </w:r>
    </w:p>
    <w:p w:rsidR="00343320"/>
    <w:p w:rsidR="00343320">
      <w:pPr>
        <w:rPr>
          <w:b/>
          <w:bCs/>
          <w:u w:val="single"/>
        </w:rPr>
      </w:pPr>
      <w:r>
        <w:rPr>
          <w:b/>
          <w:bCs/>
          <w:u w:val="single"/>
        </w:rPr>
        <w:t>In-field management techniques:</w:t>
      </w:r>
    </w:p>
    <w:p w:rsidR="00343320">
      <w:r>
        <w:t xml:space="preserve">Beetle banks and flower-rich margins whilst providing a great source of habitat for natural predators of crop pests and pollinators can also be useful during a wildfire. These strips help to break up the continuity of arable crops, and due to the species grown in these </w:t>
      </w:r>
      <w:r>
        <w:t>strips  e.g.</w:t>
      </w:r>
      <w:r>
        <w:t xml:space="preserve"> tussocky grasses which have a lower burning potential than dry arable crops they can act as green-barriers and slow the spread of the fire. Due to the diversity in growth habitats of plants within beetle banks and flower-rich margins, where the canopy is often a tightly woven mess of stems with limited air movement, they can also help to prevent the spread of fire by breaking up airflow channels through the crop.</w:t>
      </w:r>
    </w:p>
    <w:p w:rsidR="00343320"/>
    <w:p w:rsidR="00343320">
      <w:pPr>
        <w:rPr>
          <w:b/>
          <w:bCs/>
          <w:u w:val="single"/>
        </w:rPr>
      </w:pPr>
      <w:r>
        <w:rPr>
          <w:b/>
          <w:bCs/>
          <w:u w:val="single"/>
        </w:rPr>
        <w:t xml:space="preserve">Peatland Management: </w:t>
      </w:r>
    </w:p>
    <w:p w:rsidR="00343320">
      <w:r>
        <w:t xml:space="preserve">There are </w:t>
      </w:r>
      <w:r>
        <w:t>a number of</w:t>
      </w:r>
      <w:r>
        <w:t xml:space="preserve"> practical management methods which can control both dry matter load and wildfire risk on peatland e.g. cutting and grazing to remove excess vegetation and blocking drains to rewet peatland and raise the water table. Rewetting of peatland can also improve species diversity as dry conditions often favour species such as heather and other grasses, which have a higher burning potential than traditional blanket bog and peatland species such as sphagnum mosses. Healthy, wet peatlands also provide proven and significant ecosystem services benefits and support a range of internationally important habitats and species, as well as supporting sensitive livestock grazing. Peatland supplies a quarter of the UK’s drinking water and, when in good condition, has greater tolerance to drought, delivers natural flood management and provides improved water quality. Peatlands are also among the most carbon-rich ecosystems on earth and, when healthy, offer a net-cooling effect, with UK peatlands estimated to store 3.2 billion tonnes of carbon</w:t>
      </w:r>
      <w:r>
        <w:rPr>
          <w:vertAlign w:val="superscript"/>
        </w:rPr>
        <w:footnoteReference w:id="7"/>
      </w:r>
      <w:r>
        <w:t>.</w:t>
      </w:r>
    </w:p>
    <w:p w:rsidR="00343320"/>
    <w:p w:rsidR="00343320">
      <w:r>
        <w:rPr>
          <w:b/>
          <w:bCs/>
          <w:u w:val="single"/>
        </w:rPr>
        <w:t>Controlled burns:</w:t>
      </w:r>
      <w:r>
        <w:t xml:space="preserve"> NFFN urges considerable caution over the use of controlled burns as a wildfire management tool. Despite its current legal underpinning, with a rapidly changing climate and significant increase in wildfire risk days</w:t>
      </w:r>
      <w:r>
        <w:rPr>
          <w:vertAlign w:val="superscript"/>
        </w:rPr>
        <w:footnoteReference w:id="8"/>
      </w:r>
      <w:r>
        <w:rPr>
          <w:vertAlign w:val="superscript"/>
        </w:rPr>
        <w:footnoteReference w:id="9"/>
      </w:r>
      <w:r>
        <w:t>, the role of controlled burns in managing fuel loads should be considered much more closely. Anecdotal evidence from our farmer members suggests that despite mandatory licensing requirements and proof of safe burn training, unlicensed, i.e. illegal, burning is taking place and as emergency services are, unsurprisingly, not informed in advance of such activities, the risk to landscapes, communities and wildlife are significant particularly in more remote, upland areas.</w:t>
      </w:r>
    </w:p>
    <w:p w:rsidR="00343320"/>
    <w:p w:rsidR="00343320">
      <w:r>
        <w:t>It should also be noted that repeated peatland burning can damage the functionality of peatland ecosystems which has a negative effect on water and air quality, biodiversity and carbon cycling</w:t>
      </w:r>
      <w:r>
        <w:rPr>
          <w:vertAlign w:val="superscript"/>
        </w:rPr>
        <w:footnoteReference w:id="10"/>
      </w:r>
      <w:r>
        <w:t xml:space="preserve">. </w:t>
      </w:r>
    </w:p>
    <w:p w:rsidR="00343320">
      <w:pPr>
        <w:pStyle w:val="Heading4"/>
        <w:shd w:val="clear" w:color="auto" w:fill="F8F6FC"/>
        <w:spacing w:after="220"/>
      </w:pPr>
      <w:bookmarkStart w:id="4" w:name="_rmicdflm6cqh" w:colFirst="0" w:colLast="0"/>
      <w:bookmarkEnd w:id="4"/>
      <w:r>
        <w:t>How best can Defra funding schemes be used to support land managers to adapt to the increased risk of wildfires?</w:t>
      </w:r>
    </w:p>
    <w:p w:rsidR="00343320">
      <w:r>
        <w:t xml:space="preserve">Current Defra funding, such as for ELM schemes, is being used to support environmental delivery on-farm and across our farmed </w:t>
      </w:r>
      <w:r>
        <w:t>landscapes, and</w:t>
      </w:r>
      <w:r>
        <w:t xml:space="preserve"> is key to meeting legally binding targets for the environment and climate as set out in the Environment Act (2021). Tackling the twin nature and climate crisis is in turn essential to safeguard long-term food security, and more broadly, contribute significantly to national security. </w:t>
      </w:r>
    </w:p>
    <w:p w:rsidR="00343320"/>
    <w:p w:rsidR="00343320">
      <w:r>
        <w:t xml:space="preserve">As mentioned under question 2, many of the actions funded by ELMs have multi-faceted benefits from improving the health and water holding capacity of soils, to increasing the number of on-farm trees, both of which can help to reduce the frequency and severity of wildfires by reducing the combustion potential of soils and providing green barriers to prevent the spread of fires. </w:t>
      </w:r>
    </w:p>
    <w:p w:rsidR="00343320"/>
    <w:p w:rsidR="00343320">
      <w:r>
        <w:t>However</w:t>
      </w:r>
      <w:r>
        <w:t xml:space="preserve"> the ELM budget is not in line with the scale of need, with estimates that at least an additional £1bn per year in funding is required </w:t>
      </w:r>
      <w:r>
        <w:t>in order to</w:t>
      </w:r>
      <w:r>
        <w:t xml:space="preserve"> meet our climate and environment targets</w:t>
      </w:r>
      <w:r>
        <w:rPr>
          <w:vertAlign w:val="superscript"/>
        </w:rPr>
        <w:footnoteReference w:id="11"/>
      </w:r>
      <w:r>
        <w:t xml:space="preserve">. This funding gap means that while lots of good, practical work is taking place, many areas are still struggling to access the funding required to support the move to more nature friendly, climate resilient farming practices. This is particularly pertinent </w:t>
      </w:r>
      <w:r>
        <w:t>for  upland</w:t>
      </w:r>
      <w:r>
        <w:t xml:space="preserve"> areas which are often at a higher risk of wildfire due to peaty soil types, access challenges for removing dry vegetation and their overlap with National Park boundaries which increases the risk of accidental or malicious human-caused wildfires due to increased footfall. </w:t>
      </w:r>
    </w:p>
    <w:p w:rsidR="00343320"/>
    <w:p w:rsidR="00343320">
      <w:r>
        <w:t xml:space="preserve">There is currently an imbalance between the funding for the three different strands of ELMs with </w:t>
      </w:r>
      <w:r>
        <w:t>the majority of</w:t>
      </w:r>
      <w:r>
        <w:t xml:space="preserve"> the budget so far focussed on delivering ‘broad and shallow’ actions available under SFI. </w:t>
      </w:r>
      <w:r>
        <w:t>In order to</w:t>
      </w:r>
      <w:r>
        <w:t xml:space="preserve"> have the most environmental and climate impact, Defra needs to improve the momentum of, and access to, the other ELM schemes which offer greater potential for targeted environmental improvement: Countryside Stewardship Higher Tier (CSHT) and Landscape Recovery. As mentioned in question 1, landscape scale action can have a real and positive impact on wildfire risk across multiple landholdings and landscape areas.</w:t>
      </w:r>
    </w:p>
    <w:p w:rsidR="00343320">
      <w:r>
        <w:t xml:space="preserve">ELM scheme inaccessibility or payment delays caused by system errors have also caused frustration for many farmers, deterring some from </w:t>
      </w:r>
      <w:r>
        <w:t>entering into</w:t>
      </w:r>
      <w:r>
        <w:t xml:space="preserve"> schemes.</w:t>
      </w:r>
    </w:p>
    <w:p w:rsidR="00343320"/>
    <w:p w:rsidR="00343320">
      <w:r>
        <w:t xml:space="preserve">Beyond ELM, the funding landscape is also highly complex. There needs to be better join-up between various funding schemes, </w:t>
      </w:r>
      <w:r>
        <w:t>including  BNG</w:t>
      </w:r>
      <w:r>
        <w:t xml:space="preserve"> and carbon credits. </w:t>
      </w:r>
    </w:p>
    <w:p w:rsidR="00343320">
      <w:pPr>
        <w:pStyle w:val="Heading4"/>
        <w:shd w:val="clear" w:color="auto" w:fill="F8F6FC"/>
        <w:spacing w:after="220"/>
      </w:pPr>
      <w:bookmarkStart w:id="5" w:name="_guu0m9vgdvgn" w:colFirst="0" w:colLast="0"/>
      <w:bookmarkEnd w:id="5"/>
      <w:r>
        <w:t>What impact does the monitoring of wildfires have on our understanding of the causes and risks of these events in the UK, and how can this be improved? Are there international examples or best practices that can be used in a UK context?</w:t>
      </w:r>
    </w:p>
    <w:p w:rsidR="00343320">
      <w:r>
        <w:t xml:space="preserve">Monitoring responsibility is spread across multiple actors:  </w:t>
      </w:r>
    </w:p>
    <w:p w:rsidR="00343320"/>
    <w:p w:rsidR="00343320">
      <w:r>
        <w:t>Currently, monitoring of wildfire risk and management is spread across multiple Government departments including the Met Office, Defra, Forestry Commission and the Ministry of Housing, Communities and Local Government (MHCLG). Defra is responsible for land management strategies and wildfire mitigation planning with landowners and managers, and MHCLG oversees the operation and funding of fire and rescue services. This distribution of responsibilities poses risks to joined-up oversight of wildfire management nationally, leading to risks of duplication of work and missed opportunities to share best practice and learnings.</w:t>
      </w:r>
    </w:p>
    <w:p w:rsidR="00343320"/>
    <w:p w:rsidR="00343320">
      <w:r>
        <w:t xml:space="preserve">There are </w:t>
      </w:r>
      <w:r>
        <w:t>a number of</w:t>
      </w:r>
      <w:r>
        <w:t xml:space="preserve"> international initiatives which monitor and share learnings on fire management and the effects of fire on a global scale. Initiatives include the Global Wildfire Information System or GWIS, and the European Forest Fires Information System or EFFIS. Fires in the UK are mapped in </w:t>
      </w:r>
      <w:r>
        <w:t>both of these</w:t>
      </w:r>
      <w:r>
        <w:t xml:space="preserve"> systems and some of the principles with these monitoring systems could therefore quite easily be applied in a more UK specific context, however they tend to be used by government departments, agencies and researchers.</w:t>
      </w:r>
    </w:p>
    <w:p w:rsidR="00343320"/>
    <w:p w:rsidR="00343320">
      <w:r>
        <w:t xml:space="preserve">The monitoring of wildfire incidents themselves, captured through Fire and Rescue Incident Statistics, is - according to the </w:t>
      </w:r>
      <w:r>
        <w:fldChar w:fldCharType="begin"/>
      </w:r>
      <w:r>
        <w:instrText xml:space="preserve"> HYPERLINK "https://nfcc.org.uk/our-services/public-policy/position-statements/wildfires-position-statement/" </w:instrText>
      </w:r>
      <w:r>
        <w:fldChar w:fldCharType="separate"/>
      </w:r>
      <w:r>
        <w:rPr>
          <w:color w:val="1155CC"/>
          <w:u w:val="single"/>
        </w:rPr>
        <w:t>National Fire Chiefs Council</w:t>
      </w:r>
      <w:r>
        <w:fldChar w:fldCharType="end"/>
      </w:r>
      <w:r>
        <w:t>, unhelpfully inconsistent. Wildfires are not currently recorded as a specific incident type, captured either under ‘other outdoors’ or ‘secondary fires’ categories. In addition, different wildfire definitions are used by administrations across the four UK nations and by FRS, making tracking trends very challenging. This should be addressed through the adoption of a shared definition of wildfire and a shared approach to recording and categorising incidents, to enable ground level data to strengthen national level monitoring of wildfire risk and to better inform strategic risk reduction responses.</w:t>
      </w:r>
    </w:p>
    <w:p w:rsidR="00343320">
      <w:pPr>
        <w:pStyle w:val="Heading4"/>
        <w:shd w:val="clear" w:color="auto" w:fill="F8F6FC"/>
        <w:spacing w:after="220"/>
      </w:pPr>
      <w:bookmarkStart w:id="6" w:name="_etokk6e1adli" w:colFirst="0" w:colLast="0"/>
      <w:bookmarkEnd w:id="6"/>
      <w:r>
        <w:t>What resources and training do emergency services and local authorities need to respond to the increasing number of wildfires, particularly in rural and hard-to-reach areas?</w:t>
      </w:r>
    </w:p>
    <w:p w:rsidR="00343320">
      <w:r>
        <w:t xml:space="preserve">This is not a core area of expertise for the </w:t>
      </w:r>
      <w:r>
        <w:t>NFFN</w:t>
      </w:r>
      <w:r>
        <w:t xml:space="preserve"> but we have made a few brief suggestions below. </w:t>
      </w:r>
    </w:p>
    <w:p w:rsidR="00343320"/>
    <w:p w:rsidR="00343320">
      <w:r>
        <w:t>Ensuring that all relevant emergency services, particularly Fire and Rescue Services (FRS) are adequately funded to undertake appropriate training on wildfires and are equipped with appropriate PPE to carry out wildfire rescue operations is key. Training should also include discussions with local landowners and farmers about on-farm fire risks to help identify and map wildfire risk areas and improve farmer/</w:t>
      </w:r>
      <w:r>
        <w:t>land-owner</w:t>
      </w:r>
      <w:r>
        <w:t xml:space="preserve"> understanding of fire safety on their farm. Discussions with local </w:t>
      </w:r>
      <w:r>
        <w:t>land-owners</w:t>
      </w:r>
      <w:r>
        <w:t xml:space="preserve"> should also identify any potential challenges the emergency services may face in reaching fires e.g. steep and hazardous terrain and any sources of water within the landscape which may be useful in managing the fire.</w:t>
      </w:r>
    </w:p>
    <w:p w:rsidR="00343320"/>
    <w:p w:rsidR="00343320">
      <w:r>
        <w:t xml:space="preserve">In the context of deliberately caused fires, we would also suggest that emergency services may be able to apply learnings from the handling of other rural crime issues, e.g. fly-tipping and hare coursing, e.g. to identify measures which have been successful in curbing anti-social behaviour and may be transferable in the case of wildfire prevention. </w:t>
      </w:r>
    </w:p>
    <w:p w:rsidR="00343320"/>
    <w:p w:rsidR="00343320">
      <w:r>
        <w:t xml:space="preserve">FRS should be mandated and supported to develop wildfire risk assessments and provided with sufficient resources to conduct local wildfire risk reduction campaigns, in partnership with other relevant stakeholders, including landowners and the role that nature-based solutions to wildfire risk and wildfire management can play. As above, these campaigns should carefully consider different audience types and tailor information, advice and support accordingly.  </w:t>
      </w:r>
    </w:p>
    <w:p w:rsidR="00343320"/>
    <w:p w:rsidR="00343320">
      <w:r>
        <w:t>It would also be beneficial if formalised local and national wildfire partnership forums were established to build on current non-funded voluntary partnerships to ensure collaborative working and learning.</w:t>
      </w:r>
    </w:p>
    <w:p w:rsidR="00343320">
      <w:pPr>
        <w:shd w:val="clear" w:color="auto" w:fill="F8F6FC"/>
        <w:spacing w:after="220"/>
        <w:rPr>
          <w:color w:val="4D4D4D"/>
        </w:rPr>
      </w:pPr>
    </w:p>
    <w:p w:rsidR="00343320">
      <w:pPr>
        <w:pStyle w:val="Heading4"/>
        <w:shd w:val="clear" w:color="auto" w:fill="F8F6FC"/>
        <w:spacing w:after="220"/>
      </w:pPr>
      <w:bookmarkStart w:id="7" w:name="_ltour2aqjg4e" w:colFirst="0" w:colLast="0"/>
      <w:bookmarkEnd w:id="7"/>
      <w:r>
        <w:t>What are the most effective activities for tackling the human causes of wildfire ignition, for example public engagement and campaigns? How can the UK Government best support the delivery of these activities at both a local and national scale?</w:t>
      </w:r>
    </w:p>
    <w:p w:rsidR="00343320">
      <w:r>
        <w:t xml:space="preserve">Again, this is not a core area of expertise for </w:t>
      </w:r>
      <w:r>
        <w:t>NFFN</w:t>
      </w:r>
      <w:r>
        <w:t xml:space="preserve"> but we would suggest that any campaigns targeted at reducing wildfire risk, particularly human-caused fires, need to be mindful of the audience and use content and language appropriate for that audience. We would also suggest that the appropriate authorities and partnerships use a variety of different media, from signage, educational videos and articles in print and on social media and local initiatives including fire authority demonstrations and talks to the </w:t>
      </w:r>
      <w:r>
        <w:t>general public</w:t>
      </w:r>
      <w:r>
        <w:t xml:space="preserve"> about fire safety. </w:t>
      </w:r>
    </w:p>
    <w:p w:rsidR="00343320"/>
    <w:p w:rsidR="00343320">
      <w:r>
        <w:t xml:space="preserve">There is a considerable bank of scientific research into the efficacy of different public communication types, particularly relating to public signage, including the merits of explaining the consequences of potentially harmful activities in accessible and non-alienating ways. Deploying this in the context of wildfire risk reduction - again primarily linked to human-caused wildfires </w:t>
      </w:r>
      <w:r>
        <w:t>-  could</w:t>
      </w:r>
      <w:r>
        <w:t xml:space="preserve"> play an important role</w:t>
      </w:r>
    </w:p>
    <w:p w:rsidR="00343320">
      <w:pPr>
        <w:pStyle w:val="Heading4"/>
        <w:shd w:val="clear" w:color="auto" w:fill="F8F6FC"/>
        <w:spacing w:after="220"/>
      </w:pPr>
      <w:bookmarkStart w:id="8" w:name="_3jcxljrjglz1" w:colFirst="0" w:colLast="0"/>
      <w:bookmarkEnd w:id="8"/>
      <w:r>
        <w:t>What policies are in place, or are needed, to reduce the severity of wildfires and their socio-economic impacts on both agricultural land and at rural-urban boundaries?</w:t>
      </w:r>
    </w:p>
    <w:p w:rsidR="00343320">
      <w:r>
        <w:t>A robust legislative foundation for policies that can reduce the risk and severity of wildfires is provided through the Climate Change Act (2008), Agriculture Act (2020) and the Environment Act (2021). However, according to the Climate Change Committee’s 2025 assessment of the UK’s Third Adaptation Programme, the UK’s preparedness for climate change remains deeply inadequate.</w:t>
      </w:r>
    </w:p>
    <w:p w:rsidR="00343320"/>
    <w:p w:rsidR="00343320">
      <w:r>
        <w:t xml:space="preserve">There is an urgent need for more investment in the agricultural transition to more nature-friendly, climate positive farming where land is used as a multi-functional asset delivering for food and nutritional security, nature restoration and carbon sequestration. Through coherently combined public and private funding sources, the Government must strive to close the current funding gap in farming support. This transition will also deliver added benefits of improving water and air quality, reducing the impacts of flooding and drought, reducing associated costs to the National Health Service and water companies and consumers resulting from poor air and water quality. </w:t>
      </w:r>
    </w:p>
    <w:p w:rsidR="00343320"/>
    <w:p w:rsidR="00343320">
      <w:r>
        <w:t xml:space="preserve">Further work is needed to consider the interactions between planning policy, rural and peri-urban land management and water availability within high fire-risk areas. Anecdotal evidence from farmers within our network suggests that when new housing developments are built close to farmland, farmers can either see a reduction in water availability to their farm, due to higher levels of abstraction, or an increased risk of flooding due to higher levels of hard-standing surfaces increasing run-off into local rivers and streams during extreme weather events. These changes to water availability, particularly where water availability is reduced, could potentially further increase the risk of wildfire in these areas. A point of principle for all new build developments, should be the inclusion of accessible, sub-surface rainwater harvest infrastructure, to enable rapid access to water in urban and peri-urban areas that does not draw on potentially already overstretched natural water sources, or expensively treated, public water sources. </w:t>
      </w:r>
    </w:p>
    <w:p w:rsidR="00343320">
      <w:pPr>
        <w:pStyle w:val="Heading4"/>
      </w:pPr>
      <w:bookmarkStart w:id="9" w:name="_mxlac8pdgjly" w:colFirst="0" w:colLast="0"/>
      <w:bookmarkEnd w:id="9"/>
      <w:r>
        <w:t>Given that responsibility is spread across government departments and bodies (e.g. Defra, Forestry Commission, MHCLG), how should the government coordinate a cross-departmental approach to tackle the increasing risk of wildfires?</w:t>
      </w:r>
    </w:p>
    <w:p w:rsidR="00343320">
      <w:r>
        <w:t xml:space="preserve">As wildfires stem from multiple causes and the management of wildfire risk sits across multiple departments it is imperative that the Government works in a joined-up manner. Wildfire risk management should be included in national adaptation strategies and drive coordination across all relevant departments and stakeholders, and at each level of government. </w:t>
      </w:r>
    </w:p>
    <w:p w:rsidR="00343320"/>
    <w:p w:rsidR="00343320">
      <w:r>
        <w:t>One option could be to appoint a strategic fire lead in each relevant Government department who together and are collectively responsible for the development of policy responses to the wildfire components of a national adaptation strategy.</w:t>
      </w:r>
    </w:p>
    <w:p w:rsidR="00343320"/>
    <w:p w:rsidR="00343320">
      <w:r>
        <w:t xml:space="preserve">Improved ownership, coordination and communication between departments and wider stakeholders will be key to addressing the causes and challenges of wildfire, from reduced rural crime to better on-farm fire risk assessments and improved knowledge of high wildfire risk areas. Above all, more investment is needed - vital to avoid more costly interventions when fires inevitably take hold in our changing climate. </w:t>
      </w:r>
    </w:p>
    <w:p w:rsidR="00343320" w:rsidRPr="00095FB7">
      <w:pPr>
        <w:pStyle w:val="Heading1"/>
        <w:rPr>
          <w:sz w:val="24"/>
          <w:szCs w:val="24"/>
        </w:rPr>
      </w:pPr>
      <w:bookmarkStart w:id="10" w:name="_n8l3ce4edtzy" w:colFirst="0" w:colLast="0"/>
      <w:bookmarkEnd w:id="10"/>
      <w:r w:rsidRPr="00095FB7">
        <w:rPr>
          <w:sz w:val="24"/>
          <w:szCs w:val="24"/>
        </w:rPr>
        <w:t>May 2026</w:t>
      </w:r>
    </w:p>
    <w:p w:rsidR="00343320"/>
    <w:sectPr>
      <w:headerReference w:type="default" r:id="rId5"/>
      <w:footerReference w:type="default" r:id="rId6"/>
      <w:pgSz w:w="11909" w:h="16834"/>
      <w:pgMar w:top="1440" w:right="1440" w:bottom="1440" w:left="1440" w:header="566"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3D89724-E692-4370-B390-12EBBB4EB144}"/>
    <w:embedItalic r:id="rId2" w:fontKey="{78B64908-D7ED-4101-9000-E100B002AB89}"/>
  </w:font>
  <w:font w:name="Cambria">
    <w:panose1 w:val="02040503050406030204"/>
    <w:charset w:val="00"/>
    <w:family w:val="roman"/>
    <w:pitch w:val="variable"/>
    <w:sig w:usb0="E00006FF" w:usb1="420024FF" w:usb2="02000000" w:usb3="00000000" w:csb0="0000019F" w:csb1="00000000"/>
    <w:embedRegular r:id="rId3" w:fontKey="{4BC5F273-FCCF-41A3-BB17-88F73330E0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320">
    <w:pPr>
      <w:rPr>
        <w:rFonts w:ascii="Calibri" w:eastAsia="Calibri" w:hAnsi="Calibri" w:cs="Calibri"/>
      </w:rPr>
    </w:pPr>
  </w:p>
  <w:p w:rsidR="00343320">
    <w:pPr>
      <w:ind w:right="-1440" w:hanging="14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469C9">
      <w:pPr>
        <w:spacing w:line="240" w:lineRule="auto"/>
      </w:pPr>
      <w:r>
        <w:separator/>
      </w:r>
    </w:p>
  </w:footnote>
  <w:footnote w:type="continuationSeparator" w:id="1">
    <w:p w:rsidR="001469C9">
      <w:pPr>
        <w:spacing w:line="240" w:lineRule="auto"/>
      </w:pPr>
      <w:r>
        <w:continuationSeparator/>
      </w:r>
    </w:p>
  </w:footnote>
  <w:footnote w:id="2">
    <w:p w:rsidR="00343320">
      <w:pPr>
        <w:spacing w:line="240" w:lineRule="auto"/>
        <w:rPr>
          <w:color w:val="000000"/>
          <w:sz w:val="20"/>
          <w:szCs w:val="20"/>
        </w:rPr>
      </w:pPr>
      <w:r>
        <w:rPr>
          <w:vertAlign w:val="superscript"/>
        </w:rPr>
        <w:footnoteRef/>
      </w:r>
      <w:r>
        <w:rPr>
          <w:color w:val="000000"/>
          <w:sz w:val="20"/>
          <w:szCs w:val="20"/>
        </w:rPr>
        <w:t xml:space="preserve"> WATTS, R. (2024). Public perceptions of wildfire in Great Britain: Case studies from Wales, England and Scotland. Swansea University, Wales, UK. </w:t>
      </w:r>
    </w:p>
  </w:footnote>
  <w:footnote w:id="3">
    <w:p w:rsidR="00343320">
      <w:pPr>
        <w:spacing w:line="240" w:lineRule="auto"/>
        <w:rPr>
          <w:color w:val="000000"/>
          <w:sz w:val="20"/>
          <w:szCs w:val="20"/>
        </w:rPr>
      </w:pPr>
      <w:r>
        <w:rPr>
          <w:vertAlign w:val="superscript"/>
        </w:rPr>
        <w:footnoteRef/>
      </w:r>
      <w:r>
        <w:rPr>
          <w:color w:val="000000"/>
          <w:sz w:val="20"/>
          <w:szCs w:val="20"/>
        </w:rPr>
        <w:t xml:space="preserve"> </w:t>
      </w:r>
      <w:r>
        <w:fldChar w:fldCharType="begin"/>
      </w:r>
      <w:r>
        <w:instrText xml:space="preserve"> HYPERLINK "https://www.kentwildlifetrust.org.uk/news/fire-destroys-irreplaceable-saltmarsh-kent-wildlife-trust-nature-reserve-during-breeding-bird" </w:instrText>
      </w:r>
      <w:r>
        <w:fldChar w:fldCharType="separate"/>
      </w:r>
      <w:r>
        <w:rPr>
          <w:color w:val="1155CC"/>
          <w:sz w:val="20"/>
          <w:szCs w:val="20"/>
          <w:u w:val="single"/>
        </w:rPr>
        <w:t>https://www.kentwildlifetrust.org.uk/news/fire-destroys-irreplaceable-saltmarsh-kent-wildlife-trust-nature-reserve-during-breeding-bird</w:t>
      </w:r>
      <w:r>
        <w:fldChar w:fldCharType="end"/>
      </w:r>
      <w:r>
        <w:rPr>
          <w:color w:val="000000"/>
          <w:sz w:val="20"/>
          <w:szCs w:val="20"/>
        </w:rPr>
        <w:t xml:space="preserve"> </w:t>
      </w:r>
    </w:p>
  </w:footnote>
  <w:footnote w:id="4">
    <w:p w:rsidR="00343320">
      <w:pPr>
        <w:spacing w:line="240" w:lineRule="auto"/>
        <w:rPr>
          <w:color w:val="000000"/>
          <w:sz w:val="20"/>
          <w:szCs w:val="20"/>
        </w:rPr>
      </w:pPr>
      <w:r>
        <w:rPr>
          <w:vertAlign w:val="superscript"/>
        </w:rPr>
        <w:footnoteRef/>
      </w:r>
      <w:r>
        <w:rPr>
          <w:color w:val="000000"/>
          <w:sz w:val="20"/>
          <w:szCs w:val="20"/>
        </w:rPr>
        <w:t xml:space="preserve"> Regos A, A roadmap for nature-based solutions to extreme wildfires, </w:t>
      </w:r>
      <w:r>
        <w:rPr>
          <w:color w:val="000000"/>
          <w:sz w:val="20"/>
          <w:szCs w:val="20"/>
        </w:rPr>
        <w:t>iScience</w:t>
      </w:r>
      <w:r>
        <w:rPr>
          <w:color w:val="000000"/>
          <w:sz w:val="20"/>
          <w:szCs w:val="20"/>
        </w:rPr>
        <w:t>, 2025; 29</w:t>
      </w:r>
    </w:p>
  </w:footnote>
  <w:footnote w:id="5">
    <w:p w:rsidR="00343320">
      <w:pPr>
        <w:spacing w:line="240" w:lineRule="auto"/>
        <w:rPr>
          <w:color w:val="000000"/>
          <w:sz w:val="20"/>
          <w:szCs w:val="20"/>
        </w:rPr>
      </w:pPr>
      <w:r>
        <w:rPr>
          <w:vertAlign w:val="superscript"/>
        </w:rPr>
        <w:footnoteRef/>
      </w:r>
      <w:r>
        <w:rPr>
          <w:color w:val="000000"/>
          <w:sz w:val="20"/>
          <w:szCs w:val="20"/>
        </w:rPr>
        <w:t xml:space="preserve"> </w:t>
      </w:r>
      <w:r>
        <w:fldChar w:fldCharType="begin"/>
      </w:r>
      <w:r>
        <w:instrText xml:space="preserve"> HYPERLINK "https://www.endangeredlandscapes.org/news/fighting-fire-with-nature-how-europes-restoration-projects-are-tackling-wildfires/" </w:instrText>
      </w:r>
      <w:r>
        <w:fldChar w:fldCharType="separate"/>
      </w:r>
      <w:r>
        <w:rPr>
          <w:color w:val="1155CC"/>
          <w:sz w:val="20"/>
          <w:szCs w:val="20"/>
          <w:u w:val="single"/>
        </w:rPr>
        <w:t>https://www.endangeredlandscapes.org/news/fighting-fire-with-nature-how-europes-restoration-projects-are-tackling-wildfires/</w:t>
      </w:r>
      <w:r>
        <w:fldChar w:fldCharType="end"/>
      </w:r>
      <w:r>
        <w:rPr>
          <w:color w:val="000000"/>
          <w:sz w:val="20"/>
          <w:szCs w:val="20"/>
        </w:rPr>
        <w:t xml:space="preserve"> </w:t>
      </w:r>
    </w:p>
    <w:p w:rsidR="00343320">
      <w:pPr>
        <w:spacing w:line="240" w:lineRule="auto"/>
        <w:rPr>
          <w:color w:val="000000"/>
          <w:sz w:val="20"/>
          <w:szCs w:val="20"/>
        </w:rPr>
      </w:pPr>
    </w:p>
  </w:footnote>
  <w:footnote w:id="6">
    <w:p w:rsidR="00343320">
      <w:pPr>
        <w:spacing w:line="240" w:lineRule="auto"/>
        <w:rPr>
          <w:color w:val="000000"/>
          <w:sz w:val="20"/>
          <w:szCs w:val="20"/>
        </w:rPr>
      </w:pPr>
      <w:r>
        <w:rPr>
          <w:vertAlign w:val="superscript"/>
        </w:rPr>
        <w:footnoteRef/>
      </w:r>
      <w:r>
        <w:rPr>
          <w:color w:val="000000"/>
          <w:sz w:val="20"/>
          <w:szCs w:val="20"/>
        </w:rPr>
        <w:t xml:space="preserve"> </w:t>
      </w:r>
      <w:r>
        <w:fldChar w:fldCharType="begin"/>
      </w:r>
      <w:r>
        <w:instrText xml:space="preserve"> HYPERLINK "https://www.eea.europa.eu/en/analysis/publications/nature-based-solutions-for-fire-resilient-european-forests" </w:instrText>
      </w:r>
      <w:r>
        <w:fldChar w:fldCharType="separate"/>
      </w:r>
      <w:r>
        <w:rPr>
          <w:color w:val="1155CC"/>
          <w:sz w:val="20"/>
          <w:szCs w:val="20"/>
          <w:u w:val="single"/>
        </w:rPr>
        <w:t>https://www.eea.europa.eu/en/analysis/publications/nature-based-solutions-for-fire-resilient-european-forests</w:t>
      </w:r>
      <w:r>
        <w:fldChar w:fldCharType="end"/>
      </w:r>
      <w:r>
        <w:rPr>
          <w:color w:val="000000"/>
          <w:sz w:val="20"/>
          <w:szCs w:val="20"/>
        </w:rPr>
        <w:t xml:space="preserve"> </w:t>
      </w:r>
    </w:p>
  </w:footnote>
  <w:footnote w:id="7">
    <w:p w:rsidR="00343320">
      <w:pPr>
        <w:spacing w:line="240" w:lineRule="auto"/>
        <w:rPr>
          <w:color w:val="000000"/>
          <w:sz w:val="20"/>
          <w:szCs w:val="20"/>
        </w:rPr>
      </w:pPr>
      <w:r>
        <w:rPr>
          <w:vertAlign w:val="superscript"/>
        </w:rPr>
        <w:footnoteRef/>
      </w:r>
      <w:r>
        <w:rPr>
          <w:color w:val="000000"/>
          <w:sz w:val="20"/>
          <w:szCs w:val="20"/>
        </w:rPr>
        <w:t xml:space="preserve">  </w:t>
      </w:r>
      <w:r>
        <w:fldChar w:fldCharType="begin"/>
      </w:r>
      <w:r>
        <w:instrText xml:space="preserve"> HYPERLINK "https://www.ceh.ac.uk/sites/default/files/Peatland%20factsheet.pdf" </w:instrText>
      </w:r>
      <w:r>
        <w:fldChar w:fldCharType="separate"/>
      </w:r>
      <w:r>
        <w:rPr>
          <w:color w:val="1155CC"/>
          <w:sz w:val="20"/>
          <w:szCs w:val="20"/>
          <w:u w:val="single"/>
        </w:rPr>
        <w:t>https://www.ceh.ac.uk/sites/default/files/Peatland%20factsheet.pdf</w:t>
      </w:r>
      <w:r>
        <w:fldChar w:fldCharType="end"/>
      </w:r>
      <w:r>
        <w:rPr>
          <w:color w:val="000000"/>
          <w:sz w:val="20"/>
          <w:szCs w:val="20"/>
        </w:rPr>
        <w:t xml:space="preserve"> </w:t>
      </w:r>
    </w:p>
  </w:footnote>
  <w:footnote w:id="8">
    <w:p w:rsidR="00343320">
      <w:pPr>
        <w:spacing w:line="240" w:lineRule="auto"/>
        <w:rPr>
          <w:color w:val="000000"/>
          <w:sz w:val="20"/>
          <w:szCs w:val="20"/>
        </w:rPr>
      </w:pPr>
      <w:r>
        <w:rPr>
          <w:vertAlign w:val="superscript"/>
        </w:rPr>
        <w:footnoteRef/>
      </w:r>
      <w:r>
        <w:rPr>
          <w:color w:val="000000"/>
          <w:sz w:val="20"/>
          <w:szCs w:val="20"/>
        </w:rPr>
        <w:t xml:space="preserve"> Gallo C, </w:t>
      </w:r>
      <w:r>
        <w:rPr>
          <w:color w:val="000000"/>
          <w:sz w:val="20"/>
          <w:szCs w:val="20"/>
        </w:rPr>
        <w:t>Dieppois</w:t>
      </w:r>
      <w:r>
        <w:rPr>
          <w:color w:val="000000"/>
          <w:sz w:val="20"/>
          <w:szCs w:val="20"/>
        </w:rPr>
        <w:t xml:space="preserve"> B, </w:t>
      </w:r>
      <w:r>
        <w:rPr>
          <w:color w:val="000000"/>
          <w:sz w:val="20"/>
          <w:szCs w:val="20"/>
        </w:rPr>
        <w:t>Quilcaille</w:t>
      </w:r>
      <w:r>
        <w:rPr>
          <w:color w:val="000000"/>
          <w:sz w:val="20"/>
          <w:szCs w:val="20"/>
        </w:rPr>
        <w:t xml:space="preserve"> Y et al (2025) Future Impacts of climate change on global fire weather: insight from Weighted CMIP6 </w:t>
      </w:r>
      <w:r>
        <w:rPr>
          <w:color w:val="000000"/>
          <w:sz w:val="20"/>
          <w:szCs w:val="20"/>
        </w:rPr>
        <w:t>multimodel</w:t>
      </w:r>
      <w:r>
        <w:rPr>
          <w:color w:val="000000"/>
          <w:sz w:val="20"/>
          <w:szCs w:val="20"/>
        </w:rPr>
        <w:t xml:space="preserve"> ensembles. J Clim 38:6445–6462. https://doi.org/10.1175/JCLI-D-24-0540.1</w:t>
      </w:r>
    </w:p>
  </w:footnote>
  <w:footnote w:id="9">
    <w:p w:rsidR="00343320">
      <w:pPr>
        <w:spacing w:line="240" w:lineRule="auto"/>
        <w:rPr>
          <w:color w:val="000000"/>
          <w:sz w:val="20"/>
          <w:szCs w:val="20"/>
        </w:rPr>
      </w:pPr>
      <w:r>
        <w:rPr>
          <w:vertAlign w:val="superscript"/>
        </w:rPr>
        <w:footnoteRef/>
      </w:r>
      <w:r>
        <w:rPr>
          <w:color w:val="000000"/>
          <w:sz w:val="20"/>
          <w:szCs w:val="20"/>
        </w:rPr>
        <w:t xml:space="preserve"> Chantelle Burton</w:t>
      </w:r>
      <w:r>
        <w:rPr>
          <w:color w:val="000000"/>
          <w:sz w:val="20"/>
          <w:szCs w:val="20"/>
        </w:rPr>
        <w:t xml:space="preserve"> et al 2025 Environ. Res. Lett. 20 044003</w:t>
      </w:r>
    </w:p>
  </w:footnote>
  <w:footnote w:id="10">
    <w:p w:rsidR="00343320">
      <w:pPr>
        <w:spacing w:line="240" w:lineRule="auto"/>
        <w:rPr>
          <w:color w:val="000000"/>
          <w:sz w:val="20"/>
          <w:szCs w:val="20"/>
        </w:rPr>
      </w:pPr>
      <w:r>
        <w:rPr>
          <w:vertAlign w:val="superscript"/>
        </w:rPr>
        <w:footnoteRef/>
      </w:r>
      <w:r>
        <w:rPr>
          <w:color w:val="000000"/>
          <w:sz w:val="20"/>
          <w:szCs w:val="20"/>
        </w:rPr>
        <w:t xml:space="preserve"> </w:t>
      </w:r>
      <w:r>
        <w:fldChar w:fldCharType="begin"/>
      </w:r>
      <w:r>
        <w:instrText xml:space="preserve"> HYPERLINK "https://publications.naturalengland.org.uk/publication/4548741850464256" </w:instrText>
      </w:r>
      <w:r>
        <w:fldChar w:fldCharType="separate"/>
      </w:r>
      <w:r>
        <w:rPr>
          <w:color w:val="1155CC"/>
          <w:sz w:val="20"/>
          <w:szCs w:val="20"/>
          <w:u w:val="single"/>
        </w:rPr>
        <w:t>An evidence review update on the effects of managed burning on upland peatland biodiversity, carbon and water - NEER155</w:t>
      </w:r>
      <w:r>
        <w:fldChar w:fldCharType="end"/>
      </w:r>
    </w:p>
  </w:footnote>
  <w:footnote w:id="11">
    <w:p w:rsidR="00343320">
      <w:pPr>
        <w:spacing w:line="240" w:lineRule="auto"/>
        <w:rPr>
          <w:rFonts w:ascii="Calibri" w:eastAsia="Calibri" w:hAnsi="Calibri" w:cs="Calibri"/>
          <w:color w:val="000000"/>
          <w:sz w:val="20"/>
          <w:szCs w:val="20"/>
        </w:rPr>
      </w:pPr>
      <w:r>
        <w:rPr>
          <w:vertAlign w:val="superscript"/>
        </w:rPr>
        <w:footnoteRef/>
      </w:r>
      <w:r>
        <w:rPr>
          <w:color w:val="000000"/>
          <w:sz w:val="20"/>
          <w:szCs w:val="20"/>
        </w:rPr>
        <w:t xml:space="preserve"> </w:t>
      </w:r>
      <w:r>
        <w:rPr>
          <w:rFonts w:ascii="Calibri" w:eastAsia="Calibri" w:hAnsi="Calibri" w:cs="Calibri"/>
          <w:color w:val="000000"/>
          <w:sz w:val="20"/>
          <w:szCs w:val="20"/>
        </w:rPr>
        <w:t xml:space="preserve">M. Rayment, </w:t>
      </w:r>
      <w:r>
        <w:rPr>
          <w:rFonts w:ascii="Calibri" w:eastAsia="Calibri" w:hAnsi="Calibri" w:cs="Calibri"/>
          <w:i/>
          <w:iCs/>
          <w:color w:val="000000"/>
          <w:sz w:val="20"/>
          <w:szCs w:val="20"/>
        </w:rPr>
        <w:t>For</w:t>
      </w:r>
      <w:r>
        <w:rPr>
          <w:rFonts w:ascii="Calibri" w:eastAsia="Calibri" w:hAnsi="Calibri" w:cs="Calibri"/>
          <w:i/>
          <w:iCs/>
          <w:color w:val="000000"/>
          <w:sz w:val="20"/>
          <w:szCs w:val="20"/>
        </w:rPr>
        <w:t xml:space="preserve"> farming, nature and climate: Investing in the UK’s natural infrastructure to achieve Net Zero and nature’s recovery on land</w:t>
      </w:r>
      <w:r>
        <w:rPr>
          <w:rFonts w:ascii="Calibri" w:eastAsia="Calibri" w:hAnsi="Calibri" w:cs="Calibri"/>
          <w:color w:val="000000"/>
          <w:sz w:val="20"/>
          <w:szCs w:val="20"/>
        </w:rPr>
        <w:t>, UK, RSPB, The National Trust, The Wildlife Trusts, 2024.</w:t>
      </w:r>
    </w:p>
    <w:p w:rsidR="00343320">
      <w:pPr>
        <w:spacing w:line="240" w:lineRule="auto"/>
        <w:rPr>
          <w:color w:val="000000"/>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320">
    <w:pPr>
      <w:jc w:val="right"/>
    </w:pPr>
  </w:p>
  <w:p w:rsidR="00343320">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9081537"/>
    <w:multiLevelType w:val="multilevel"/>
    <w:tmpl w:val="1076B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434343"/>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bCs/>
      <w:sz w:val="44"/>
      <w:szCs w:val="44"/>
    </w:rPr>
  </w:style>
  <w:style w:type="paragraph" w:styleId="Heading2">
    <w:name w:val="heading 2"/>
    <w:basedOn w:val="Normal"/>
    <w:next w:val="Normal"/>
    <w:uiPriority w:val="9"/>
    <w:unhideWhenUsed/>
    <w:qFormat/>
    <w:pPr>
      <w:keepNext/>
      <w:keepLines/>
      <w:spacing w:before="360" w:after="120"/>
      <w:outlineLvl w:val="1"/>
    </w:pPr>
    <w:rPr>
      <w:b/>
      <w:bCs/>
      <w:sz w:val="36"/>
      <w:szCs w:val="36"/>
    </w:rPr>
  </w:style>
  <w:style w:type="paragraph" w:styleId="Heading3">
    <w:name w:val="heading 3"/>
    <w:basedOn w:val="Normal"/>
    <w:next w:val="Normal"/>
    <w:uiPriority w:val="9"/>
    <w:unhideWhenUsed/>
    <w:qFormat/>
    <w:pPr>
      <w:keepNext/>
      <w:keepLines/>
      <w:spacing w:before="320" w:after="80"/>
      <w:outlineLvl w:val="2"/>
    </w:pPr>
    <w:rPr>
      <w:b/>
      <w:bCs/>
      <w:sz w:val="28"/>
      <w:szCs w:val="28"/>
    </w:rPr>
  </w:style>
  <w:style w:type="paragraph" w:styleId="Heading4">
    <w:name w:val="heading 4"/>
    <w:basedOn w:val="Normal"/>
    <w:next w:val="Normal"/>
    <w:uiPriority w:val="9"/>
    <w:unhideWhenUsed/>
    <w:qFormat/>
    <w:pPr>
      <w:keepNext/>
      <w:keepLines/>
      <w:spacing w:before="280" w:after="80"/>
      <w:outlineLvl w:val="3"/>
    </w:pPr>
    <w:rPr>
      <w:b/>
      <w:bCs/>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jc w:val="center"/>
    </w:pPr>
    <w:rPr>
      <w:b/>
      <w:bCs/>
      <w:sz w:val="64"/>
      <w:szCs w:val="64"/>
    </w:rPr>
  </w:style>
  <w:style w:type="paragraph" w:styleId="Subtitle">
    <w:name w:val="Subtitle"/>
    <w:basedOn w:val="Normal"/>
    <w:next w:val="Normal"/>
    <w:uiPriority w:val="11"/>
    <w:qFormat/>
    <w:pPr>
      <w:keepNext/>
      <w:keepLines/>
      <w:spacing w:after="320"/>
      <w:jc w:val="center"/>
    </w:pPr>
    <w:rPr>
      <w:color w:val="666666"/>
      <w:sz w:val="30"/>
      <w:szCs w:val="30"/>
    </w:rPr>
  </w:style>
  <w:style w:type="paragraph" w:styleId="Header">
    <w:name w:val="header"/>
    <w:basedOn w:val="Normal"/>
    <w:link w:val="HeaderChar"/>
    <w:uiPriority w:val="99"/>
    <w:unhideWhenUsed/>
    <w:rsid w:val="00095FB7"/>
    <w:pPr>
      <w:tabs>
        <w:tab w:val="center" w:pos="4513"/>
        <w:tab w:val="right" w:pos="9026"/>
      </w:tabs>
      <w:spacing w:line="240" w:lineRule="auto"/>
    </w:pPr>
  </w:style>
  <w:style w:type="character" w:customStyle="1" w:styleId="HeaderChar">
    <w:name w:val="Header Char"/>
    <w:basedOn w:val="DefaultParagraphFont"/>
    <w:link w:val="Header"/>
    <w:uiPriority w:val="99"/>
    <w:rsid w:val="00095FB7"/>
  </w:style>
  <w:style w:type="paragraph" w:styleId="Footer">
    <w:name w:val="footer"/>
    <w:basedOn w:val="Normal"/>
    <w:link w:val="FooterChar"/>
    <w:uiPriority w:val="99"/>
    <w:unhideWhenUsed/>
    <w:rsid w:val="00095FB7"/>
    <w:pPr>
      <w:tabs>
        <w:tab w:val="center" w:pos="4513"/>
        <w:tab w:val="right" w:pos="9026"/>
      </w:tabs>
      <w:spacing w:line="240" w:lineRule="auto"/>
    </w:pPr>
  </w:style>
  <w:style w:type="character" w:customStyle="1" w:styleId="FooterChar">
    <w:name w:val="Footer Char"/>
    <w:basedOn w:val="DefaultParagraphFont"/>
    <w:link w:val="Footer"/>
    <w:uiPriority w:val="99"/>
    <w:rsid w:val="00095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CWR0185</dc:title>
  <cp:revision>0</cp:revision>
</cp:coreProperties>
</file>