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7C97" w:rsidRPr="000F7C97" w:rsidP="00304BB8">
      <w:pPr>
        <w:rPr>
          <w:rStyle w:val="Strong"/>
          <w:rFonts w:ascii="Verdana" w:hAnsi="Verdana" w:cs="Times New Roman"/>
          <w:color w:val="000000" w:themeColor="text1"/>
          <w:sz w:val="28"/>
        </w:rPr>
      </w:pPr>
      <w:r>
        <w:rPr>
          <w:rStyle w:val="Strong"/>
          <w:rFonts w:ascii="Verdana" w:hAnsi="Verdana" w:cs="Times New Roman"/>
          <w:color w:val="000000" w:themeColor="text1"/>
          <w:sz w:val="28"/>
        </w:rPr>
        <w:t>Professor Diana Coben</w:t>
      </w:r>
      <w:r w:rsidRPr="000F7C97">
        <w:rPr>
          <w:rStyle w:val="Strong"/>
          <w:rFonts w:ascii="Verdana" w:hAnsi="Verdana" w:cs="Times New Roman"/>
          <w:color w:val="000000" w:themeColor="text1"/>
          <w:sz w:val="28"/>
        </w:rPr>
        <w:t xml:space="preserve"> – Written Evidence (NUM00</w:t>
      </w:r>
      <w:r>
        <w:rPr>
          <w:rStyle w:val="Strong"/>
          <w:rFonts w:ascii="Verdana" w:hAnsi="Verdana" w:cs="Times New Roman"/>
          <w:color w:val="000000" w:themeColor="text1"/>
          <w:sz w:val="28"/>
        </w:rPr>
        <w:t>6</w:t>
      </w:r>
      <w:r w:rsidR="00C54854">
        <w:rPr>
          <w:rStyle w:val="Strong"/>
          <w:rFonts w:ascii="Verdana" w:hAnsi="Verdana" w:cs="Times New Roman"/>
          <w:color w:val="000000" w:themeColor="text1"/>
          <w:sz w:val="28"/>
        </w:rPr>
        <w:t>4</w:t>
      </w:r>
      <w:r w:rsidRPr="000F7C97">
        <w:rPr>
          <w:rStyle w:val="Strong"/>
          <w:rFonts w:ascii="Verdana" w:hAnsi="Verdana" w:cs="Times New Roman"/>
          <w:color w:val="000000" w:themeColor="text1"/>
          <w:sz w:val="28"/>
        </w:rPr>
        <w:t>)</w:t>
      </w:r>
    </w:p>
    <w:p w:rsidR="006D7E42" w:rsidP="00304BB8">
      <w:pPr>
        <w:rPr>
          <w:rStyle w:val="Strong"/>
          <w:rFonts w:ascii="Verdana" w:hAnsi="Verdana" w:cs="Times New Roman"/>
          <w:b w:val="0"/>
          <w:bCs w:val="0"/>
          <w:color w:val="000000" w:themeColor="text1"/>
        </w:rPr>
      </w:pPr>
    </w:p>
    <w:p w:rsidR="006D7E42" w:rsidRPr="000F7C97" w:rsidP="00304BB8">
      <w:pPr>
        <w:rPr>
          <w:rStyle w:val="Strong"/>
          <w:rFonts w:ascii="Verdana" w:hAnsi="Verdana" w:cs="Times New Roman"/>
          <w:b w:val="0"/>
          <w:bCs w:val="0"/>
          <w:color w:val="000000" w:themeColor="text1"/>
        </w:rPr>
      </w:pPr>
    </w:p>
    <w:p w:rsidR="00BA3EB5" w:rsidRPr="000F7C97" w:rsidP="00304BB8">
      <w:pPr>
        <w:rPr>
          <w:rStyle w:val="Strong"/>
          <w:rFonts w:ascii="Verdana" w:hAnsi="Verdana" w:cs="Times New Roman"/>
          <w:b w:val="0"/>
          <w:bCs w:val="0"/>
          <w:color w:val="000000" w:themeColor="text1"/>
        </w:rPr>
      </w:pPr>
      <w:r w:rsidRPr="000F7C97">
        <w:rPr>
          <w:rStyle w:val="Strong"/>
          <w:rFonts w:ascii="Verdana" w:hAnsi="Verdana" w:cs="Times New Roman"/>
          <w:b w:val="0"/>
          <w:bCs w:val="0"/>
          <w:color w:val="000000" w:themeColor="text1"/>
        </w:rPr>
        <w:t xml:space="preserve">Over my 49-year career in education I have taught adult numeracy, trained and mentored others to teach adult numeracy, and undertaken research in adult numeracy in the UK and overseas. I led work on adult numeracy at the government-funded National Research and Development Centre for Adult Literacy and Numeracy (NRDC) from its inception in 2002 until 2011 and led the first full-scale review of research on adult numeracy (Coben, et al., 2003). I was Director of the New Zealand National Centre of Literacy and Numeracy for Adults from 2011-2017. I was Founding Chair and am now an Honorary Trustee of the international research forum, Adults Learning Mathematics (ALM) </w:t>
      </w:r>
      <w:r>
        <w:fldChar w:fldCharType="begin"/>
      </w:r>
      <w:r>
        <w:instrText xml:space="preserve"> HYPERLINK "https://alm-online.net/" </w:instrText>
      </w:r>
      <w:r>
        <w:fldChar w:fldCharType="separate"/>
      </w:r>
      <w:r w:rsidRPr="000F7C97">
        <w:rPr>
          <w:rStyle w:val="Hyperlink"/>
          <w:rFonts w:ascii="Verdana" w:hAnsi="Verdana" w:cs="Times New Roman"/>
          <w:color w:val="000000" w:themeColor="text1"/>
        </w:rPr>
        <w:t>https://alm-online.net/</w:t>
      </w:r>
      <w:r>
        <w:fldChar w:fldCharType="end"/>
      </w:r>
      <w:r w:rsidRPr="000F7C97">
        <w:rPr>
          <w:rStyle w:val="Strong"/>
          <w:rFonts w:ascii="Verdana" w:hAnsi="Verdana" w:cs="Times New Roman"/>
          <w:b w:val="0"/>
          <w:bCs w:val="0"/>
          <w:color w:val="000000" w:themeColor="text1"/>
        </w:rPr>
        <w:t>.</w:t>
      </w:r>
    </w:p>
    <w:p w:rsidR="00BA3EB5" w:rsidRPr="000F7C97" w:rsidP="00304BB8">
      <w:pPr>
        <w:rPr>
          <w:rStyle w:val="Strong"/>
          <w:rFonts w:ascii="Verdana" w:hAnsi="Verdana" w:cs="Times New Roman"/>
          <w:b w:val="0"/>
          <w:bCs w:val="0"/>
          <w:color w:val="000000" w:themeColor="text1"/>
        </w:rPr>
      </w:pPr>
    </w:p>
    <w:p w:rsidR="00BA3EB5" w:rsidRPr="000F7C97" w:rsidP="00AA408D">
      <w:pPr>
        <w:pStyle w:val="NormalWeb"/>
        <w:spacing w:before="0" w:beforeAutospacing="0" w:after="270" w:afterAutospacing="0"/>
        <w:rPr>
          <w:rStyle w:val="Strong"/>
          <w:rFonts w:ascii="Verdana" w:hAnsi="Verdana"/>
          <w:b w:val="0"/>
          <w:bCs w:val="0"/>
          <w:color w:val="000000" w:themeColor="text1"/>
        </w:rPr>
      </w:pPr>
      <w:r w:rsidRPr="000F7C97">
        <w:rPr>
          <w:rStyle w:val="Strong"/>
          <w:rFonts w:ascii="Verdana" w:hAnsi="Verdana"/>
          <w:b w:val="0"/>
          <w:bCs w:val="0"/>
          <w:color w:val="000000" w:themeColor="text1"/>
        </w:rPr>
        <w:t>To improve adult numeracy we need to do (at least) three things:</w:t>
      </w:r>
    </w:p>
    <w:p w:rsidR="00BA3EB5" w:rsidRPr="000F7C97" w:rsidP="009D1052">
      <w:pPr>
        <w:pStyle w:val="NormalWeb"/>
        <w:numPr>
          <w:ilvl w:val="0"/>
          <w:numId w:val="2"/>
        </w:numPr>
        <w:spacing w:before="0" w:beforeAutospacing="0" w:after="0" w:afterAutospacing="0"/>
        <w:rPr>
          <w:rStyle w:val="Strong"/>
          <w:rFonts w:ascii="Verdana" w:hAnsi="Verdana"/>
          <w:b w:val="0"/>
          <w:bCs w:val="0"/>
          <w:color w:val="000000" w:themeColor="text1"/>
        </w:rPr>
      </w:pPr>
      <w:r w:rsidRPr="000F7C97">
        <w:rPr>
          <w:rFonts w:ascii="Verdana" w:hAnsi="Verdana"/>
          <w:color w:val="000000" w:themeColor="text1"/>
        </w:rPr>
        <w:t>We know that “For numeracy, engagement in maths practices is the strongest predictor of proficiency growth” (Reder, 2020, p 267) so we must s</w:t>
      </w:r>
      <w:r w:rsidRPr="000F7C97">
        <w:rPr>
          <w:rStyle w:val="Strong"/>
          <w:rFonts w:ascii="Verdana" w:hAnsi="Verdana"/>
          <w:b w:val="0"/>
          <w:bCs w:val="0"/>
          <w:color w:val="000000" w:themeColor="text1"/>
        </w:rPr>
        <w:t xml:space="preserve">tart where adults are - in or out of the workplace and in private, community or institutional life settings - and support them to become critical, mathematically-literate </w:t>
      </w:r>
      <w:r w:rsidRPr="000F7C97">
        <w:rPr>
          <w:rFonts w:ascii="Verdana" w:hAnsi="Verdana"/>
          <w:color w:val="000000" w:themeColor="text1"/>
        </w:rPr>
        <w:t>readers, interpreters and interrogators of the world</w:t>
      </w:r>
      <w:r w:rsidRPr="000F7C97">
        <w:rPr>
          <w:rStyle w:val="Strong"/>
          <w:rFonts w:ascii="Verdana" w:hAnsi="Verdana"/>
          <w:b w:val="0"/>
          <w:bCs w:val="0"/>
          <w:color w:val="000000" w:themeColor="text1"/>
        </w:rPr>
        <w:t>. This is especially important in view of the fast development of AI, the rise of conspiracy theories and social media algorithms which guide people towards like-minded, rather than challenging, content.</w:t>
      </w:r>
    </w:p>
    <w:p w:rsidR="00BA3EB5" w:rsidRPr="000F7C97" w:rsidP="009D1052">
      <w:pPr>
        <w:pStyle w:val="NormalWeb"/>
        <w:numPr>
          <w:ilvl w:val="0"/>
          <w:numId w:val="2"/>
        </w:numPr>
        <w:spacing w:before="0" w:beforeAutospacing="0" w:after="0" w:afterAutospacing="0"/>
        <w:rPr>
          <w:rFonts w:ascii="Verdana" w:hAnsi="Verdana"/>
          <w:color w:val="000000" w:themeColor="text1"/>
        </w:rPr>
      </w:pPr>
      <w:r w:rsidRPr="000F7C97">
        <w:rPr>
          <w:rFonts w:ascii="Verdana" w:hAnsi="Verdana"/>
          <w:color w:val="000000" w:themeColor="text1"/>
        </w:rPr>
        <w:t>The offer to adults should relate directly to what they perceive as their personal, social and economic needs and should be designed to benefit society as a whole. This includes opportunities to learn and use mathematical thinking and questioning skills as well as number-crunching and problem-solving.</w:t>
      </w:r>
    </w:p>
    <w:p w:rsidR="00BA3EB5" w:rsidRPr="000F7C97" w:rsidP="00A67B64">
      <w:pPr>
        <w:pStyle w:val="NormalWeb"/>
        <w:numPr>
          <w:ilvl w:val="0"/>
          <w:numId w:val="2"/>
        </w:numPr>
        <w:spacing w:before="0" w:beforeAutospacing="0" w:after="0" w:afterAutospacing="0"/>
        <w:rPr>
          <w:rFonts w:ascii="Verdana" w:hAnsi="Verdana"/>
          <w:b/>
          <w:bCs/>
          <w:color w:val="000000" w:themeColor="text1"/>
        </w:rPr>
      </w:pPr>
      <w:r w:rsidRPr="000F7C97">
        <w:rPr>
          <w:rFonts w:ascii="Verdana" w:hAnsi="Verdana"/>
          <w:color w:val="000000" w:themeColor="text1"/>
        </w:rPr>
        <w:t>Face-to-face opportunities for learning are important but online opportunities geared to adults’ needs and interests, including financial capability, can help to meet the needs of the many adults who are chronically time-poor.</w:t>
      </w:r>
    </w:p>
    <w:p w:rsidR="00BA3EB5"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P="00304BB8">
      <w:pPr>
        <w:pStyle w:val="NormalWeb"/>
        <w:spacing w:before="0" w:beforeAutospacing="0" w:after="0" w:afterAutospacing="0"/>
        <w:ind w:left="720"/>
        <w:rPr>
          <w:rFonts w:ascii="Verdana" w:hAnsi="Verdana"/>
          <w:b/>
          <w:bCs/>
          <w:color w:val="000000" w:themeColor="text1"/>
        </w:rPr>
      </w:pPr>
    </w:p>
    <w:p w:rsidR="006D7E42" w:rsidRPr="000F7C97" w:rsidP="00304BB8">
      <w:pPr>
        <w:pStyle w:val="NormalWeb"/>
        <w:spacing w:before="0" w:beforeAutospacing="0" w:after="0" w:afterAutospacing="0"/>
        <w:ind w:left="720"/>
        <w:rPr>
          <w:rFonts w:ascii="Verdana" w:hAnsi="Verdana"/>
          <w:b/>
          <w:bCs/>
          <w:color w:val="000000" w:themeColor="text1"/>
        </w:rPr>
      </w:pPr>
    </w:p>
    <w:p w:rsidR="00BA3EB5" w:rsidRPr="000F7C97" w:rsidP="009D1052">
      <w:pPr>
        <w:pStyle w:val="NormalWeb"/>
        <w:spacing w:before="0" w:beforeAutospacing="0" w:after="0" w:afterAutospacing="0"/>
        <w:rPr>
          <w:rFonts w:ascii="Verdana" w:hAnsi="Verdana"/>
          <w:b/>
          <w:bCs/>
          <w:color w:val="000000" w:themeColor="text1"/>
        </w:rPr>
      </w:pPr>
    </w:p>
    <w:p w:rsidR="00BA3EB5" w:rsidRPr="000F7C97" w:rsidP="009D1052">
      <w:pPr>
        <w:pStyle w:val="NormalWeb"/>
        <w:spacing w:before="0" w:beforeAutospacing="0" w:after="0" w:afterAutospacing="0"/>
        <w:rPr>
          <w:rFonts w:ascii="Verdana" w:hAnsi="Verdana"/>
          <w:b/>
          <w:bCs/>
          <w:color w:val="000000" w:themeColor="text1"/>
        </w:rPr>
      </w:pPr>
      <w:r w:rsidRPr="000F7C97">
        <w:rPr>
          <w:rFonts w:ascii="Verdana" w:hAnsi="Verdana"/>
          <w:b/>
          <w:bCs/>
          <w:color w:val="000000" w:themeColor="text1"/>
        </w:rPr>
        <w:t>References</w:t>
      </w:r>
    </w:p>
    <w:p w:rsidR="00BA3EB5" w:rsidRPr="000F7C97" w:rsidP="00D367CF">
      <w:pPr>
        <w:pStyle w:val="ALMreferences"/>
        <w:rPr>
          <w:rFonts w:ascii="Verdana" w:hAnsi="Verdana"/>
          <w:sz w:val="24"/>
        </w:rPr>
      </w:pPr>
      <w:r w:rsidRPr="000F7C97">
        <w:rPr>
          <w:rFonts w:ascii="Verdana" w:hAnsi="Verdana"/>
          <w:sz w:val="24"/>
        </w:rPr>
        <w:t xml:space="preserve">Coben, D., Colwell, D., Macrae, S., Boaler, J., Brown, M. &amp; Rhodes, V. (2003). </w:t>
      </w:r>
      <w:r w:rsidRPr="000F7C97">
        <w:rPr>
          <w:rFonts w:ascii="Verdana" w:hAnsi="Verdana"/>
          <w:i/>
          <w:iCs/>
          <w:sz w:val="24"/>
        </w:rPr>
        <w:t>Adult Numeracy: Review of research and related literature</w:t>
      </w:r>
      <w:r w:rsidRPr="000F7C97">
        <w:rPr>
          <w:rFonts w:ascii="Verdana" w:hAnsi="Verdana"/>
          <w:sz w:val="24"/>
        </w:rPr>
        <w:t xml:space="preserve">. London: National Research and Development Centre for Adult Literacy and Numeracy (NRDC). </w:t>
      </w:r>
      <w:r>
        <w:fldChar w:fldCharType="begin"/>
      </w:r>
      <w:r>
        <w:instrText xml:space="preserve"> HYPERLINK "https://dera.ioe.ac.uk/id/eprint/22487/" </w:instrText>
      </w:r>
      <w:r>
        <w:fldChar w:fldCharType="separate"/>
      </w:r>
      <w:r w:rsidRPr="000F7C97">
        <w:rPr>
          <w:rStyle w:val="Hyperlink"/>
          <w:rFonts w:ascii="Verdana" w:hAnsi="Verdana"/>
          <w:color w:val="000000" w:themeColor="text1"/>
          <w:sz w:val="24"/>
        </w:rPr>
        <w:t>https://dera.ioe.ac.uk/id/eprint/22487/</w:t>
      </w:r>
      <w:r>
        <w:fldChar w:fldCharType="end"/>
      </w:r>
      <w:r w:rsidRPr="000F7C97">
        <w:rPr>
          <w:rFonts w:ascii="Verdana" w:hAnsi="Verdana"/>
          <w:sz w:val="24"/>
        </w:rPr>
        <w:t>.</w:t>
      </w:r>
    </w:p>
    <w:p w:rsidR="000F7C97" w:rsidP="00D367CF">
      <w:pPr>
        <w:pStyle w:val="ALMreferences"/>
        <w:rPr>
          <w:rFonts w:ascii="Verdana" w:hAnsi="Verdana"/>
          <w:color w:val="000000" w:themeColor="text1"/>
          <w:sz w:val="24"/>
          <w:shd w:val="clear" w:color="auto" w:fill="FFFFFF"/>
        </w:rPr>
      </w:pPr>
      <w:r w:rsidRPr="000F7C97">
        <w:rPr>
          <w:rFonts w:ascii="Verdana" w:hAnsi="Verdana"/>
          <w:color w:val="000000" w:themeColor="text1"/>
          <w:sz w:val="24"/>
          <w:shd w:val="clear" w:color="auto" w:fill="FFFFFF"/>
        </w:rPr>
        <w:t>Reder, S., Gauly, B. &amp; Lechner, C. (2020) Practice makes perfect: Practice engagement theory and the development of adult literacy and numeracy proficiency. </w:t>
      </w:r>
      <w:r w:rsidRPr="000F7C97">
        <w:rPr>
          <w:rFonts w:ascii="Verdana" w:hAnsi="Verdana"/>
          <w:i/>
          <w:iCs/>
          <w:color w:val="000000" w:themeColor="text1"/>
          <w:sz w:val="24"/>
          <w:shd w:val="clear" w:color="auto" w:fill="FFFFFF"/>
        </w:rPr>
        <w:t>Int Rev Educ</w:t>
      </w:r>
      <w:r w:rsidRPr="000F7C97">
        <w:rPr>
          <w:rFonts w:ascii="Verdana" w:hAnsi="Verdana"/>
          <w:color w:val="000000" w:themeColor="text1"/>
          <w:sz w:val="24"/>
          <w:shd w:val="clear" w:color="auto" w:fill="FFFFFF"/>
        </w:rPr>
        <w:t> </w:t>
      </w:r>
      <w:r w:rsidRPr="000F7C97">
        <w:rPr>
          <w:rFonts w:ascii="Verdana" w:hAnsi="Verdana"/>
          <w:b/>
          <w:bCs/>
          <w:color w:val="000000" w:themeColor="text1"/>
          <w:sz w:val="24"/>
          <w:shd w:val="clear" w:color="auto" w:fill="FFFFFF"/>
        </w:rPr>
        <w:t>66</w:t>
      </w:r>
      <w:r w:rsidRPr="000F7C97">
        <w:rPr>
          <w:rFonts w:ascii="Verdana" w:hAnsi="Verdana"/>
          <w:color w:val="000000" w:themeColor="text1"/>
          <w:sz w:val="24"/>
          <w:shd w:val="clear" w:color="auto" w:fill="FFFFFF"/>
        </w:rPr>
        <w:t>, 267–288. https://doi.org/10.1007/s11159-020-09830-5</w:t>
      </w:r>
    </w:p>
    <w:p w:rsidR="006D7E42" w:rsidP="006D7E42">
      <w:pPr>
        <w:pStyle w:val="ALMreferences"/>
        <w:ind w:left="0" w:firstLine="0"/>
        <w:rPr>
          <w:rFonts w:ascii="Verdana" w:hAnsi="Verdana"/>
          <w:i/>
          <w:color w:val="000000" w:themeColor="text1"/>
          <w:sz w:val="28"/>
          <w:shd w:val="clear" w:color="auto" w:fill="FFFFFF"/>
        </w:rPr>
      </w:pPr>
    </w:p>
    <w:p w:rsidR="006D7E42" w:rsidP="006D7E42">
      <w:pPr>
        <w:pStyle w:val="ALMreferences"/>
        <w:ind w:left="0" w:firstLine="0"/>
        <w:rPr>
          <w:rFonts w:ascii="Verdana" w:hAnsi="Verdana"/>
          <w:i/>
          <w:color w:val="000000" w:themeColor="text1"/>
          <w:sz w:val="28"/>
          <w:shd w:val="clear" w:color="auto" w:fill="FFFFFF"/>
        </w:rPr>
      </w:pPr>
    </w:p>
    <w:p w:rsidR="00BA3EB5" w:rsidRPr="000F7C97" w:rsidP="006D7E42">
      <w:pPr>
        <w:pStyle w:val="ALMreferences"/>
        <w:ind w:left="0" w:firstLine="0"/>
        <w:rPr>
          <w:rFonts w:ascii="Verdana" w:hAnsi="Verdana"/>
          <w:i/>
          <w:sz w:val="28"/>
        </w:rPr>
      </w:pPr>
      <w:r w:rsidRPr="000F7C97">
        <w:rPr>
          <w:rFonts w:ascii="Verdana" w:hAnsi="Verdana"/>
          <w:i/>
          <w:color w:val="000000" w:themeColor="text1"/>
          <w:sz w:val="28"/>
          <w:shd w:val="clear" w:color="auto" w:fill="FFFFFF"/>
        </w:rPr>
        <w:t>1</w:t>
      </w:r>
      <w:r w:rsidR="006D7E42">
        <w:rPr>
          <w:rFonts w:ascii="Verdana" w:hAnsi="Verdana"/>
          <w:i/>
          <w:color w:val="000000" w:themeColor="text1"/>
          <w:sz w:val="28"/>
          <w:shd w:val="clear" w:color="auto" w:fill="FFFFFF"/>
        </w:rPr>
        <w:t>5</w:t>
      </w:r>
      <w:r w:rsidRPr="000F7C97">
        <w:rPr>
          <w:rFonts w:ascii="Verdana" w:hAnsi="Verdana"/>
          <w:i/>
          <w:color w:val="000000" w:themeColor="text1"/>
          <w:sz w:val="28"/>
          <w:shd w:val="clear" w:color="auto" w:fill="FFFFFF"/>
        </w:rPr>
        <w:t xml:space="preserve"> May 2026</w:t>
      </w:r>
    </w:p>
    <w:sectPr>
      <w:headerReference w:type="even" r:id="rId4"/>
      <w:headerReference w:type="default" r:id="rId5"/>
      <w:headerReference w:type="firs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2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2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2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FC1E5E"/>
    <w:multiLevelType w:val="hybridMultilevel"/>
    <w:tmpl w:val="6DE8F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363F20"/>
    <w:multiLevelType w:val="hybridMultilevel"/>
    <w:tmpl w:val="F1EC73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408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AA408D"/>
    <w:rPr>
      <w:b/>
      <w:bCs/>
    </w:rPr>
  </w:style>
  <w:style w:type="character" w:styleId="Emphasis">
    <w:name w:val="Emphasis"/>
    <w:basedOn w:val="DefaultParagraphFont"/>
    <w:uiPriority w:val="20"/>
    <w:qFormat/>
    <w:rsid w:val="00AA408D"/>
    <w:rPr>
      <w:i/>
      <w:iCs/>
    </w:rPr>
  </w:style>
  <w:style w:type="character" w:styleId="Hyperlink">
    <w:name w:val="Hyperlink"/>
    <w:basedOn w:val="DefaultParagraphFont"/>
    <w:uiPriority w:val="99"/>
    <w:unhideWhenUsed/>
    <w:rsid w:val="00056CF1"/>
    <w:rPr>
      <w:color w:val="0563C1" w:themeColor="hyperlink"/>
      <w:u w:val="single"/>
    </w:rPr>
  </w:style>
  <w:style w:type="character" w:customStyle="1" w:styleId="UnresolvedMention1">
    <w:name w:val="Unresolved Mention1"/>
    <w:basedOn w:val="DefaultParagraphFont"/>
    <w:uiPriority w:val="99"/>
    <w:semiHidden/>
    <w:unhideWhenUsed/>
    <w:rsid w:val="00056CF1"/>
    <w:rPr>
      <w:color w:val="605E5C"/>
      <w:shd w:val="clear" w:color="auto" w:fill="E1DFDD"/>
    </w:rPr>
  </w:style>
  <w:style w:type="paragraph" w:customStyle="1" w:styleId="ALMnormal">
    <w:name w:val="ALMnormal"/>
    <w:basedOn w:val="Normal"/>
    <w:link w:val="ALMnormalChar"/>
    <w:rsid w:val="00D21764"/>
    <w:pPr>
      <w:spacing w:after="240"/>
      <w:jc w:val="both"/>
    </w:pPr>
    <w:rPr>
      <w:rFonts w:ascii="Times New Roman" w:eastAsia="Times New Roman" w:hAnsi="Times New Roman" w:cs="Times New Roman"/>
      <w:lang w:eastAsia="en-GB"/>
    </w:rPr>
  </w:style>
  <w:style w:type="character" w:customStyle="1" w:styleId="ALMnormalChar">
    <w:name w:val="ALMnormal Char"/>
    <w:link w:val="ALMnormal"/>
    <w:rsid w:val="00D21764"/>
    <w:rPr>
      <w:rFonts w:ascii="Times New Roman" w:eastAsia="Times New Roman" w:hAnsi="Times New Roman" w:cs="Times New Roman"/>
      <w:lang w:eastAsia="en-GB"/>
    </w:rPr>
  </w:style>
  <w:style w:type="paragraph" w:customStyle="1" w:styleId="ALMreferences">
    <w:name w:val="ALMreferences"/>
    <w:basedOn w:val="Normal"/>
    <w:rsid w:val="00D367CF"/>
    <w:pPr>
      <w:spacing w:after="120"/>
      <w:ind w:left="567" w:hanging="567"/>
    </w:pPr>
    <w:rPr>
      <w:rFonts w:ascii="Times New Roman" w:eastAsia="Times New Roman" w:hAnsi="Times New Roman" w:cs="Times New Roman"/>
      <w:sz w:val="20"/>
      <w:lang w:eastAsia="en-GB"/>
    </w:rPr>
  </w:style>
  <w:style w:type="paragraph" w:styleId="Header">
    <w:name w:val="header"/>
    <w:basedOn w:val="Normal"/>
    <w:link w:val="HeaderChar"/>
    <w:uiPriority w:val="99"/>
    <w:unhideWhenUsed/>
    <w:rsid w:val="00A45228"/>
    <w:pPr>
      <w:tabs>
        <w:tab w:val="center" w:pos="4513"/>
        <w:tab w:val="right" w:pos="9026"/>
      </w:tabs>
    </w:pPr>
  </w:style>
  <w:style w:type="character" w:customStyle="1" w:styleId="HeaderChar">
    <w:name w:val="Header Char"/>
    <w:basedOn w:val="DefaultParagraphFont"/>
    <w:link w:val="Header"/>
    <w:uiPriority w:val="99"/>
    <w:rsid w:val="00A45228"/>
  </w:style>
  <w:style w:type="paragraph" w:styleId="Footer">
    <w:name w:val="footer"/>
    <w:basedOn w:val="Normal"/>
    <w:link w:val="FooterChar"/>
    <w:uiPriority w:val="99"/>
    <w:semiHidden/>
    <w:unhideWhenUsed/>
    <w:rsid w:val="00A45228"/>
    <w:pPr>
      <w:tabs>
        <w:tab w:val="center" w:pos="4513"/>
        <w:tab w:val="right" w:pos="9026"/>
      </w:tabs>
    </w:pPr>
  </w:style>
  <w:style w:type="character" w:customStyle="1" w:styleId="FooterChar">
    <w:name w:val="Footer Char"/>
    <w:basedOn w:val="DefaultParagraphFont"/>
    <w:link w:val="Footer"/>
    <w:uiPriority w:val="99"/>
    <w:semiHidden/>
    <w:rsid w:val="00A45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NUM0064</dc:title>
  <cp:revision>0</cp:revision>
</cp:coreProperties>
</file>