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5489F" w:rsidRPr="00B5489F" w:rsidP="00B5489F">
      <w:pPr>
        <w:jc w:val="center"/>
        <w:rPr>
          <w:rFonts w:ascii="Georgia" w:eastAsia="Georgia" w:hAnsi="Georgia" w:cs="Georgia"/>
          <w:b/>
          <w:bCs/>
          <w:sz w:val="28"/>
          <w:szCs w:val="28"/>
        </w:rPr>
      </w:pPr>
      <w:r w:rsidRPr="00B5489F">
        <w:rPr>
          <w:rFonts w:ascii="Georgia" w:eastAsia="Georgia" w:hAnsi="Georgia" w:cs="Georgia"/>
          <w:b/>
          <w:bCs/>
          <w:sz w:val="28"/>
          <w:szCs w:val="28"/>
        </w:rPr>
        <w:t xml:space="preserve">Written evidence submitted by </w:t>
      </w:r>
      <w:r w:rsidRPr="00B5489F">
        <w:rPr>
          <w:rFonts w:ascii="Georgia" w:eastAsia="Georgia" w:hAnsi="Georgia" w:cs="Georgia"/>
          <w:b/>
          <w:bCs/>
          <w:sz w:val="28"/>
          <w:szCs w:val="28"/>
        </w:rPr>
        <w:t>Michael Wearmouth</w:t>
      </w:r>
      <w:r w:rsidRPr="00B5489F">
        <w:rPr>
          <w:rFonts w:ascii="Georgia" w:eastAsia="Georgia" w:hAnsi="Georgia" w:cs="Georgia"/>
          <w:b/>
          <w:bCs/>
          <w:sz w:val="28"/>
          <w:szCs w:val="28"/>
        </w:rPr>
        <w:t xml:space="preserve"> (CWR0139)</w:t>
      </w:r>
    </w:p>
    <w:p w:rsidR="00B5489F" w:rsidP="00B5489F">
      <w:pPr>
        <w:jc w:val="center"/>
        <w:rPr>
          <w:rFonts w:ascii="Georgia" w:eastAsia="Georgia" w:hAnsi="Georgia" w:cs="Georgia"/>
          <w:sz w:val="28"/>
          <w:szCs w:val="28"/>
        </w:rPr>
      </w:pPr>
    </w:p>
    <w:p w:rsidR="000871C2">
      <w:pPr>
        <w:rPr>
          <w:rFonts w:ascii="Georgia" w:eastAsia="Georgia" w:hAnsi="Georgia" w:cs="Georgia"/>
          <w:sz w:val="28"/>
          <w:szCs w:val="28"/>
        </w:rPr>
      </w:pPr>
      <w:r>
        <w:rPr>
          <w:rFonts w:ascii="Georgia" w:eastAsia="Georgia" w:hAnsi="Georgia" w:cs="Georgia"/>
          <w:sz w:val="28"/>
          <w:szCs w:val="28"/>
        </w:rPr>
        <w:t xml:space="preserve">I’m a grouse keeper in Swaledale and I watch the heather grow taller and </w:t>
      </w:r>
      <w:r>
        <w:rPr>
          <w:rFonts w:ascii="Georgia" w:eastAsia="Georgia" w:hAnsi="Georgia" w:cs="Georgia"/>
          <w:sz w:val="28"/>
          <w:szCs w:val="28"/>
        </w:rPr>
        <w:t>more dense</w:t>
      </w:r>
      <w:r>
        <w:rPr>
          <w:rFonts w:ascii="Georgia" w:eastAsia="Georgia" w:hAnsi="Georgia" w:cs="Georgia"/>
          <w:sz w:val="28"/>
          <w:szCs w:val="28"/>
        </w:rPr>
        <w:t xml:space="preserve"> every year. The restrictions mean there is very little we can do about it. If a fire starts, I’m worried that controlling it will be near impossible. We will have to stand by and watch our countryside burn because of restrictions that seem to have very little justification beyond an agenda against grouse shooting. We see on the television and hear on the radio about catastrophic wildfires up and down the country, and in other countries too, wherever fuel load is not being controlled and the lesson is there to be learned. I strongly believe that we need to act before it is too late.</w:t>
      </w:r>
    </w:p>
    <w:p w:rsidR="000871C2">
      <w:pPr>
        <w:rPr>
          <w:rFonts w:ascii="Georgia" w:eastAsia="Georgia" w:hAnsi="Georgia" w:cs="Georgia"/>
          <w:sz w:val="28"/>
          <w:szCs w:val="28"/>
        </w:rPr>
      </w:pPr>
      <w:r>
        <w:rPr>
          <w:rFonts w:ascii="Georgia" w:eastAsia="Georgia" w:hAnsi="Georgia" w:cs="Georgia"/>
          <w:sz w:val="28"/>
          <w:szCs w:val="28"/>
        </w:rPr>
        <w:t>I would be very willing to take anyone who needs convincing out onto the moor to show them what we are dealing with.</w:t>
      </w:r>
    </w:p>
    <w:p w:rsidR="00B5489F">
      <w:pPr>
        <w:rPr>
          <w:rFonts w:ascii="Georgia" w:eastAsia="Georgia" w:hAnsi="Georgia" w:cs="Georgia"/>
          <w:sz w:val="28"/>
          <w:szCs w:val="28"/>
        </w:rPr>
      </w:pPr>
    </w:p>
    <w:p w:rsidR="00B5489F" w:rsidRPr="00B5489F">
      <w:pPr>
        <w:rPr>
          <w:rFonts w:ascii="Georgia" w:eastAsia="Georgia" w:hAnsi="Georgia" w:cs="Georgia"/>
          <w:b/>
          <w:bCs/>
          <w:sz w:val="28"/>
          <w:szCs w:val="28"/>
        </w:rPr>
      </w:pPr>
      <w:r w:rsidRPr="00B5489F">
        <w:rPr>
          <w:rFonts w:ascii="Georgia" w:eastAsia="Georgia" w:hAnsi="Georgia" w:cs="Georgia"/>
          <w:b/>
          <w:bCs/>
          <w:sz w:val="28"/>
          <w:szCs w:val="28"/>
        </w:rPr>
        <w:t>May 2026</w:t>
      </w:r>
    </w:p>
    <w:p w:rsidR="000871C2"/>
    <w:sectPr>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1" w:fontKey="{A7264D55-C785-4B3E-BFD3-788A97B6E2AB}"/>
    <w:embedBold r:id="rId2" w:fontKey="{E9D9C014-CEB5-462C-B58B-8F88A039BDC8}"/>
  </w:font>
  <w:font w:name="Calibri">
    <w:panose1 w:val="020F0502020204030204"/>
    <w:charset w:val="00"/>
    <w:family w:val="swiss"/>
    <w:pitch w:val="variable"/>
    <w:sig w:usb0="E4002EFF" w:usb1="C200247B" w:usb2="00000009" w:usb3="00000000" w:csb0="000001FF" w:csb1="00000000"/>
    <w:embedRegular r:id="rId3" w:fontKey="{AE783FBC-ADAF-4DE0-9368-51B9138F513B}"/>
  </w:font>
  <w:font w:name="Cambria">
    <w:panose1 w:val="02040503050406030204"/>
    <w:charset w:val="00"/>
    <w:family w:val="roman"/>
    <w:pitch w:val="variable"/>
    <w:sig w:usb0="E00006FF" w:usb1="420024FF" w:usb2="02000000" w:usb3="00000000" w:csb0="0000019F" w:csb1="00000000"/>
    <w:embedRegular r:id="rId4" w:fontKey="{67AD5BB7-8ACE-4C69-B169-8A55E33F6B1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B77B5"/>
  </w:style>
  <w:style w:type="paragraph" w:styleId="Heading1">
    <w:name w:val="heading 1"/>
    <w:basedOn w:val="Normal1"/>
    <w:next w:val="Normal1"/>
    <w:pPr>
      <w:keepNext/>
      <w:keepLines/>
      <w:spacing w:before="400" w:after="120" w:line="240" w:lineRule="auto"/>
      <w:outlineLvl w:val="0"/>
    </w:pPr>
    <w:rPr>
      <w:sz w:val="40"/>
      <w:szCs w:val="40"/>
    </w:rPr>
  </w:style>
  <w:style w:type="paragraph" w:styleId="Heading2">
    <w:name w:val="heading 2"/>
    <w:basedOn w:val="Normal1"/>
    <w:next w:val="Normal1"/>
    <w:pPr>
      <w:keepNext/>
      <w:keepLines/>
      <w:spacing w:before="360" w:after="120" w:line="240" w:lineRule="auto"/>
      <w:outlineLvl w:val="1"/>
    </w:pPr>
    <w:rPr>
      <w:sz w:val="32"/>
      <w:szCs w:val="32"/>
    </w:rPr>
  </w:style>
  <w:style w:type="paragraph" w:styleId="Heading3">
    <w:name w:val="heading 3"/>
    <w:basedOn w:val="Normal1"/>
    <w:next w:val="Normal1"/>
    <w:pPr>
      <w:keepNext/>
      <w:keepLines/>
      <w:spacing w:before="320" w:after="80" w:line="240" w:lineRule="auto"/>
      <w:outlineLvl w:val="2"/>
    </w:pPr>
    <w:rPr>
      <w:color w:val="434343"/>
      <w:sz w:val="28"/>
      <w:szCs w:val="28"/>
    </w:rPr>
  </w:style>
  <w:style w:type="paragraph" w:styleId="Heading4">
    <w:name w:val="heading 4"/>
    <w:basedOn w:val="Normal1"/>
    <w:next w:val="Normal1"/>
    <w:pPr>
      <w:keepNext/>
      <w:keepLines/>
      <w:spacing w:before="280" w:after="80" w:line="240" w:lineRule="auto"/>
      <w:outlineLvl w:val="3"/>
    </w:pPr>
    <w:rPr>
      <w:color w:val="666666"/>
      <w:sz w:val="24"/>
      <w:szCs w:val="24"/>
    </w:rPr>
  </w:style>
  <w:style w:type="paragraph" w:styleId="Heading5">
    <w:name w:val="heading 5"/>
    <w:basedOn w:val="Normal1"/>
    <w:next w:val="Normal1"/>
    <w:pPr>
      <w:keepNext/>
      <w:keepLines/>
      <w:spacing w:before="240" w:after="80" w:line="240" w:lineRule="auto"/>
      <w:outlineLvl w:val="4"/>
    </w:pPr>
    <w:rPr>
      <w:color w:val="666666"/>
    </w:rPr>
  </w:style>
  <w:style w:type="paragraph" w:styleId="Heading6">
    <w:name w:val="heading 6"/>
    <w:basedOn w:val="Normal1"/>
    <w:next w:val="Normal1"/>
    <w:pPr>
      <w:keepNext/>
      <w:keepLines/>
      <w:spacing w:before="240" w:after="80" w:line="240" w:lineRule="auto"/>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customStyle="1" w:styleId="Normal1">
    <w:name w:val="Normal1"/>
  </w:style>
  <w:style w:type="paragraph" w:styleId="Title">
    <w:name w:val="Title"/>
    <w:basedOn w:val="Normal1"/>
    <w:next w:val="Normal1"/>
    <w:pPr>
      <w:keepNext/>
      <w:keepLines/>
      <w:spacing w:after="60" w:line="240" w:lineRule="auto"/>
    </w:pPr>
    <w:rPr>
      <w:sz w:val="52"/>
      <w:szCs w:val="52"/>
    </w:rPr>
  </w:style>
  <w:style w:type="paragraph" w:styleId="Subtitle">
    <w:name w:val="Subtitle"/>
    <w:basedOn w:val="Normal1"/>
    <w:next w:val="Normal1"/>
    <w:pPr>
      <w:keepNext/>
      <w:keepLines/>
      <w:spacing w:after="320" w:line="240" w:lineRule="auto"/>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_rels/fontTable.xml.rels>&#65279;<?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CWR0139</dc:title>
  <cp:revision>0</cp:revision>
</cp:coreProperties>
</file>