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62CBC" w:rsidP="00662CBC">
      <w:pPr>
        <w:jc w:val="center"/>
        <w:rPr>
          <w:b/>
          <w:bCs/>
        </w:rPr>
      </w:pPr>
      <w:r>
        <w:rPr>
          <w:b/>
          <w:bCs/>
        </w:rPr>
        <w:t xml:space="preserve">Written evidence submitted by </w:t>
      </w:r>
      <w:r w:rsidRPr="00662CBC">
        <w:rPr>
          <w:b/>
          <w:bCs/>
        </w:rPr>
        <w:t>Dr Richard Byrne</w:t>
      </w:r>
      <w:r>
        <w:rPr>
          <w:b/>
          <w:bCs/>
        </w:rPr>
        <w:t xml:space="preserve"> (CWR0134)</w:t>
      </w:r>
    </w:p>
    <w:p w:rsidR="00000000" w:rsidRPr="0097755C" w:rsidP="000D6D5A">
      <w:pPr>
        <w:rPr>
          <w:b/>
          <w:bCs/>
        </w:rPr>
      </w:pPr>
      <w:r w:rsidRPr="0097755C">
        <w:rPr>
          <w:b/>
          <w:bCs/>
        </w:rPr>
        <w:t>Climate and weather resilience Inquiry</w:t>
      </w:r>
    </w:p>
    <w:p w:rsidR="00000000" w:rsidP="000D6D5A">
      <w:r>
        <w:t xml:space="preserve">This submission makes comment on the following two elements related to wildfires. </w:t>
      </w:r>
    </w:p>
    <w:p w:rsidR="00000000" w:rsidP="000D6D5A">
      <w:pPr>
        <w:pStyle w:val="ListParagraph"/>
        <w:numPr>
          <w:ilvl w:val="0"/>
          <w:numId w:val="1"/>
        </w:numPr>
      </w:pPr>
      <w:r>
        <w:t>How can land management techniques be best used at a regional level to prevent and control wildfires whilst balancing the needs of different land users? What evidence-gaps are there and how can they be filled?</w:t>
      </w:r>
    </w:p>
    <w:p w:rsidR="00000000" w:rsidP="000D6D5A">
      <w:pPr>
        <w:pStyle w:val="ListParagraph"/>
        <w:numPr>
          <w:ilvl w:val="0"/>
          <w:numId w:val="1"/>
        </w:numPr>
      </w:pPr>
      <w:r>
        <w:t>What role do nature-based solutions, such as improving biodiversity and more resilient landscapes, have in the prevention and control of wildfires?</w:t>
      </w:r>
    </w:p>
    <w:p w:rsidR="00000000" w:rsidP="000D6D5A">
      <w:r>
        <w:t>AI (Co-Pilot) has been used to refine the text.</w:t>
      </w:r>
    </w:p>
    <w:p w:rsidR="00000000" w:rsidP="000D6D5A"/>
    <w:p w:rsidR="00000000" w:rsidP="000D6D5A">
      <w:r w:rsidRPr="000D6D5A">
        <w:rPr>
          <w:b/>
          <w:bCs/>
        </w:rPr>
        <w:t>1.0</w:t>
      </w:r>
      <w:r w:rsidRPr="000D6D5A">
        <w:rPr>
          <w:b/>
          <w:bCs/>
        </w:rPr>
        <w:tab/>
        <w:t>Current Approaches to Wildfire Mitigation</w:t>
      </w:r>
      <w:r>
        <w:t>. In the UK, land management approaches to wildfire mitigation are generally centred on three principal techniques. The first is controlled burning, which reduces accumulated vegetation (fuel load), promotes more natural fire regimes, and limits wildfire severity. The second is vegetation clearance, typically through mechanical thinning, which removes dense undergrowth and small trees. The third is targeted grazing, which reduces fine fuels such as grasses and shrubs; it can also be used strategically to create ‘fuel breaks’.</w:t>
      </w:r>
    </w:p>
    <w:p w:rsidR="00000000" w:rsidP="000D6D5A">
      <w:r>
        <w:t>These approaches are often applied in combination, with burning, thinning and grazing shown to reduce wildfire severity by up to 60–70%</w:t>
      </w:r>
      <w:r>
        <w:rPr>
          <w:rStyle w:val="FootnoteReference"/>
        </w:rPr>
        <w:footnoteReference w:id="2"/>
      </w:r>
      <w:r>
        <w:t>. However, each method presents practical and economic challenges. Grazing animals are effective at reducing fuel loads (while converting biomass into agricultural products), but grazing is only viable where it is economically sustainable. Declining livestock prices frequently result in reduced stocking levels, particularly in upland areas, leading to under-grazing and increased fire risk. Mechanical vegetation removal is becoming increasingly costly and may be restricted in environmentally sensitive areas. Controlled burning, as practised in locations such as the New Forest National Park, is often publicly contentious and can conflict with conservation, landscape, and amenity objectives. Consequently, there is growing tension between farmers, foresters, conservationists, the public, and large landowners (including the water industry and the Ministry of Defence) over appropriate wildfire risk reduction strategies.</w:t>
      </w:r>
    </w:p>
    <w:p w:rsidR="00000000" w:rsidP="000D6D5A">
      <w:r w:rsidRPr="000D6D5A">
        <w:rPr>
          <w:b/>
          <w:bCs/>
        </w:rPr>
        <w:t>2.0</w:t>
      </w:r>
      <w:r w:rsidRPr="000D6D5A">
        <w:rPr>
          <w:b/>
          <w:bCs/>
        </w:rPr>
        <w:tab/>
        <w:t>The Role of Land Management</w:t>
      </w:r>
      <w:r>
        <w:t xml:space="preserve">. A shift towards regional-scale landscape mosaic management offers a potentially more effective approach. This involves creating heterogeneous landscapes composed of patches of differing vegetation types and ages, thereby disrupting fuel continuity and reducing the likelihood of large-scale fire spread. </w:t>
      </w:r>
      <w:r>
        <w:t>Compared with fragmented, individual landholding approaches, this model supports a more strategic and resilient framework for wildfire mitigation.</w:t>
      </w:r>
    </w:p>
    <w:p w:rsidR="00000000" w:rsidP="000D6D5A">
      <w:r>
        <w:t>However, implementing landscape mosaics is complex. It requires coordination across multiple landowners with often divergent objectives, and the design and delivery of such systems are resource-intensive. Ongoing management is also essential to prevent vegetation regrowth and fuel accumulation. While these approaches enhance long-term resilience, the continued use of controlled burning within them can still provoke public and institutional resistance. Overall, landscape mosaic management remains one of the most effective large-scale strategies, but its success depends on sustained coordination, maintenance, and sensitivity to ecological context.</w:t>
      </w:r>
    </w:p>
    <w:p w:rsidR="00000000" w:rsidP="000D6D5A">
      <w:r w:rsidRPr="000D6D5A">
        <w:rPr>
          <w:b/>
          <w:bCs/>
        </w:rPr>
        <w:t>3.0</w:t>
      </w:r>
      <w:r w:rsidRPr="000D6D5A">
        <w:rPr>
          <w:b/>
          <w:bCs/>
        </w:rPr>
        <w:tab/>
        <w:t>Landscape-Scale and Integrated Approaches.</w:t>
      </w:r>
      <w:r>
        <w:t xml:space="preserve"> There is increasing recognition that integrated, landscape-scale management—based on collaboration across public and private stakeholders—is the most viable long-term strategy</w:t>
      </w:r>
      <w:r>
        <w:rPr>
          <w:rStyle w:val="FootnoteReference"/>
        </w:rPr>
        <w:footnoteReference w:id="3"/>
      </w:r>
      <w:r>
        <w:t>. In such systems, traditional tools such as grazing and controlled burning are combined with conservation measures aimed at enhancing biodiversity and ecosystem resilience. This integrated approach enables adaptive land management in response to climate change and local ecological conditions.</w:t>
      </w:r>
    </w:p>
    <w:p w:rsidR="00000000" w:rsidP="000D6D5A">
      <w:r w:rsidRPr="000D6D5A">
        <w:rPr>
          <w:b/>
          <w:bCs/>
        </w:rPr>
        <w:t>3.1</w:t>
      </w:r>
      <w:r>
        <w:tab/>
        <w:t>Nature-based wildfire prevention forms an important component of this model, although its role is nuanced. Rather than a single intervention, it involves restoring ecological processes—particularly herbivory and natural disturbance regimes—that regulate fire behaviour over time. While often framed as “rewilding,” this should be understood pragmatically, encompassing the management of both domesticated and wild herbivores rather than the reintroduction of lost species per se.</w:t>
      </w:r>
    </w:p>
    <w:p w:rsidR="00000000" w:rsidP="000D6D5A">
      <w:r>
        <w:t>The influence of herbivores extends beyond grazing alone. For example, trampling can compact surface litter, potentially increasing moisture retention and reducing fuel flammability in some contexts. More broadly, restoring ecological processes generates multiple co-benefits, including enhanced biodiversity, increased carbon storage, and improved resilience to climatic extremes such as drought, wildfire, and flooding. It also aligns with extensive grazing systems, creating opportunities for payments to farmers and landowners for delivering wider ecosystem services. However, it is important to emphasise that nature-based approaches are not a substitute for active fire management, but rather a complementary, long-term strategy. Central to this is the effective management of soil and water systems.</w:t>
      </w:r>
    </w:p>
    <w:p w:rsidR="00000000" w:rsidP="000D6D5A">
      <w:r w:rsidRPr="000D6D5A">
        <w:rPr>
          <w:b/>
          <w:bCs/>
        </w:rPr>
        <w:t>3.2</w:t>
      </w:r>
      <w:r w:rsidRPr="000D6D5A">
        <w:rPr>
          <w:b/>
          <w:bCs/>
        </w:rPr>
        <w:tab/>
        <w:t xml:space="preserve">Leveraging Nature-Based Approaches </w:t>
      </w:r>
      <w:r>
        <w:rPr>
          <w:b/>
          <w:bCs/>
        </w:rPr>
        <w:t xml:space="preserve">for </w:t>
      </w:r>
      <w:r w:rsidRPr="000D6D5A">
        <w:rPr>
          <w:b/>
          <w:bCs/>
        </w:rPr>
        <w:t>Wildfire Mitigation</w:t>
      </w:r>
      <w:r>
        <w:t xml:space="preserve">. Natural Flood Management (NFM), though traditionally applied to mitigate river and surface water flooding, can also have a significant—albeit indirect—impact on wildfire risk. This is </w:t>
      </w:r>
      <w:r>
        <w:t>because both flooding and wildfire regimes are shaped by landscape hydrology, vegetation structure, and ecosystem condition. The link between these processes is increasingly recognised in climate adaptation policy.</w:t>
      </w:r>
    </w:p>
    <w:p w:rsidR="00000000" w:rsidP="000D6D5A">
      <w:r>
        <w:t>Wildfire risk is strongly influenced by fuel moisture, vegetation characteristics, soil moisture, and drought conditions—all of which are affected by NFM interventions. NFM operates primarily through three mechanisms: re-wetting peatlands, restoring wetlands and floodplains, and slowing surface runoff (e.g. through leaky dams and vegetation management). These measures increase soil moisture, promote greener and less flammable vegetation, and reduce ignition likelihood. Additionally, NFM systems store water during wetter periods and release it gradually, thereby moderating drought intensity and preventing landscapes from becoming highly flammable.</w:t>
      </w:r>
    </w:p>
    <w:p w:rsidR="00000000" w:rsidP="000D6D5A">
      <w:r>
        <w:t>In upland contexts, such approaches have been widely implemented for decades within integrated catchment management systems, particularly to improve water quality (e.g. United Utilities’ SCAMP programme</w:t>
      </w:r>
      <w:r>
        <w:rPr>
          <w:rStyle w:val="FootnoteReference"/>
        </w:rPr>
        <w:footnoteReference w:id="4"/>
      </w:r>
      <w:r>
        <w:t>). Rewetting peat through grip-blocking raises the water table and saturates peat soils, significantly reducing flammability and the risk of deep, persistent peat fires. This also delivers carbon benefits through reduced oxidation. Vegetation management in riparian zones can alter fuel continuity and create favourable microclimates (e.g. increased humidity, reduced wind speeds, and lower temperatures), which may suppress ignition. However, without active management, such areas may accumulate additional fuel loads. This highlights the need for caution in treating nature-based solutions as a panacea; monitoring and adaptive management remain essential.</w:t>
      </w:r>
    </w:p>
    <w:p w:rsidR="00000000" w:rsidP="000D6D5A"/>
    <w:p w:rsidR="00000000" w:rsidP="000D6D5A">
      <w:r w:rsidRPr="000D6D5A">
        <w:rPr>
          <w:b/>
          <w:bCs/>
        </w:rPr>
        <w:t>4.0</w:t>
      </w:r>
      <w:r w:rsidRPr="000D6D5A">
        <w:rPr>
          <w:b/>
          <w:bCs/>
        </w:rPr>
        <w:tab/>
        <w:t>Evidence Gaps.</w:t>
      </w:r>
      <w:r>
        <w:t xml:space="preserve"> Significant evidence gaps remain in relation to nature-based wildfire mitigation. There is currently limited empirical research directly linking NFM interventions to reductions in wildfire frequency or intensity. Much of the existing wildfire literature is derived from Mediterranean or North American contexts, with comparatively little focus on UK upland and temperate peatland systems. Uncertainty also persists regarding the relative effectiveness of tree planting versus open habitat restoration, as well as optimal combinations of NFM with grazing and burning regimes.</w:t>
      </w:r>
    </w:p>
    <w:p w:rsidR="00000000" w:rsidP="000D6D5A">
      <w:r>
        <w:t>Addressing these gaps will require improved understanding of hydrology–fire dynamics, particularly the interactions between soil moisture, vegetation growth, climate change, and fire regimes. Critical thresholds—where increased moisture reduces fire risk, but increased biomass elevates it—must be better defined.</w:t>
      </w:r>
    </w:p>
    <w:p w:rsidR="00000000" w:rsidP="000D6D5A"/>
    <w:p w:rsidR="00000000" w:rsidP="000D6D5A">
      <w:r w:rsidRPr="000D6D5A">
        <w:rPr>
          <w:b/>
          <w:bCs/>
        </w:rPr>
        <w:t>5.0</w:t>
      </w:r>
      <w:r w:rsidRPr="000D6D5A">
        <w:rPr>
          <w:b/>
          <w:bCs/>
        </w:rPr>
        <w:tab/>
        <w:t>Summary.</w:t>
      </w:r>
      <w:r>
        <w:t xml:space="preserve"> Effective wildfire mitigation in the UK requires a coordinated, landscape-scale approach in which nature-based solutions are deployed at catchment level within multifunctional landscapes. These must complement, rather than replace, traditional fuel management strategies such as prescribed burning and grazing. It is also important to recognise that nature-based approaches typically take a decade or more to deliver significant benefits, and their effectiveness may be substantially reduced under extreme drought conditions.</w:t>
      </w:r>
    </w:p>
    <w:p w:rsidR="00000000" w:rsidP="000D6D5A"/>
    <w:p w:rsidR="00000000" w:rsidP="000D6D5A">
      <w:r>
        <w:t>Dr Richard Byrne</w:t>
      </w:r>
    </w:p>
    <w:p w:rsidR="00000000" w:rsidP="000D6D5A">
      <w:r>
        <w:t>Harper Adams University</w:t>
      </w:r>
    </w:p>
    <w:p w:rsidR="00000000" w:rsidRPr="00662CBC" w:rsidP="000D6D5A">
      <w:pPr>
        <w:rPr>
          <w:b/>
          <w:bCs/>
        </w:rPr>
      </w:pPr>
      <w:r w:rsidRPr="00662CBC">
        <w:rPr>
          <w:b/>
          <w:bCs/>
        </w:rPr>
        <w:t>May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F45E9" w:rsidP="000D6D5A">
      <w:pPr>
        <w:spacing w:after="0" w:line="240" w:lineRule="auto"/>
      </w:pPr>
      <w:r>
        <w:separator/>
      </w:r>
    </w:p>
  </w:footnote>
  <w:footnote w:type="continuationSeparator" w:id="1">
    <w:p w:rsidR="00AF45E9" w:rsidP="000D6D5A">
      <w:pPr>
        <w:spacing w:after="0" w:line="240" w:lineRule="auto"/>
      </w:pPr>
      <w:r>
        <w:continuationSeparator/>
      </w:r>
    </w:p>
  </w:footnote>
  <w:footnote w:id="2">
    <w:p w:rsidR="00000000">
      <w:pPr>
        <w:pStyle w:val="FootnoteText"/>
      </w:pPr>
      <w:r>
        <w:rPr>
          <w:rStyle w:val="FootnoteReference"/>
        </w:rPr>
        <w:footnoteRef/>
      </w:r>
      <w:r>
        <w:t xml:space="preserve"> </w:t>
      </w:r>
      <w:r w:rsidRPr="000D6D5A">
        <w:t>https://www.fs.usda.gov/rm/pubs_journals/2024/rmrs_2024_davis_k001.pdf</w:t>
      </w:r>
    </w:p>
  </w:footnote>
  <w:footnote w:id="3">
    <w:p w:rsidR="00000000">
      <w:pPr>
        <w:pStyle w:val="FootnoteText"/>
      </w:pPr>
      <w:r>
        <w:rPr>
          <w:rStyle w:val="FootnoteReference"/>
        </w:rPr>
        <w:footnoteRef/>
      </w:r>
      <w:r>
        <w:t xml:space="preserve"> </w:t>
      </w:r>
      <w:r>
        <w:rPr>
          <w:rStyle w:val="FootnoteReference"/>
        </w:rPr>
        <w:footnoteRef/>
      </w:r>
      <w:r>
        <w:t xml:space="preserve"> </w:t>
      </w:r>
      <w:r w:rsidRPr="00DC5694">
        <w:t>https://www.nature.org/content/dam/tnc/nature/en/documents/Wildfire_Recommendations_Policy.pdf</w:t>
      </w:r>
    </w:p>
  </w:footnote>
  <w:footnote w:id="4">
    <w:p w:rsidR="00000000">
      <w:pPr>
        <w:pStyle w:val="FootnoteText"/>
      </w:pPr>
      <w:r>
        <w:rPr>
          <w:rStyle w:val="FootnoteReference"/>
        </w:rPr>
        <w:footnoteRef/>
      </w:r>
      <w:r>
        <w:t xml:space="preserve"> </w:t>
      </w:r>
      <w:r w:rsidRPr="000D6D5A">
        <w:t>https://hau.repository.guildhe.ac.uk/id/eprint/15870/1/Richard%20Byrne%20integrated%20catchment%20April%202017%20upload.pdf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3734833"/>
    <w:multiLevelType w:val="hybridMultilevel"/>
    <w:tmpl w:val="0510A8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0D6D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6D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6D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D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D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D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D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D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D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D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6D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6D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D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D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D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D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D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D5A"/>
    <w:rPr>
      <w:rFonts w:eastAsiaTheme="majorEastAsia" w:cstheme="majorBidi"/>
      <w:color w:val="272727" w:themeColor="text1" w:themeTint="D8"/>
    </w:rPr>
  </w:style>
  <w:style w:type="paragraph" w:styleId="Title">
    <w:name w:val="Title"/>
    <w:basedOn w:val="Normal"/>
    <w:next w:val="Normal"/>
    <w:link w:val="TitleChar"/>
    <w:uiPriority w:val="10"/>
    <w:qFormat/>
    <w:rsid w:val="000D6D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D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D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D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D5A"/>
    <w:pPr>
      <w:spacing w:before="160"/>
      <w:jc w:val="center"/>
    </w:pPr>
    <w:rPr>
      <w:i/>
      <w:iCs/>
      <w:color w:val="404040" w:themeColor="text1" w:themeTint="BF"/>
    </w:rPr>
  </w:style>
  <w:style w:type="character" w:customStyle="1" w:styleId="QuoteChar">
    <w:name w:val="Quote Char"/>
    <w:basedOn w:val="DefaultParagraphFont"/>
    <w:link w:val="Quote"/>
    <w:uiPriority w:val="29"/>
    <w:rsid w:val="000D6D5A"/>
    <w:rPr>
      <w:i/>
      <w:iCs/>
      <w:color w:val="404040" w:themeColor="text1" w:themeTint="BF"/>
    </w:rPr>
  </w:style>
  <w:style w:type="paragraph" w:styleId="ListParagraph">
    <w:name w:val="List Paragraph"/>
    <w:basedOn w:val="Normal"/>
    <w:uiPriority w:val="34"/>
    <w:qFormat/>
    <w:rsid w:val="000D6D5A"/>
    <w:pPr>
      <w:ind w:left="720"/>
      <w:contextualSpacing/>
    </w:pPr>
  </w:style>
  <w:style w:type="character" w:styleId="IntenseEmphasis">
    <w:name w:val="Intense Emphasis"/>
    <w:basedOn w:val="DefaultParagraphFont"/>
    <w:uiPriority w:val="21"/>
    <w:qFormat/>
    <w:rsid w:val="000D6D5A"/>
    <w:rPr>
      <w:i/>
      <w:iCs/>
      <w:color w:val="0F4761" w:themeColor="accent1" w:themeShade="BF"/>
    </w:rPr>
  </w:style>
  <w:style w:type="paragraph" w:styleId="IntenseQuote">
    <w:name w:val="Intense Quote"/>
    <w:basedOn w:val="Normal"/>
    <w:next w:val="Normal"/>
    <w:link w:val="IntenseQuoteChar"/>
    <w:uiPriority w:val="30"/>
    <w:qFormat/>
    <w:rsid w:val="000D6D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D5A"/>
    <w:rPr>
      <w:i/>
      <w:iCs/>
      <w:color w:val="0F4761" w:themeColor="accent1" w:themeShade="BF"/>
    </w:rPr>
  </w:style>
  <w:style w:type="character" w:styleId="IntenseReference">
    <w:name w:val="Intense Reference"/>
    <w:basedOn w:val="DefaultParagraphFont"/>
    <w:uiPriority w:val="32"/>
    <w:qFormat/>
    <w:rsid w:val="000D6D5A"/>
    <w:rPr>
      <w:b/>
      <w:bCs/>
      <w:smallCaps/>
      <w:color w:val="0F4761" w:themeColor="accent1" w:themeShade="BF"/>
      <w:spacing w:val="5"/>
    </w:rPr>
  </w:style>
  <w:style w:type="paragraph" w:styleId="FootnoteText">
    <w:name w:val="footnote text"/>
    <w:basedOn w:val="Normal"/>
    <w:link w:val="FootnoteTextChar"/>
    <w:uiPriority w:val="99"/>
    <w:semiHidden/>
    <w:unhideWhenUsed/>
    <w:rsid w:val="000D6D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D5A"/>
    <w:rPr>
      <w:sz w:val="20"/>
      <w:szCs w:val="20"/>
    </w:rPr>
  </w:style>
  <w:style w:type="character" w:styleId="FootnoteReference">
    <w:name w:val="footnote reference"/>
    <w:basedOn w:val="DefaultParagraphFont"/>
    <w:uiPriority w:val="99"/>
    <w:semiHidden/>
    <w:unhideWhenUsed/>
    <w:rsid w:val="000D6D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53DCF-7FBE-4D2F-B879-97CBFF8BA629}">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CWR0134</dc:title>
  <cp:revision>0</cp:revision>
</cp:coreProperties>
</file>