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C5E42" w:rsidRPr="00EC5E42" w:rsidP="00EC5E42">
      <w:pPr>
        <w:jc w:val="center"/>
        <w:rPr>
          <w:rFonts w:ascii="Lora" w:eastAsia="Lora" w:hAnsi="Lora" w:cs="Lora"/>
          <w:b/>
          <w:bCs/>
        </w:rPr>
      </w:pPr>
      <w:r w:rsidRPr="00EC5E42">
        <w:rPr>
          <w:rFonts w:ascii="Lora" w:eastAsia="Lora" w:hAnsi="Lora" w:cs="Lora"/>
          <w:b/>
          <w:bCs/>
        </w:rPr>
        <w:t xml:space="preserve">Written evidence submitted by </w:t>
      </w:r>
      <w:r w:rsidRPr="00EC5E42">
        <w:rPr>
          <w:rFonts w:ascii="Lora" w:eastAsia="Lora" w:hAnsi="Lora" w:cs="Lora"/>
          <w:b/>
          <w:bCs/>
        </w:rPr>
        <w:t>Mr Richard Johnson</w:t>
      </w:r>
      <w:r w:rsidRPr="00EC5E42">
        <w:rPr>
          <w:rFonts w:ascii="Lora" w:eastAsia="Lora" w:hAnsi="Lora" w:cs="Lora"/>
          <w:b/>
          <w:bCs/>
        </w:rPr>
        <w:t xml:space="preserve"> (CWR0131)</w:t>
      </w:r>
    </w:p>
    <w:p w:rsidR="00EC5E42">
      <w:pPr>
        <w:rPr>
          <w:rFonts w:ascii="Lora" w:eastAsia="Lora" w:hAnsi="Lora" w:cs="Lora"/>
        </w:rPr>
      </w:pPr>
    </w:p>
    <w:p w:rsidR="009B4EDB">
      <w:pPr>
        <w:rPr>
          <w:rFonts w:ascii="Lora" w:eastAsia="Lora" w:hAnsi="Lora" w:cs="Lora"/>
        </w:rPr>
      </w:pPr>
      <w:r>
        <w:rPr>
          <w:rFonts w:ascii="Lora" w:eastAsia="Lora" w:hAnsi="Lora" w:cs="Lora"/>
        </w:rPr>
        <w:t>Dear EFRA committee,</w:t>
      </w:r>
    </w:p>
    <w:p w:rsidR="009B4EDB">
      <w:pPr>
        <w:rPr>
          <w:rFonts w:ascii="Lora" w:eastAsia="Lora" w:hAnsi="Lora" w:cs="Lora"/>
        </w:rPr>
      </w:pPr>
    </w:p>
    <w:p w:rsidR="009B4EDB">
      <w:pPr>
        <w:rPr>
          <w:rFonts w:ascii="Lora" w:eastAsia="Lora" w:hAnsi="Lora" w:cs="Lora"/>
        </w:rPr>
      </w:pPr>
      <w:r>
        <w:rPr>
          <w:rFonts w:ascii="Lora" w:eastAsia="Lora" w:hAnsi="Lora" w:cs="Lora"/>
        </w:rPr>
        <w:t xml:space="preserve">I look after the </w:t>
      </w:r>
      <w:r>
        <w:rPr>
          <w:rFonts w:ascii="Lora" w:eastAsia="Lora" w:hAnsi="Lora" w:cs="Lora"/>
        </w:rPr>
        <w:t>Simonstone</w:t>
      </w:r>
      <w:r>
        <w:rPr>
          <w:rFonts w:ascii="Lora" w:eastAsia="Lora" w:hAnsi="Lora" w:cs="Lora"/>
        </w:rPr>
        <w:t xml:space="preserve"> Estate, which extends to approximately 13,500 acres in the northwest corner of Wensleydale and includes a significant area of heather moorland.</w:t>
      </w:r>
    </w:p>
    <w:p w:rsidR="009B4EDB">
      <w:pPr>
        <w:rPr>
          <w:rFonts w:ascii="Lora" w:eastAsia="Lora" w:hAnsi="Lora" w:cs="Lora"/>
        </w:rPr>
      </w:pPr>
    </w:p>
    <w:p w:rsidR="009B4EDB">
      <w:pPr>
        <w:rPr>
          <w:rFonts w:ascii="Lora" w:eastAsia="Lora" w:hAnsi="Lora" w:cs="Lora"/>
        </w:rPr>
      </w:pPr>
      <w:r>
        <w:rPr>
          <w:rFonts w:ascii="Lora" w:eastAsia="Lora" w:hAnsi="Lora" w:cs="Lora"/>
        </w:rPr>
        <w:t>I wrote to my local MP Rishi Sunak on this subject last year, and I am sorry to say that the situation has not improved. The fuel load on our moorland continues to grow. The ban on winter burning has meant, according to an RSPB-funded study, a 73% reduction in the area where vegetation is being kept in check by either burning or mowing. On an estate of this size, that represents an enormous and increasing risk.</w:t>
      </w:r>
    </w:p>
    <w:p w:rsidR="009B4EDB">
      <w:pPr>
        <w:rPr>
          <w:rFonts w:ascii="Lora" w:eastAsia="Lora" w:hAnsi="Lora" w:cs="Lora"/>
        </w:rPr>
      </w:pPr>
    </w:p>
    <w:p w:rsidR="009B4EDB">
      <w:pPr>
        <w:rPr>
          <w:rFonts w:ascii="Lora" w:eastAsia="Lora" w:hAnsi="Lora" w:cs="Lora"/>
        </w:rPr>
      </w:pPr>
      <w:r>
        <w:rPr>
          <w:rFonts w:ascii="Lora" w:eastAsia="Lora" w:hAnsi="Lora" w:cs="Lora"/>
        </w:rPr>
        <w:t>What I find difficult to reconcile is the scale of what we stand to lose. The Saddleworth fire in 2018 affected five million people through smoke alone, killed animals and caused lasting damage to the landscape. That happened when fuel loads were considerably lower than they are now. The conditions we are heading into are very dangerous, and the ways available to prevent it are being steadily removed.</w:t>
      </w:r>
    </w:p>
    <w:p w:rsidR="009B4EDB">
      <w:pPr>
        <w:rPr>
          <w:rFonts w:ascii="Lora" w:eastAsia="Lora" w:hAnsi="Lora" w:cs="Lora"/>
        </w:rPr>
      </w:pPr>
    </w:p>
    <w:p w:rsidR="009B4EDB">
      <w:pPr>
        <w:rPr>
          <w:rFonts w:ascii="Lora" w:eastAsia="Lora" w:hAnsi="Lora" w:cs="Lora"/>
        </w:rPr>
      </w:pPr>
      <w:r>
        <w:rPr>
          <w:rFonts w:ascii="Lora" w:eastAsia="Lora" w:hAnsi="Lora" w:cs="Lora"/>
        </w:rPr>
        <w:t>Regards,</w:t>
      </w:r>
    </w:p>
    <w:p w:rsidR="009B4EDB">
      <w:pPr>
        <w:rPr>
          <w:rFonts w:ascii="Lora" w:eastAsia="Lora" w:hAnsi="Lora" w:cs="Lora"/>
        </w:rPr>
      </w:pPr>
    </w:p>
    <w:p w:rsidR="009B4EDB">
      <w:pPr>
        <w:rPr>
          <w:rFonts w:ascii="Lora" w:eastAsia="Lora" w:hAnsi="Lora" w:cs="Lora"/>
        </w:rPr>
      </w:pPr>
      <w:r>
        <w:rPr>
          <w:rFonts w:ascii="Lora" w:eastAsia="Lora" w:hAnsi="Lora" w:cs="Lora"/>
        </w:rPr>
        <w:t>Richard Johnson</w:t>
      </w:r>
    </w:p>
    <w:p w:rsidR="00EC5E42">
      <w:pPr>
        <w:rPr>
          <w:rFonts w:ascii="Lora" w:eastAsia="Lora" w:hAnsi="Lora" w:cs="Lora"/>
        </w:rPr>
      </w:pPr>
    </w:p>
    <w:p w:rsidR="00EC5E42" w:rsidRPr="00EC5E42">
      <w:pPr>
        <w:rPr>
          <w:rFonts w:ascii="Lora" w:eastAsia="Lora" w:hAnsi="Lora" w:cs="Lora"/>
          <w:b/>
          <w:bCs/>
        </w:rPr>
      </w:pPr>
      <w:r w:rsidRPr="00EC5E42">
        <w:rPr>
          <w:rFonts w:ascii="Lora" w:eastAsia="Lora" w:hAnsi="Lora" w:cs="Lora"/>
          <w:b/>
          <w:bCs/>
        </w:rPr>
        <w:t>May 2026</w:t>
      </w:r>
    </w:p>
    <w:sectPr>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ora">
    <w:charset w:val="00"/>
    <w:family w:val="auto"/>
    <w:pitch w:val="variable"/>
    <w:sig w:usb0="A00002FF" w:usb1="5000204B" w:usb2="00000000" w:usb3="00000000" w:csb0="00000097" w:csb1="00000000"/>
    <w:embedRegular r:id="rId1" w:fontKey="{F6151DC9-7660-4E28-A030-8F0522D5A424}"/>
    <w:embedBold r:id="rId2" w:fontKey="{68F44FB2-45E3-4C61-B360-BEFA6ED43A6B}"/>
  </w:font>
  <w:font w:name="Calibri">
    <w:panose1 w:val="020F0502020204030204"/>
    <w:charset w:val="00"/>
    <w:family w:val="swiss"/>
    <w:pitch w:val="variable"/>
    <w:sig w:usb0="E4002EFF" w:usb1="C200247B" w:usb2="00000009" w:usb3="00000000" w:csb0="000001FF" w:csb1="00000000"/>
    <w:embedRegular r:id="rId3" w:fontKey="{32DE1DED-2EE1-4353-9AB4-5BB20ACB5F78}"/>
  </w:font>
  <w:font w:name="Cambria">
    <w:panose1 w:val="02040503050406030204"/>
    <w:charset w:val="00"/>
    <w:family w:val="roman"/>
    <w:pitch w:val="variable"/>
    <w:sig w:usb0="E00006FF" w:usb1="420024FF" w:usb2="02000000" w:usb3="00000000" w:csb0="0000019F" w:csb1="00000000"/>
    <w:embedRegular r:id="rId4" w:fontKey="{84692C1E-8356-46DA-B3C0-7D35211AF67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1">
    <w:name w:val="Normal1"/>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CWR0131</dc:title>
  <cp:revision>0</cp:revision>
</cp:coreProperties>
</file>