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24C6">
      <w:pPr>
        <w:spacing w:after="280"/>
        <w:jc w:val="center"/>
        <w:rPr>
          <w:b/>
          <w:sz w:val="30"/>
        </w:rPr>
      </w:pPr>
      <w:r>
        <w:rPr>
          <w:b/>
          <w:sz w:val="30"/>
        </w:rPr>
        <w:t xml:space="preserve">Written evidence submitted by </w:t>
      </w:r>
      <w:r w:rsidRPr="002024C6">
        <w:rPr>
          <w:b/>
          <w:sz w:val="30"/>
        </w:rPr>
        <w:t>Simon Gurney</w:t>
      </w:r>
      <w:r>
        <w:rPr>
          <w:b/>
          <w:sz w:val="30"/>
        </w:rPr>
        <w:t xml:space="preserve"> (CWR0129)</w:t>
      </w:r>
    </w:p>
    <w:p w:rsidR="00000000">
      <w:pPr>
        <w:spacing w:after="280"/>
        <w:jc w:val="center"/>
      </w:pPr>
      <w:r>
        <w:rPr>
          <w:b/>
          <w:sz w:val="30"/>
        </w:rPr>
        <w:t>Submission to the EFRA Committee: Wildfire Call for Evidence</w:t>
      </w:r>
    </w:p>
    <w:p w:rsidR="00000000">
      <w:r>
        <w:t>The EFRA Committee</w:t>
      </w:r>
    </w:p>
    <w:p w:rsidR="00000000">
      <w:pPr>
        <w:jc w:val="right"/>
      </w:pPr>
      <w:r>
        <w:t>14th May 2026</w:t>
      </w:r>
    </w:p>
    <w:p w:rsidR="00000000">
      <w:r>
        <w:t>Dear Sirs,</w:t>
      </w:r>
    </w:p>
    <w:p w:rsidR="00000000">
      <w:r>
        <w:t xml:space="preserve">This submission is written on behalf of Hurst and </w:t>
      </w:r>
      <w:r>
        <w:t>Chunal</w:t>
      </w:r>
      <w:r>
        <w:t xml:space="preserve"> Moors located in The Peak District, immediately East of the Town of Glossop and co-incidentally immediately to the west of the devastating </w:t>
      </w:r>
      <w:r>
        <w:t>1500 acre</w:t>
      </w:r>
      <w:r>
        <w:t xml:space="preserve"> wildfire which occurred just two weeks ago on National Trust owned moorland to the south of the A57 Snake Pass.</w:t>
      </w:r>
    </w:p>
    <w:p w:rsidR="00000000">
      <w:pPr>
        <w:pStyle w:val="Heading1"/>
      </w:pPr>
      <w:r>
        <w:rPr>
          <w:rFonts w:ascii="Arial" w:eastAsia="Arial" w:hAnsi="Arial"/>
        </w:rPr>
        <w:t xml:space="preserve">Why Hurst &amp; </w:t>
      </w:r>
      <w:r>
        <w:rPr>
          <w:rFonts w:ascii="Arial" w:eastAsia="Arial" w:hAnsi="Arial"/>
        </w:rPr>
        <w:t>Chunal</w:t>
      </w:r>
      <w:r>
        <w:rPr>
          <w:rFonts w:ascii="Arial" w:eastAsia="Arial" w:hAnsi="Arial"/>
        </w:rPr>
        <w:t xml:space="preserve"> is submitting evidence</w:t>
      </w:r>
    </w:p>
    <w:p w:rsidR="00000000">
      <w:r>
        <w:t xml:space="preserve">Hurst &amp; </w:t>
      </w:r>
      <w:r>
        <w:t>Chunal</w:t>
      </w:r>
      <w:r>
        <w:t xml:space="preserve"> is making this submission because its recent experience exposes a serious and deeply frustrating failure in the current system: wildfire risk can be </w:t>
      </w:r>
      <w:r>
        <w:t>recognised</w:t>
      </w:r>
      <w:r>
        <w:t xml:space="preserve"> by Government in principle, yet proportionate wildfire mitigation can still be prevented in practice.</w:t>
      </w:r>
    </w:p>
    <w:p w:rsidR="00000000">
      <w:r>
        <w:t xml:space="preserve">Hurst &amp; </w:t>
      </w:r>
      <w:r>
        <w:t>Chunal</w:t>
      </w:r>
      <w:r>
        <w:t xml:space="preserve"> Moor forms part of a protected upland landscape. The Estate has undertaken long-term environmental management and significant restoration work, including gully blocking, re-profiling and bare peat restoration. It supports </w:t>
      </w:r>
      <w:r>
        <w:t>peatland</w:t>
      </w:r>
      <w:r>
        <w:t xml:space="preserve"> restoration where this is practical, evidence-led and compatible with managing wildfire risk.</w:t>
      </w:r>
    </w:p>
    <w:p w:rsidR="00000000">
      <w:r>
        <w:t xml:space="preserve">During the most recent burning season, Hurst &amp; </w:t>
      </w:r>
      <w:r>
        <w:t>Chunal</w:t>
      </w:r>
      <w:r>
        <w:t xml:space="preserve"> understands that it held the only </w:t>
      </w:r>
      <w:r>
        <w:t>licence</w:t>
      </w:r>
      <w:r>
        <w:t xml:space="preserve"> in England permitting controlled burning on deep peat under the heather and grass burning regime. That </w:t>
      </w:r>
      <w:r>
        <w:t>licence</w:t>
      </w:r>
      <w:r>
        <w:t xml:space="preserve"> was personally approved by the Minister. In granting it, Defra accepted that there was a current wildfire risk and that the submitted management proposal was proportionate to mitigate that risk. The </w:t>
      </w:r>
      <w:r>
        <w:t>licence</w:t>
      </w:r>
      <w:r>
        <w:t xml:space="preserve"> was therefore not for routine moorland management; it was issued because wildfire risk had been </w:t>
      </w:r>
      <w:r>
        <w:t>recognised</w:t>
      </w:r>
      <w:r>
        <w:t xml:space="preserve"> at Ministerial level. Hurst &amp; </w:t>
      </w:r>
      <w:r>
        <w:t>Chunal</w:t>
      </w:r>
      <w:r>
        <w:t xml:space="preserve"> reasonably expected that a </w:t>
      </w:r>
      <w:r>
        <w:t>licence</w:t>
      </w:r>
      <w:r>
        <w:t xml:space="preserve"> granted for that purpose would be capable of being used.</w:t>
      </w:r>
    </w:p>
    <w:p w:rsidR="00000000">
      <w:r>
        <w:t xml:space="preserve">However, the </w:t>
      </w:r>
      <w:r>
        <w:t>licence</w:t>
      </w:r>
      <w:r>
        <w:t xml:space="preserve"> included an additional restoration-plan condition (Condition 6)</w:t>
      </w:r>
      <w:r>
        <w:t xml:space="preserve"> which</w:t>
      </w:r>
      <w:r>
        <w:t xml:space="preserve"> had to be discharged before any burning could take place. In practice, that condition was applied in a way that made the </w:t>
      </w:r>
      <w:r>
        <w:t>licence</w:t>
      </w:r>
      <w:r>
        <w:t xml:space="preserve"> impossible to use. Hurst &amp; </w:t>
      </w:r>
      <w:r>
        <w:t>Chunal</w:t>
      </w:r>
      <w:r>
        <w:t xml:space="preserve"> submitted and revised restoration plans, investing considerable time and effort, but was never given a workable route through this gateway condition.</w:t>
      </w:r>
    </w:p>
    <w:p w:rsidR="00000000">
      <w:r>
        <w:t xml:space="preserve">The concern is not simply that a particular application was refused. It is that a minister-approved wildfire mitigation </w:t>
      </w:r>
      <w:r>
        <w:t>licence</w:t>
      </w:r>
      <w:r>
        <w:t xml:space="preserve"> was rendered unusable by conditions that, in practice, could not realistically be satisfied within the </w:t>
      </w:r>
      <w:r>
        <w:t>licence</w:t>
      </w:r>
      <w:r>
        <w:t xml:space="preserve"> period. Hurst &amp; </w:t>
      </w:r>
      <w:r>
        <w:t>Chunal</w:t>
      </w:r>
      <w:r>
        <w:t xml:space="preserve"> regards that as unfair, unreasonable and contrary to the purpose for which the </w:t>
      </w:r>
      <w:r>
        <w:t>licence</w:t>
      </w:r>
      <w:r>
        <w:t xml:space="preserve"> was granted.</w:t>
      </w:r>
    </w:p>
    <w:p w:rsidR="00000000">
      <w:r>
        <w:t xml:space="preserve">Hurst &amp; </w:t>
      </w:r>
      <w:r>
        <w:t>Chunal</w:t>
      </w:r>
      <w:r>
        <w:t xml:space="preserve"> does not ask the Committee to adjudicate an individual licensing dispute. It offers its experience as a case study of a wider policy problem: current regulation can </w:t>
      </w:r>
      <w:r>
        <w:t>recognise</w:t>
      </w:r>
      <w:r>
        <w:t xml:space="preserve"> wildfire risk while leaving that risk unmanaged on the ground. That gap between policy intention and practical delivery is not a technical inconvenience; it is a regulatory failure that leaves </w:t>
      </w:r>
      <w:r>
        <w:t>recognised</w:t>
      </w:r>
      <w:r>
        <w:t xml:space="preserve"> wildfire risk unmanaged.</w:t>
      </w:r>
    </w:p>
    <w:p w:rsidR="00000000">
      <w:pPr>
        <w:pStyle w:val="Heading2"/>
      </w:pPr>
      <w:r>
        <w:rPr>
          <w:rFonts w:ascii="Arial" w:eastAsia="Arial" w:hAnsi="Arial"/>
        </w:rPr>
        <w:t xml:space="preserve">Q1: How can land management techniques be best used at a regional level to prevent and control </w:t>
      </w:r>
      <w:r>
        <w:rPr>
          <w:rFonts w:ascii="Arial" w:eastAsia="Arial" w:hAnsi="Arial"/>
        </w:rPr>
        <w:t>wildfires</w:t>
      </w:r>
      <w:r>
        <w:rPr>
          <w:rFonts w:ascii="Arial" w:eastAsia="Arial" w:hAnsi="Arial"/>
        </w:rPr>
        <w:t xml:space="preserve"> whilst balancing the needs of different land users? What evidence gaps are there and how can they be filled?</w:t>
      </w:r>
    </w:p>
    <w:p w:rsidR="00000000">
      <w:r>
        <w:t xml:space="preserve">Hurst &amp; </w:t>
      </w:r>
      <w:r>
        <w:t>Chunal</w:t>
      </w:r>
      <w:r>
        <w:t xml:space="preserve"> welcomes the Committee’s focus on land management as a means of preventing and controlling wildfire. Wildfire risk cannot be managed by emergency response alone; it requires active, evidence-led land management at landscape and regional scale.</w:t>
      </w:r>
    </w:p>
    <w:p w:rsidR="00000000">
      <w:r>
        <w:t>The central point is that wildfire prevention requires a toolkit approach. No single intervention will suit every upland site. Land managers need to be able to combine rewetting, grip and gully blocking, grazing, cutting, removal of cut material, access management, public engagement, firebreaks and, where appropriate, carefully controlled prescribed burning.</w:t>
      </w:r>
    </w:p>
    <w:p w:rsidR="00000000">
      <w:r>
        <w:t xml:space="preserve">For upland moorland, the relevant question is not simply whether land is “burned” or “unburned”. The key questions are: what is the vegetation condition; what is the accumulated fuel load; where are likely ignition points; how </w:t>
      </w:r>
      <w:r>
        <w:t>accessible is the site</w:t>
      </w:r>
      <w:r>
        <w:t xml:space="preserve"> to Fire and Rescue Services; how would fire spread; and what interventions would reduce severity and risk?</w:t>
      </w:r>
    </w:p>
    <w:p w:rsidR="00000000">
      <w:r>
        <w:t xml:space="preserve">Hurst &amp; </w:t>
      </w:r>
      <w:r>
        <w:t>Chunal’s</w:t>
      </w:r>
      <w:r>
        <w:t xml:space="preserve"> experience illustrates the point. Restoration work, including gully blocking, re-profiling and bare peat restoration, is important, but it does not automatically address immediate wildfire risk where mature vegetation creates heavy fuel loads.</w:t>
      </w:r>
    </w:p>
    <w:p w:rsidR="00000000">
      <w:r>
        <w:t xml:space="preserve">This illustrates what Hurst &amp; </w:t>
      </w:r>
      <w:r>
        <w:t>Chunal</w:t>
      </w:r>
      <w:r>
        <w:t xml:space="preserve"> considers to be a wider and unacceptable policy failure. A land-management system cannot be effective if it </w:t>
      </w:r>
      <w:r>
        <w:t>recognises</w:t>
      </w:r>
      <w:r>
        <w:t xml:space="preserve"> wildfire risk in principle but prevents proportionate mitigation in practice. Nor can it balance competing land uses if it treats all prescribed fire as inherently contrary to restoration, even where it is proposed as a targeted wildfire-mitigation measure within a wider plan.</w:t>
      </w:r>
    </w:p>
    <w:p w:rsidR="00000000">
      <w:r>
        <w:t>At regional level, wildfire planning should be undertaken at landscape scale. Regional plans should identify high-risk areas, ignition points, access constraints, water sources, fuel-load patterns and locations where intervention would reduce spread. Integrated wildfire resilience plans should combine restoration, vegetation management, grazing, cutting, access management, public-risk measures and emergency response planning, and should be judged by whether they reduce risk overall.</w:t>
      </w:r>
    </w:p>
    <w:p w:rsidR="00000000">
      <w:r>
        <w:t>Policy should also distinguish targeted wildfire-</w:t>
      </w:r>
      <w:r>
        <w:t>mitigation burning</w:t>
      </w:r>
      <w:r>
        <w:t xml:space="preserve"> from routine rotational burning. Burning on deep peat should be controlled, but carefully planned, cool, controlled burning for defined wildfire-mitigation purposes is different from routine burning as a general management practice.</w:t>
      </w:r>
    </w:p>
    <w:p w:rsidR="00000000">
      <w:r>
        <w:t>Fire and Rescue Services should have a formal role in assessing regional wildfire-management plans. Decisions about vegetation, fuel breaks and access routes directly affect operational firefighting, yet Fire and Rescue expertise is not always embedded in land-management decisions.</w:t>
      </w:r>
    </w:p>
    <w:p w:rsidR="00000000">
      <w:r>
        <w:t xml:space="preserve">Land managers should not be placed in the impossible position of being licensed to act on wildfire </w:t>
      </w:r>
      <w:r>
        <w:t>risk, but</w:t>
      </w:r>
      <w:r>
        <w:t xml:space="preserve"> then prevented from acting because they cannot prove that future burning will never again be needed. In our experience, a requirement to “reduce the likelihood” of future burning can become a requirement to demonstrate that future burning will be avoided altogether. It may be realistic to show that a package of measures will reduce future reliance on burning; it may not be realistic to prove that outcome permanently.</w:t>
      </w:r>
    </w:p>
    <w:p w:rsidR="00000000">
      <w:r>
        <w:t xml:space="preserve">The main evidence gaps are practical and site-specific. They include how different interventions affect wildfire severity in upland conditions; how vegetation height, age and structure affect fire </w:t>
      </w:r>
      <w:r>
        <w:t>behaviour</w:t>
      </w:r>
      <w:r>
        <w:t>; how prescribed burning, cutting, grazing and rewetting compare as fuel-management tools; how restoration interacts with short-term wildfire risk; what fuel-load reduction is needed to create effective containment opportunities; and how regulation can avoid delaying mitigation until risk has increased.</w:t>
      </w:r>
    </w:p>
    <w:p w:rsidR="00000000">
      <w:r>
        <w:t>These gaps should be filled through regional wildfire land-management trials and monitoring involving land managers, Natural England, Defra, Fire and Rescue Services, ecologists, peatland specialists and local authorities. Monitoring should include vegetation structure, fuel load, peat condition, hydrology, biodiversity, ignition history, fire spread, smoke impacts, carbon impacts and post-intervention recovery.</w:t>
      </w:r>
    </w:p>
    <w:p w:rsidR="00000000">
      <w:r>
        <w:t xml:space="preserve">Hurst &amp; </w:t>
      </w:r>
      <w:r>
        <w:t>Chunal</w:t>
      </w:r>
      <w:r>
        <w:t xml:space="preserve"> recommends that Government develop a regional wildfire land-management framework that </w:t>
      </w:r>
      <w:r>
        <w:t>recognises</w:t>
      </w:r>
      <w:r>
        <w:t xml:space="preserve"> wildfire mitigation as a legitimate land-management objective; supports integrated site-specific plans; allows a full range of tools, including prescribed burning where justified; formally involves Fire and Rescue Services; clarifies that the aim is to reduce future reliance on burning where practicable, not prove burning will never be needed; and ensures </w:t>
      </w:r>
      <w:r>
        <w:t>licence</w:t>
      </w:r>
      <w:r>
        <w:t xml:space="preserve"> conditions are capable of being discharged within the </w:t>
      </w:r>
      <w:r>
        <w:t>licence</w:t>
      </w:r>
      <w:r>
        <w:t xml:space="preserve"> period.</w:t>
      </w:r>
    </w:p>
    <w:p w:rsidR="00000000">
      <w:pPr>
        <w:pStyle w:val="Heading2"/>
      </w:pPr>
      <w:r>
        <w:rPr>
          <w:rFonts w:ascii="Arial" w:eastAsia="Arial" w:hAnsi="Arial"/>
        </w:rPr>
        <w:t xml:space="preserve">Q2: What </w:t>
      </w:r>
      <w:r>
        <w:rPr>
          <w:rFonts w:ascii="Arial" w:eastAsia="Arial" w:hAnsi="Arial"/>
        </w:rPr>
        <w:t>role</w:t>
      </w:r>
      <w:r>
        <w:rPr>
          <w:rFonts w:ascii="Arial" w:eastAsia="Arial" w:hAnsi="Arial"/>
        </w:rPr>
        <w:t xml:space="preserve"> do nature-based solutions, such as improving biodiversity and more resilient landscapes, have in the prevention and control of wildfires?</w:t>
      </w:r>
    </w:p>
    <w:p w:rsidR="00000000">
      <w:r>
        <w:t xml:space="preserve">Nature-based solutions have a vital role in creating more resilient upland landscapes. But they must be integrated with practical wildfire-risk management. Hurst &amp; </w:t>
      </w:r>
      <w:r>
        <w:t>Chunal’s</w:t>
      </w:r>
      <w:r>
        <w:t xml:space="preserve"> experience shows that, if restoration policy is applied inflexibly, it can prevent the very risk-reduction measures needed to protect peatland, biodiversity, carbon and local communities from severe wildfire.</w:t>
      </w:r>
    </w:p>
    <w:p w:rsidR="00000000">
      <w:pPr>
        <w:pStyle w:val="Heading2"/>
      </w:pPr>
      <w:r>
        <w:rPr>
          <w:rFonts w:ascii="Arial" w:eastAsia="Arial" w:hAnsi="Arial"/>
        </w:rPr>
        <w:t>Q3: How best can Defra funding schemes be used to support land managers to adapt to the increased risk of wildfires?</w:t>
      </w:r>
    </w:p>
    <w:p w:rsidR="00000000">
      <w:r>
        <w:t>Defra funding schemes should help land managers reduce real wildfire risk on the ground. They should not simply fund long-term restoration in isolation from operational fire risk. The most effective approach would be to support integrated, site-specific and regionally coordinated plans that combine nature recovery with practical fuel-load management, emergency access, monitoring and adaptive delivery.</w:t>
      </w:r>
    </w:p>
    <w:p w:rsidR="00000000">
      <w:pPr>
        <w:pStyle w:val="Heading2"/>
      </w:pPr>
      <w:r>
        <w:rPr>
          <w:rFonts w:ascii="Arial" w:eastAsia="Arial" w:hAnsi="Arial"/>
        </w:rPr>
        <w:t>Q4: What impact does the monitoring of wildfires have on our understanding of the causes and risks of these events in the UK, and how can this be improved? Are there international examples or best practices that can be used in a UK context?</w:t>
      </w:r>
    </w:p>
    <w:p w:rsidR="00000000">
      <w:r>
        <w:t xml:space="preserve">Hurst &amp; </w:t>
      </w:r>
      <w:r>
        <w:t>Chunal</w:t>
      </w:r>
      <w:r>
        <w:t xml:space="preserve"> considers that wildfire monitoring is essential, but that current monitoring too often records wildfire incidents after they have occurred, rather than identifying the land-management conditions that shape wildfire risk before ignition and wildfire severity after ignition.</w:t>
      </w:r>
    </w:p>
    <w:p w:rsidR="00000000">
      <w:r>
        <w:t xml:space="preserve">At present, there is a gap between general wildfire statistics and site-specific management decisions. National data may show that wildfire risk is increasing, but land managers need practical evidence about fuel load, vegetation structure, access, hydrology and likely fire </w:t>
      </w:r>
      <w:r>
        <w:t>behaviour</w:t>
      </w:r>
      <w:r>
        <w:t xml:space="preserve"> on individual landscapes.</w:t>
      </w:r>
    </w:p>
    <w:p w:rsidR="00000000">
      <w:r>
        <w:t>Monitoring should therefore include not only the location, date, area and suspected cause of wildfire incidents, but also the condition of the land before the fire. This should include vegetation type, age, height and density, fuel continuity, peat condition, water table, grazing, cutting and burning history, visitor pressure, access routes, water availability and weather conditions.</w:t>
      </w:r>
    </w:p>
    <w:p w:rsidR="00000000">
      <w:r>
        <w:t xml:space="preserve">This matters because ignition risk and severity risk are different. A fire may be started by human action, but its impact will depend heavily on fuel load, landscape structure, weather and the ability of Fire and Rescue Services to access and contain it. Hurst &amp; </w:t>
      </w:r>
      <w:r>
        <w:t>Chunal’s</w:t>
      </w:r>
      <w:r>
        <w:t xml:space="preserve"> concern is not simply that a fire may start, but that accumulated mature vegetation, difficult access and landscape-scale fuel continuity may increase the risk of serious damage to peatland, biodiversity, carbon stores, air quality and nearby communities.</w:t>
      </w:r>
    </w:p>
    <w:p w:rsidR="00000000">
      <w:r>
        <w:t xml:space="preserve">Monitoring should also inform regulatory decisions. Where a land manager seeks permission to carry out wildfire-mitigation work, decision-makers should have evidence on vegetation </w:t>
      </w:r>
      <w:r>
        <w:t>condition</w:t>
      </w:r>
      <w:r>
        <w:t>, fuel load, firefighting constraints and the likely effect of proposed interventions. Without that information, licensing decisions risk being based on broad assumptions rather than the actual risk profile of the site.</w:t>
      </w:r>
    </w:p>
    <w:p w:rsidR="00000000">
      <w:r>
        <w:t xml:space="preserve">Improved monitoring should compare the effects of different management approaches over time, including unmanaged mature vegetation, cutting, cut-and-collect systems, grazing changes, rewetting, sphagnum establishment, strategic firebreaks, controlled prescribed burning and mixed management systems. The purpose should not be to prove that one technique is always right or wrong, but to identify which combinations work </w:t>
      </w:r>
      <w:r>
        <w:t>in particular conditions</w:t>
      </w:r>
      <w:r>
        <w:t>.</w:t>
      </w:r>
    </w:p>
    <w:p w:rsidR="00000000">
      <w:r>
        <w:t>Post-fire monitoring also needs improvement. Assessment should record not only area burned, but burn severity, peat damage, smoke impact, carbon loss, biodiversity impact, water-quality impact, soil erosion, recovery time and response cost. Near-miss events should also be recorded, as they provide important evidence of risk, pressure points and operational needs.</w:t>
      </w:r>
    </w:p>
    <w:p w:rsidR="00000000">
      <w:r>
        <w:t xml:space="preserve">Data is currently fragmented between land managers, Fire and Rescue Services, Natural England, Defra, local authorities, National Parks and research bodies. Hurst &amp; </w:t>
      </w:r>
      <w:r>
        <w:t>Chunal</w:t>
      </w:r>
      <w:r>
        <w:t xml:space="preserve"> recommends a national wildfire land-management monitoring framework drawing together pre-fire land-condition data, Fire and Rescue operational data, post-fire ecological and economic impacts, near-miss reporting, a shared national database, and regional trials comparing different wildfire-risk reduction approaches.</w:t>
      </w:r>
    </w:p>
    <w:p w:rsidR="00000000">
      <w:r>
        <w:t>International examples may be helpful, particularly from countries with more established wildfire regimes, where greater emphasis is placed on fuel management, prescribed fire, strategic firebreaks, public-warning systems, landowner coordination and firefighter access planning. However, these lessons must be adapted to UK upland habitats, peatland protection, public access and protected-site regulation.</w:t>
      </w:r>
    </w:p>
    <w:p w:rsidR="00000000">
      <w:r>
        <w:t>The key international lesson is that wildfire policy must address both ignition and fuel. Public education and fire bans may reduce ignitions, but they do not remove the risk of severe fire where large fuel loads have accumulated. Equally, ecological restoration may improve resilience over time, but it must be monitored alongside operational wildfire risk.</w:t>
      </w:r>
    </w:p>
    <w:p w:rsidR="00000000">
      <w:r>
        <w:t xml:space="preserve">In summary, wildfire monitoring should become a practical management tool, not simply a statistical record. It should help land managers, regulators and Fire and Rescue Services understand where risk is </w:t>
      </w:r>
      <w:r>
        <w:t>building</w:t>
      </w:r>
      <w:r>
        <w:t>, what interventions are working, and how policy should adapt.</w:t>
      </w:r>
    </w:p>
    <w:p w:rsidR="00000000">
      <w:pPr>
        <w:pStyle w:val="Heading2"/>
      </w:pPr>
      <w:r>
        <w:rPr>
          <w:rFonts w:ascii="Arial" w:eastAsia="Arial" w:hAnsi="Arial"/>
        </w:rPr>
        <w:t>Q5: What resources and training do emergency services and local authorities need to respond to the increasing number of wildfires, particularly in rural and hard-to-reach areas?</w:t>
      </w:r>
    </w:p>
    <w:p w:rsidR="00000000">
      <w:r>
        <w:t>Emergency services and local authorities need resources not only to fight wildfires, but to plan for them. In rural and hard-to-reach landscapes, response capacity is inseparable from land management. The most effective wildfire response is one that has been prepared in advance, with Fire and Rescue Services, local authorities and land managers working together to reduce risk before ignition occurs.</w:t>
      </w:r>
    </w:p>
    <w:p w:rsidR="00000000">
      <w:pPr>
        <w:pStyle w:val="Heading2"/>
      </w:pPr>
      <w:r>
        <w:rPr>
          <w:rFonts w:ascii="Arial" w:eastAsia="Arial" w:hAnsi="Arial"/>
        </w:rPr>
        <w:t xml:space="preserve">Q6: What are the most effective activities for tackling the human causes of wildfire ignition, for example public engagement and campaigns? How can the UK Government best support the delivery of these activities </w:t>
      </w:r>
      <w:r>
        <w:rPr>
          <w:rFonts w:ascii="Arial" w:eastAsia="Arial" w:hAnsi="Arial"/>
        </w:rPr>
        <w:t>at</w:t>
      </w:r>
      <w:r>
        <w:rPr>
          <w:rFonts w:ascii="Arial" w:eastAsia="Arial" w:hAnsi="Arial"/>
        </w:rPr>
        <w:t xml:space="preserve"> both a local and national scale?</w:t>
      </w:r>
    </w:p>
    <w:p w:rsidR="00000000">
      <w:r>
        <w:t xml:space="preserve">The most effective approach to tackling human causes of wildfire ignition is a combination of national awareness, local restrictions, clear public instructions, digital communication, education and enforcement. However, ignition prevention must not be treated as a substitute for managing wildfire severity. Even with successful public engagement, some ignitions will still occur. Government policy must therefore combine </w:t>
      </w:r>
      <w:r>
        <w:t>behaviour</w:t>
      </w:r>
      <w:r>
        <w:t xml:space="preserve"> change with practical land management to ensure that fires, when they do start, are less likely to become severe, damaging and difficult to control.</w:t>
      </w:r>
    </w:p>
    <w:p w:rsidR="00000000">
      <w:pPr>
        <w:pStyle w:val="Heading2"/>
      </w:pPr>
      <w:r>
        <w:rPr>
          <w:rFonts w:ascii="Arial" w:eastAsia="Arial" w:hAnsi="Arial"/>
        </w:rPr>
        <w:t>Q7: What policies are in place, or are needed, to reduce the severity of wildfires and their socio-economic impacts on both agricultural land and at rural-urban boundaries?</w:t>
      </w:r>
    </w:p>
    <w:p w:rsidR="00000000">
      <w:r>
        <w:t xml:space="preserve">Existing policy does not yet </w:t>
      </w:r>
      <w:r>
        <w:t>give</w:t>
      </w:r>
      <w:r>
        <w:t xml:space="preserve"> sufficient practical weight to this severity question. </w:t>
      </w:r>
      <w:r>
        <w:t>In particular, protected-site</w:t>
      </w:r>
      <w:r>
        <w:t xml:space="preserve"> and peatland regulation can focus heavily on preventing certain land-management activities without always asking whether the absence of active management may increase the severity of </w:t>
      </w:r>
      <w:r>
        <w:t>a future</w:t>
      </w:r>
      <w:r>
        <w:t xml:space="preserve"> wildfire. That is a serious and unacceptable omission. </w:t>
      </w:r>
      <w:r>
        <w:t>A severe</w:t>
      </w:r>
      <w:r>
        <w:t xml:space="preserve"> wildfire can cause precisely the environmental harm that regulation is intended to prevent.</w:t>
      </w:r>
    </w:p>
    <w:p w:rsidR="00000000">
      <w:r>
        <w:t xml:space="preserve">Hurst &amp; </w:t>
      </w:r>
      <w:r>
        <w:t>Chunal’s</w:t>
      </w:r>
      <w:r>
        <w:t xml:space="preserve"> experience illustrates this problem. Defra accepted that there was a current wildfire risk and that the Estate’s proposed management was proportionate to mitigate that risk. A </w:t>
      </w:r>
      <w:r>
        <w:t>licence</w:t>
      </w:r>
      <w:r>
        <w:t xml:space="preserve"> was granted, but the restoration-plan condition attached to it was applied in a way that prevented any use of the </w:t>
      </w:r>
      <w:r>
        <w:t>licence</w:t>
      </w:r>
      <w:r>
        <w:t xml:space="preserve">. The result was that the acknowledged wildfire risk remained unmanaged. When an extension was later refused, the fact that the </w:t>
      </w:r>
      <w:r>
        <w:t>licence</w:t>
      </w:r>
      <w:r>
        <w:t xml:space="preserve"> had remained unused was relied upon as part of the reasoning.</w:t>
      </w:r>
    </w:p>
    <w:p w:rsidR="00000000">
      <w:r>
        <w:t xml:space="preserve">Hurst &amp; </w:t>
      </w:r>
      <w:r>
        <w:t>Chunal</w:t>
      </w:r>
      <w:r>
        <w:t xml:space="preserve"> regards that as a clear example of regulatory circularity and unfairness. Wildfire risk is </w:t>
      </w:r>
      <w:r>
        <w:t>recognised</w:t>
      </w:r>
      <w:r>
        <w:t xml:space="preserve">; mitigation is licensed; a condition prevents the mitigation from taking place; the </w:t>
      </w:r>
      <w:r>
        <w:t>licence</w:t>
      </w:r>
      <w:r>
        <w:t xml:space="preserve"> </w:t>
      </w:r>
      <w:r>
        <w:t xml:space="preserve">remains unused; and the non-use is then treated as a reason not to extend or continue the </w:t>
      </w:r>
      <w:r>
        <w:t>licence</w:t>
      </w:r>
      <w:r>
        <w:t xml:space="preserve">. Such a process does not reduce wildfire severity. It leaves land managers unable to act while the very risk </w:t>
      </w:r>
      <w:r>
        <w:t>recognised</w:t>
      </w:r>
      <w:r>
        <w:t xml:space="preserve"> by Government remains on the ground.</w:t>
      </w:r>
    </w:p>
    <w:p w:rsidR="00000000">
      <w:r>
        <w:t xml:space="preserve">Policies are therefore needed to ensure that wildfire-risk mitigation is treated as a legitimate environmental and socio-economic protection objective. This is particularly important where the consequences of wildfire would include damage to protected habitats, carbon-rich peat, agricultural land, </w:t>
      </w:r>
      <w:r>
        <w:t>neighbouring</w:t>
      </w:r>
      <w:r>
        <w:t xml:space="preserve"> communities and rural infrastructure.</w:t>
      </w:r>
    </w:p>
    <w:p w:rsidR="00000000">
      <w:r>
        <w:t>The first policy need is a national wildfire resilience strategy. This should cover prevention, severity reduction, response and recovery. It should integrate Defra land-management policy with Fire and Rescue operational planning, local authority resilience work, public-health planning and rural economic protection.</w:t>
      </w:r>
    </w:p>
    <w:p w:rsidR="00000000">
      <w:r>
        <w:t xml:space="preserve">The second need is a clear policy distinction between routine burning and targeted prescribed fire for wildfire mitigation. Hurst &amp; </w:t>
      </w:r>
      <w:r>
        <w:t>Chunal</w:t>
      </w:r>
      <w:r>
        <w:t xml:space="preserve"> </w:t>
      </w:r>
      <w:r>
        <w:t>recognises</w:t>
      </w:r>
      <w:r>
        <w:t xml:space="preserve"> that </w:t>
      </w:r>
      <w:r>
        <w:t>burning on</w:t>
      </w:r>
      <w:r>
        <w:t xml:space="preserve"> deep peat should be regulated and controlled. However, not all prescribed </w:t>
      </w:r>
      <w:r>
        <w:t>fire is</w:t>
      </w:r>
      <w:r>
        <w:t xml:space="preserve"> the same. Carefully planned, cool, controlled burning designed to reduce fuel load or create strategic control points should not automatically be treated as contrary to restoration or nature recovery. In some circumstances, it may reduce the risk of much greater environmental and socio-economic harm.</w:t>
      </w:r>
    </w:p>
    <w:p w:rsidR="00000000">
      <w:r>
        <w:t>The third need is a policy requirement for landscape-scale wildfire risk assessments. These should identify fuel-load patterns, ignition pressures, fire-spread pathways, access constraints, water sources, vulnerable communities, agricultural assets, infrastructure and protected habitats. Such assessments should inform both land-management funding and regulatory decisions.</w:t>
      </w:r>
    </w:p>
    <w:p w:rsidR="00000000">
      <w:r>
        <w:t>The fourth need is a policy framework for strategic fuel management. This should support a range of interventions, including cutting, cut-and-collect, grazing, vegetation diversification, firebreaks, rewetting, access management and prescribed burning where justified. The appropriate method will depend on the site. A policy that effectively excludes one tool in all circumstances risks making some landscapes harder to protect.</w:t>
      </w:r>
    </w:p>
    <w:p w:rsidR="00000000">
      <w:r>
        <w:t xml:space="preserve">The fifth need is to ensure that </w:t>
      </w:r>
      <w:r>
        <w:t>licence</w:t>
      </w:r>
      <w:r>
        <w:t xml:space="preserve"> and consent conditions are practical and dischargeable. Where Government grants a wildfire-mitigation </w:t>
      </w:r>
      <w:r>
        <w:t>licence</w:t>
      </w:r>
      <w:r>
        <w:t xml:space="preserve">, any conditions attached to that </w:t>
      </w:r>
      <w:r>
        <w:t>licence</w:t>
      </w:r>
      <w:r>
        <w:t xml:space="preserve"> should be capable of being satisfied within the </w:t>
      </w:r>
      <w:r>
        <w:t>licence</w:t>
      </w:r>
      <w:r>
        <w:t xml:space="preserve"> period. They should not require land managers to prove matters that cannot realistically be proven, such as that burning will never again be required. A more workable test is whether the proposed management reduces wildfire risk and reduces future reliance on burning where practicable.</w:t>
      </w:r>
    </w:p>
    <w:p w:rsidR="00000000">
      <w:r>
        <w:t xml:space="preserve">Policy should also address rural-urban boundaries, economic impacts on land-based businesses and post-fire recovery, including erosion control, water-quality protection, peat </w:t>
      </w:r>
      <w:r>
        <w:t>stabilisation</w:t>
      </w:r>
      <w:r>
        <w:t>, habitat recovery and public-health communications.</w:t>
      </w:r>
    </w:p>
    <w:p w:rsidR="00000000">
      <w:r>
        <w:t xml:space="preserve">Hurst &amp; </w:t>
      </w:r>
      <w:r>
        <w:t>Chunal</w:t>
      </w:r>
      <w:r>
        <w:t xml:space="preserve"> recommends that Government should introduce or strengthen policies to:</w:t>
      </w:r>
    </w:p>
    <w:p w:rsidR="00000000">
      <w:pPr>
        <w:pStyle w:val="ListNumber"/>
      </w:pPr>
      <w:r>
        <w:t>establish a national wildfire resilience strategy covering prevention, severity reduction, response and recovery;</w:t>
      </w:r>
    </w:p>
    <w:p w:rsidR="00000000">
      <w:pPr>
        <w:pStyle w:val="ListNumber"/>
      </w:pPr>
      <w:r>
        <w:t>treat wildfire severity reduction as a core land-management objective;</w:t>
      </w:r>
    </w:p>
    <w:p w:rsidR="00000000">
      <w:pPr>
        <w:pStyle w:val="ListNumber"/>
      </w:pPr>
      <w:r>
        <w:t>require landscape-scale wildfire risk assessments in high-risk upland and rural-urban fringe areas;</w:t>
      </w:r>
    </w:p>
    <w:p w:rsidR="00000000">
      <w:pPr>
        <w:pStyle w:val="ListNumber"/>
      </w:pPr>
      <w:r>
        <w:t>support strategic fuel management using a full range of site-specific tools, including targeted prescribed burning where justified;</w:t>
      </w:r>
    </w:p>
    <w:p w:rsidR="00000000">
      <w:pPr>
        <w:pStyle w:val="ListNumber"/>
      </w:pPr>
      <w:r>
        <w:t>ensure protected-site regulation considers the environmental harm of severe wildfire as well as the impacts of proposed management;</w:t>
      </w:r>
    </w:p>
    <w:p w:rsidR="00000000">
      <w:pPr>
        <w:pStyle w:val="ListNumber"/>
      </w:pPr>
      <w:r>
        <w:t xml:space="preserve">require Fire and Rescue Service input into wildfire-risk land-management plans and relevant </w:t>
      </w:r>
      <w:r>
        <w:t>licences</w:t>
      </w:r>
      <w:r>
        <w:t>;</w:t>
      </w:r>
    </w:p>
    <w:p w:rsidR="00000000">
      <w:pPr>
        <w:pStyle w:val="ListNumber"/>
      </w:pPr>
      <w:r>
        <w:t xml:space="preserve">ensure </w:t>
      </w:r>
      <w:r>
        <w:t>licence</w:t>
      </w:r>
      <w:r>
        <w:t xml:space="preserve"> conditions are realistic, clear and capable of being discharged, and publish data on how such conditions operate in practice.</w:t>
      </w:r>
    </w:p>
    <w:p w:rsidR="00000000">
      <w:r>
        <w:t xml:space="preserve">In summary, policies to reduce wildfire severity must be practical, integrated and site-specific. They must </w:t>
      </w:r>
      <w:r>
        <w:t>recognise</w:t>
      </w:r>
      <w:r>
        <w:t xml:space="preserve"> that unmanaged fuel load can increase the environmental, social and economic consequences of wildfire. Hurst &amp; </w:t>
      </w:r>
      <w:r>
        <w:t>Chunal’s</w:t>
      </w:r>
      <w:r>
        <w:t xml:space="preserve"> experience shows that current policy can </w:t>
      </w:r>
      <w:r>
        <w:t>recognise</w:t>
      </w:r>
      <w:r>
        <w:t xml:space="preserve"> wildfire risk while preventing proportionate mitigation. That gap needs to be closed if Government is to reduce the severity and socio-economic impact of wildfires on agricultural land, protected landscapes and rural-urban communities.</w:t>
      </w:r>
    </w:p>
    <w:p w:rsidR="00000000">
      <w:pPr>
        <w:pStyle w:val="Heading2"/>
      </w:pPr>
      <w:r>
        <w:rPr>
          <w:rFonts w:ascii="Arial" w:eastAsia="Arial" w:hAnsi="Arial"/>
        </w:rPr>
        <w:t>Q8: Given that responsibility is spread across government departments and bodies, how should the Government coordinate a cross-departmental approach to tackle the increasing risk of wildfires?</w:t>
      </w:r>
    </w:p>
    <w:p w:rsidR="00000000">
      <w:r>
        <w:t xml:space="preserve">The Government needs to move from fragmented responsibility to coordinated delivery. Wildfire risk sits at the intersection of climate resilience, land management, biodiversity, carbon protection, public health, emergency response and rural economics. A cross-departmental approach must therefore be operational, not merely advisory. Hurst &amp; </w:t>
      </w:r>
      <w:r>
        <w:t>Chunal’s</w:t>
      </w:r>
      <w:r>
        <w:t xml:space="preserve"> experience shows that, without coordination, the system can </w:t>
      </w:r>
      <w:r>
        <w:t>recognise</w:t>
      </w:r>
      <w:r>
        <w:t xml:space="preserve"> wildfire risk while leaving land managers unable to act. That is neither adequate nor fair to land managers who are expected to manage wildfire risk but are.</w:t>
      </w:r>
    </w:p>
    <w:p w:rsidR="00000000">
      <w:r>
        <w:t>Yours faithfully,</w:t>
      </w:r>
    </w:p>
    <w:p w:rsidR="00000000">
      <w:r>
        <w:t>Simon Gurney &amp; Co. Limited</w:t>
      </w:r>
    </w:p>
    <w:p w:rsidR="002024C6"/>
    <w:p w:rsidR="002024C6" w:rsidRPr="002024C6">
      <w:pPr>
        <w:rPr>
          <w:b/>
          <w:bCs/>
        </w:rPr>
      </w:pPr>
      <w:r w:rsidRPr="002024C6">
        <w:rPr>
          <w:b/>
          <w:bCs/>
        </w:rPr>
        <w:t>May 2026</w:t>
      </w:r>
    </w:p>
    <w:sectPr>
      <w:pgSz w:w="11909" w:h="16834"/>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C693F"/>
    <w:pPr>
      <w:spacing w:after="16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CWR0129</dc:title>
  <cp:revision>0</cp:revision>
</cp:coreProperties>
</file>