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81323" w:rsidRPr="002A6843" w:rsidP="004C11A8">
      <w:pPr>
        <w:widowControl w:val="0"/>
        <w:suppressAutoHyphens/>
        <w:autoSpaceDE w:val="0"/>
        <w:autoSpaceDN w:val="0"/>
        <w:spacing w:line="259" w:lineRule="auto"/>
        <w:rPr>
          <w:rFonts w:ascii="Calibri" w:eastAsia="Arial Nova" w:hAnsi="Calibri" w:cs="Calibri"/>
          <w:b/>
          <w:bCs/>
          <w:kern w:val="0"/>
          <w:sz w:val="22"/>
          <w:szCs w:val="22"/>
          <w:lang w:val="en-US" w:eastAsia="en-GB"/>
        </w:rPr>
      </w:pPr>
      <w:bookmarkStart w:id="0" w:name="_Hlk211339302"/>
      <w:bookmarkStart w:id="1" w:name="OLE_LINK14"/>
      <w:r w:rsidRPr="00402B86">
        <w:rPr>
          <w:rFonts w:ascii="Calibri" w:eastAsia="Arial Nova" w:hAnsi="Calibri" w:cs="Calibri"/>
          <w:b/>
          <w:bCs/>
          <w:kern w:val="0"/>
          <w:sz w:val="22"/>
          <w:szCs w:val="22"/>
          <w:lang w:val="en-US" w:eastAsia="en-GB"/>
        </w:rPr>
        <w:t xml:space="preserve">Written evidence submitted by </w:t>
      </w:r>
      <w:r w:rsidRPr="00881323">
        <w:rPr>
          <w:rFonts w:ascii="Calibri" w:eastAsia="Arial Nova" w:hAnsi="Calibri" w:cs="Calibri"/>
          <w:b/>
          <w:bCs/>
          <w:kern w:val="0"/>
          <w:sz w:val="22"/>
          <w:szCs w:val="22"/>
          <w:lang w:val="en-US" w:eastAsia="en-GB"/>
        </w:rPr>
        <w:t>Dr Tom Fleming and Professor Meg Russell FBA</w:t>
      </w:r>
      <w:r w:rsidR="004C11A8">
        <w:rPr>
          <w:rFonts w:ascii="Calibri" w:eastAsia="Arial Nova" w:hAnsi="Calibri" w:cs="Calibri"/>
          <w:b/>
          <w:bCs/>
          <w:kern w:val="0"/>
          <w:sz w:val="22"/>
          <w:szCs w:val="22"/>
          <w:lang w:val="en-US" w:eastAsia="en-GB"/>
        </w:rPr>
        <w:t xml:space="preserve"> (</w:t>
      </w:r>
      <w:r w:rsidRPr="004C11A8" w:rsidR="004C11A8">
        <w:rPr>
          <w:rFonts w:ascii="Calibri" w:eastAsia="Arial Nova" w:hAnsi="Calibri" w:cs="Calibri"/>
          <w:b/>
          <w:bCs/>
          <w:kern w:val="0"/>
          <w:sz w:val="22"/>
          <w:szCs w:val="22"/>
          <w:lang w:eastAsia="en-GB"/>
        </w:rPr>
        <w:t>UCL Constitution Unit</w:t>
      </w:r>
      <w:r w:rsidR="004C11A8">
        <w:rPr>
          <w:rFonts w:ascii="Calibri" w:eastAsia="Arial Nova" w:hAnsi="Calibri" w:cs="Calibri"/>
          <w:b/>
          <w:bCs/>
          <w:kern w:val="0"/>
          <w:sz w:val="22"/>
          <w:szCs w:val="22"/>
          <w:lang w:eastAsia="en-GB"/>
        </w:rPr>
        <w:t>)</w:t>
      </w:r>
      <w:r w:rsidRPr="00402B86">
        <w:rPr>
          <w:rFonts w:ascii="Calibri" w:eastAsia="Arial Nova" w:hAnsi="Calibri" w:cs="Calibri"/>
          <w:b/>
          <w:bCs/>
          <w:kern w:val="0"/>
          <w:sz w:val="22"/>
          <w:szCs w:val="22"/>
          <w:lang w:val="en-US" w:eastAsia="en-GB"/>
        </w:rPr>
        <w:t xml:space="preserve"> (BBB001</w:t>
      </w:r>
      <w:r>
        <w:rPr>
          <w:rFonts w:ascii="Calibri" w:eastAsia="Arial Nova" w:hAnsi="Calibri" w:cs="Calibri"/>
          <w:b/>
          <w:bCs/>
          <w:kern w:val="0"/>
          <w:sz w:val="22"/>
          <w:szCs w:val="22"/>
          <w:lang w:val="en-US" w:eastAsia="en-GB"/>
        </w:rPr>
        <w:t>7</w:t>
      </w:r>
      <w:r w:rsidRPr="00402B86">
        <w:rPr>
          <w:rFonts w:ascii="Calibri" w:eastAsia="Arial Nova" w:hAnsi="Calibri" w:cs="Calibri"/>
          <w:b/>
          <w:bCs/>
          <w:kern w:val="0"/>
          <w:sz w:val="22"/>
          <w:szCs w:val="22"/>
          <w:lang w:val="en-US" w:eastAsia="en-GB"/>
        </w:rPr>
        <w:t>)</w:t>
      </w:r>
      <w:bookmarkEnd w:id="0"/>
      <w:bookmarkEnd w:id="1"/>
    </w:p>
    <w:p w:rsidR="00881323" w:rsidP="00B450CF">
      <w:pPr>
        <w:spacing w:line="276" w:lineRule="auto"/>
        <w:rPr>
          <w:rFonts w:ascii="Calibri" w:hAnsi="Calibri" w:cs="Calibri"/>
          <w:b/>
          <w:bCs/>
          <w:sz w:val="22"/>
          <w:szCs w:val="22"/>
        </w:rPr>
      </w:pPr>
    </w:p>
    <w:p w:rsidR="00FC7422" w:rsidRPr="00B450CF" w:rsidP="00B450CF">
      <w:pPr>
        <w:spacing w:line="276" w:lineRule="auto"/>
        <w:rPr>
          <w:rFonts w:ascii="Calibri" w:hAnsi="Calibri" w:cs="Calibri"/>
          <w:sz w:val="22"/>
          <w:szCs w:val="22"/>
        </w:rPr>
      </w:pPr>
      <w:r w:rsidRPr="00B450CF">
        <w:rPr>
          <w:rFonts w:ascii="Calibri" w:hAnsi="Calibri" w:cs="Calibri"/>
          <w:b/>
          <w:bCs/>
          <w:sz w:val="22"/>
          <w:szCs w:val="22"/>
        </w:rPr>
        <w:t>1. Introduction</w:t>
      </w:r>
    </w:p>
    <w:p w:rsidR="00FC7422" w:rsidRPr="00B450CF" w:rsidP="00156376">
      <w:pPr>
        <w:pStyle w:val="ListParagraph"/>
        <w:numPr>
          <w:ilvl w:val="1"/>
          <w:numId w:val="9"/>
        </w:numPr>
        <w:spacing w:line="276" w:lineRule="auto"/>
        <w:ind w:left="431" w:hanging="431"/>
        <w:contextualSpacing w:val="0"/>
        <w:jc w:val="both"/>
        <w:rPr>
          <w:rFonts w:ascii="Calibri" w:hAnsi="Calibri" w:cs="Calibri"/>
          <w:sz w:val="22"/>
          <w:szCs w:val="22"/>
        </w:rPr>
      </w:pPr>
      <w:r w:rsidRPr="00B450CF">
        <w:rPr>
          <w:rFonts w:ascii="Calibri" w:hAnsi="Calibri" w:cs="Calibri"/>
          <w:sz w:val="22"/>
          <w:szCs w:val="22"/>
        </w:rPr>
        <w:t>We are academic researchers at the U</w:t>
      </w:r>
      <w:r>
        <w:rPr>
          <w:rFonts w:ascii="Calibri" w:hAnsi="Calibri" w:cs="Calibri"/>
          <w:sz w:val="22"/>
          <w:szCs w:val="22"/>
        </w:rPr>
        <w:t xml:space="preserve">niversity </w:t>
      </w:r>
      <w:r w:rsidRPr="00B450CF">
        <w:rPr>
          <w:rFonts w:ascii="Calibri" w:hAnsi="Calibri" w:cs="Calibri"/>
          <w:sz w:val="22"/>
          <w:szCs w:val="22"/>
        </w:rPr>
        <w:t>C</w:t>
      </w:r>
      <w:r>
        <w:rPr>
          <w:rFonts w:ascii="Calibri" w:hAnsi="Calibri" w:cs="Calibri"/>
          <w:sz w:val="22"/>
          <w:szCs w:val="22"/>
        </w:rPr>
        <w:t xml:space="preserve">ollege </w:t>
      </w:r>
      <w:r w:rsidRPr="00B450CF">
        <w:rPr>
          <w:rFonts w:ascii="Calibri" w:hAnsi="Calibri" w:cs="Calibri"/>
          <w:sz w:val="22"/>
          <w:szCs w:val="22"/>
        </w:rPr>
        <w:t>L</w:t>
      </w:r>
      <w:r>
        <w:rPr>
          <w:rFonts w:ascii="Calibri" w:hAnsi="Calibri" w:cs="Calibri"/>
          <w:sz w:val="22"/>
          <w:szCs w:val="22"/>
        </w:rPr>
        <w:t>ondon (UCL)</w:t>
      </w:r>
      <w:r w:rsidRPr="00B450CF">
        <w:rPr>
          <w:rFonts w:ascii="Calibri" w:hAnsi="Calibri" w:cs="Calibri"/>
          <w:sz w:val="22"/>
          <w:szCs w:val="22"/>
        </w:rPr>
        <w:t xml:space="preserve"> Constitution Unit. The Constitution Unit is a research centre that conducts timely, rigorous independent research into constitutional change and the reform of political institutions.</w:t>
      </w:r>
    </w:p>
    <w:p w:rsidR="00FC7422" w:rsidP="00156376">
      <w:pPr>
        <w:pStyle w:val="ListParagraph"/>
        <w:numPr>
          <w:ilvl w:val="1"/>
          <w:numId w:val="9"/>
        </w:numPr>
        <w:spacing w:line="276" w:lineRule="auto"/>
        <w:ind w:left="431" w:hanging="431"/>
        <w:contextualSpacing w:val="0"/>
        <w:jc w:val="both"/>
        <w:rPr>
          <w:rFonts w:ascii="Calibri" w:hAnsi="Calibri" w:cs="Calibri"/>
          <w:sz w:val="22"/>
          <w:szCs w:val="22"/>
        </w:rPr>
      </w:pPr>
      <w:r w:rsidRPr="00B450CF">
        <w:rPr>
          <w:rFonts w:ascii="Calibri" w:hAnsi="Calibri" w:cs="Calibri"/>
          <w:sz w:val="22"/>
          <w:szCs w:val="22"/>
        </w:rPr>
        <w:t xml:space="preserve">Professor Russell was a specialist adviser to the ‘Wright </w:t>
      </w:r>
      <w:r>
        <w:rPr>
          <w:rFonts w:ascii="Calibri" w:hAnsi="Calibri" w:cs="Calibri"/>
          <w:sz w:val="22"/>
          <w:szCs w:val="22"/>
        </w:rPr>
        <w:t>c</w:t>
      </w:r>
      <w:r w:rsidRPr="00B450CF">
        <w:rPr>
          <w:rFonts w:ascii="Calibri" w:hAnsi="Calibri" w:cs="Calibri"/>
          <w:sz w:val="22"/>
          <w:szCs w:val="22"/>
        </w:rPr>
        <w:t>ommittee’ (formally the Select Committee on Reform of the House of Commons), which originally proposed the Backbench Business Committee; its proposal of backbench business was strongly influenced by one of her previous research reports.</w:t>
      </w:r>
      <w:r>
        <w:rPr>
          <w:rStyle w:val="EndnoteReference"/>
          <w:rFonts w:ascii="Calibri" w:hAnsi="Calibri" w:cs="Calibri"/>
          <w:sz w:val="22"/>
          <w:szCs w:val="22"/>
        </w:rPr>
        <w:endnoteReference w:id="2"/>
      </w:r>
    </w:p>
    <w:p w:rsidR="00FC7422" w:rsidRPr="00B450CF" w:rsidP="00156376">
      <w:pPr>
        <w:pStyle w:val="ListParagraph"/>
        <w:numPr>
          <w:ilvl w:val="1"/>
          <w:numId w:val="9"/>
        </w:numPr>
        <w:spacing w:line="276" w:lineRule="auto"/>
        <w:ind w:left="431" w:hanging="431"/>
        <w:contextualSpacing w:val="0"/>
        <w:jc w:val="both"/>
        <w:rPr>
          <w:rFonts w:ascii="Calibri" w:hAnsi="Calibri" w:cs="Calibri"/>
          <w:sz w:val="22"/>
          <w:szCs w:val="22"/>
        </w:rPr>
      </w:pPr>
      <w:r w:rsidRPr="00B450CF">
        <w:rPr>
          <w:rFonts w:ascii="Calibri" w:hAnsi="Calibri" w:cs="Calibri"/>
          <w:sz w:val="22"/>
          <w:szCs w:val="22"/>
        </w:rPr>
        <w:t>This written evidence focuses on Backbench Business Committee debates, and does not directly address the committee’s questions about Petitions Committee debates.</w:t>
      </w:r>
    </w:p>
    <w:p w:rsidR="00FC7422" w:rsidRPr="00B450CF" w:rsidP="00156376">
      <w:pPr>
        <w:pStyle w:val="ListParagraph"/>
        <w:numPr>
          <w:ilvl w:val="1"/>
          <w:numId w:val="9"/>
        </w:numPr>
        <w:spacing w:line="276" w:lineRule="auto"/>
        <w:ind w:left="431" w:hanging="431"/>
        <w:contextualSpacing w:val="0"/>
        <w:jc w:val="both"/>
        <w:rPr>
          <w:rFonts w:ascii="Calibri" w:hAnsi="Calibri" w:cs="Calibri"/>
          <w:sz w:val="22"/>
          <w:szCs w:val="22"/>
        </w:rPr>
      </w:pPr>
      <w:r w:rsidRPr="00B450CF">
        <w:rPr>
          <w:rFonts w:ascii="Calibri" w:hAnsi="Calibri" w:cs="Calibri"/>
          <w:sz w:val="22"/>
          <w:szCs w:val="22"/>
        </w:rPr>
        <w:t>The evidence is structured as follows. We first highlight the importance of considering backbench business in the wider context of other forms of Commons business (section 2), before discussing the original goals of backbench business (section 3) and its current effectiveness (section 4). We then consider the current use of time allocated to government business (section 5), and some other sources of pressure on Commons time (section 6).</w:t>
      </w:r>
    </w:p>
    <w:p w:rsidR="00FC7422" w:rsidRPr="00B450CF" w:rsidP="00156376">
      <w:pPr>
        <w:pStyle w:val="ListParagraph"/>
        <w:numPr>
          <w:ilvl w:val="1"/>
          <w:numId w:val="9"/>
        </w:numPr>
        <w:spacing w:line="276" w:lineRule="auto"/>
        <w:ind w:left="431" w:hanging="431"/>
        <w:contextualSpacing w:val="0"/>
        <w:jc w:val="both"/>
        <w:rPr>
          <w:rFonts w:ascii="Calibri" w:hAnsi="Calibri" w:cs="Calibri"/>
          <w:sz w:val="22"/>
          <w:szCs w:val="22"/>
        </w:rPr>
      </w:pPr>
      <w:r w:rsidRPr="00B450CF">
        <w:rPr>
          <w:rFonts w:ascii="Calibri" w:hAnsi="Calibri" w:cs="Calibri"/>
          <w:sz w:val="22"/>
          <w:szCs w:val="22"/>
        </w:rPr>
        <w:t>Our key conclusion</w:t>
      </w:r>
      <w:r>
        <w:rPr>
          <w:rFonts w:ascii="Calibri" w:hAnsi="Calibri" w:cs="Calibri"/>
          <w:sz w:val="22"/>
          <w:szCs w:val="22"/>
        </w:rPr>
        <w:t>s</w:t>
      </w:r>
      <w:r w:rsidRPr="00B450CF">
        <w:rPr>
          <w:rFonts w:ascii="Calibri" w:hAnsi="Calibri" w:cs="Calibri"/>
          <w:sz w:val="22"/>
          <w:szCs w:val="22"/>
        </w:rPr>
        <w:t xml:space="preserve"> </w:t>
      </w:r>
      <w:r>
        <w:rPr>
          <w:rFonts w:ascii="Calibri" w:hAnsi="Calibri" w:cs="Calibri"/>
          <w:sz w:val="22"/>
          <w:szCs w:val="22"/>
        </w:rPr>
        <w:t xml:space="preserve">are summarised in section 7. We argue that </w:t>
      </w:r>
      <w:r w:rsidRPr="00B450CF">
        <w:rPr>
          <w:rFonts w:ascii="Calibri" w:hAnsi="Calibri" w:cs="Calibri"/>
          <w:sz w:val="22"/>
          <w:szCs w:val="22"/>
        </w:rPr>
        <w:t xml:space="preserve">the committee should explore ways of increasing the effectiveness of backbench business, rather than altering the time allocated to </w:t>
      </w:r>
      <w:r>
        <w:rPr>
          <w:rFonts w:ascii="Calibri" w:hAnsi="Calibri" w:cs="Calibri"/>
          <w:sz w:val="22"/>
          <w:szCs w:val="22"/>
        </w:rPr>
        <w:t>it, and should</w:t>
      </w:r>
      <w:r w:rsidRPr="00B450CF">
        <w:rPr>
          <w:rFonts w:ascii="Calibri" w:hAnsi="Calibri" w:cs="Calibri"/>
          <w:sz w:val="22"/>
          <w:szCs w:val="22"/>
        </w:rPr>
        <w:t xml:space="preserve"> also review </w:t>
      </w:r>
      <w:r>
        <w:rPr>
          <w:rFonts w:ascii="Calibri" w:hAnsi="Calibri" w:cs="Calibri"/>
          <w:sz w:val="22"/>
          <w:szCs w:val="22"/>
        </w:rPr>
        <w:t xml:space="preserve">how </w:t>
      </w:r>
      <w:r w:rsidRPr="00B450CF">
        <w:rPr>
          <w:rFonts w:ascii="Calibri" w:hAnsi="Calibri" w:cs="Calibri"/>
          <w:sz w:val="22"/>
          <w:szCs w:val="22"/>
        </w:rPr>
        <w:t>effective</w:t>
      </w:r>
      <w:r>
        <w:rPr>
          <w:rFonts w:ascii="Calibri" w:hAnsi="Calibri" w:cs="Calibri"/>
          <w:sz w:val="22"/>
          <w:szCs w:val="22"/>
        </w:rPr>
        <w:t>ly</w:t>
      </w:r>
      <w:r w:rsidRPr="00B450CF">
        <w:rPr>
          <w:rFonts w:ascii="Calibri" w:hAnsi="Calibri" w:cs="Calibri"/>
          <w:sz w:val="22"/>
          <w:szCs w:val="22"/>
        </w:rPr>
        <w:t xml:space="preserve"> other parts of Commons time are used.</w:t>
      </w:r>
    </w:p>
    <w:p w:rsidR="00FC7422" w:rsidRPr="00B450CF" w:rsidP="00B450CF">
      <w:pPr>
        <w:spacing w:line="276" w:lineRule="auto"/>
        <w:jc w:val="both"/>
        <w:rPr>
          <w:rFonts w:ascii="Calibri" w:hAnsi="Calibri" w:cs="Calibri"/>
          <w:b/>
          <w:bCs/>
          <w:sz w:val="22"/>
          <w:szCs w:val="22"/>
        </w:rPr>
      </w:pPr>
      <w:r w:rsidRPr="00B450CF">
        <w:rPr>
          <w:rFonts w:ascii="Calibri" w:hAnsi="Calibri" w:cs="Calibri"/>
          <w:b/>
          <w:bCs/>
          <w:sz w:val="22"/>
          <w:szCs w:val="22"/>
        </w:rPr>
        <w:t>2. Considering the wider context</w:t>
      </w:r>
    </w:p>
    <w:p w:rsidR="00FC7422" w:rsidRPr="00B450CF" w:rsidP="00156376">
      <w:pPr>
        <w:pStyle w:val="ListParagraph"/>
        <w:numPr>
          <w:ilvl w:val="1"/>
          <w:numId w:val="10"/>
        </w:numPr>
        <w:spacing w:line="276" w:lineRule="auto"/>
        <w:ind w:left="425" w:hanging="425"/>
        <w:contextualSpacing w:val="0"/>
        <w:jc w:val="both"/>
        <w:rPr>
          <w:rFonts w:ascii="Calibri" w:hAnsi="Calibri" w:cs="Calibri"/>
          <w:sz w:val="22"/>
          <w:szCs w:val="22"/>
        </w:rPr>
      </w:pPr>
      <w:r w:rsidRPr="00B450CF">
        <w:rPr>
          <w:rFonts w:ascii="Calibri" w:hAnsi="Calibri" w:cs="Calibri"/>
          <w:sz w:val="22"/>
          <w:szCs w:val="22"/>
        </w:rPr>
        <w:t xml:space="preserve">As </w:t>
      </w:r>
      <w:r>
        <w:rPr>
          <w:rFonts w:ascii="Calibri" w:hAnsi="Calibri" w:cs="Calibri"/>
          <w:sz w:val="22"/>
          <w:szCs w:val="22"/>
        </w:rPr>
        <w:t xml:space="preserve">this </w:t>
      </w:r>
      <w:r w:rsidRPr="00B450CF">
        <w:rPr>
          <w:rFonts w:ascii="Calibri" w:hAnsi="Calibri" w:cs="Calibri"/>
          <w:sz w:val="22"/>
          <w:szCs w:val="22"/>
        </w:rPr>
        <w:t xml:space="preserve">inquiry’s terms of reference make clear, the allocation of time to backbench business needs to be understood in its wider context. Increasing or decreasing the time available for backbench business means – assuming no changes to sitting hours – decreasing or increasing the time for other forms of business. Any assessment of backbench business should therefore sit alongside an assessment of how effectively the House uses the time </w:t>
      </w:r>
      <w:r>
        <w:rPr>
          <w:rFonts w:ascii="Calibri" w:hAnsi="Calibri" w:cs="Calibri"/>
          <w:sz w:val="22"/>
          <w:szCs w:val="22"/>
        </w:rPr>
        <w:t xml:space="preserve">it </w:t>
      </w:r>
      <w:r w:rsidRPr="00B450CF">
        <w:rPr>
          <w:rFonts w:ascii="Calibri" w:hAnsi="Calibri" w:cs="Calibri"/>
          <w:sz w:val="22"/>
          <w:szCs w:val="22"/>
        </w:rPr>
        <w:t>allocate</w:t>
      </w:r>
      <w:r>
        <w:rPr>
          <w:rFonts w:ascii="Calibri" w:hAnsi="Calibri" w:cs="Calibri"/>
          <w:sz w:val="22"/>
          <w:szCs w:val="22"/>
        </w:rPr>
        <w:t xml:space="preserve">s </w:t>
      </w:r>
      <w:r w:rsidRPr="00B450CF">
        <w:rPr>
          <w:rFonts w:ascii="Calibri" w:hAnsi="Calibri" w:cs="Calibri"/>
          <w:sz w:val="22"/>
          <w:szCs w:val="22"/>
        </w:rPr>
        <w:t xml:space="preserve">for other </w:t>
      </w:r>
      <w:r>
        <w:rPr>
          <w:rFonts w:ascii="Calibri" w:hAnsi="Calibri" w:cs="Calibri"/>
          <w:sz w:val="22"/>
          <w:szCs w:val="22"/>
        </w:rPr>
        <w:t xml:space="preserve">kinds of </w:t>
      </w:r>
      <w:r w:rsidRPr="00B450CF">
        <w:rPr>
          <w:rFonts w:ascii="Calibri" w:hAnsi="Calibri" w:cs="Calibri"/>
          <w:sz w:val="22"/>
          <w:szCs w:val="22"/>
        </w:rPr>
        <w:t>business.</w:t>
      </w:r>
    </w:p>
    <w:p w:rsidR="00FC7422" w:rsidRPr="00B450CF" w:rsidP="00156376">
      <w:pPr>
        <w:pStyle w:val="ListParagraph"/>
        <w:numPr>
          <w:ilvl w:val="1"/>
          <w:numId w:val="10"/>
        </w:numPr>
        <w:spacing w:line="276" w:lineRule="auto"/>
        <w:ind w:left="425" w:hanging="425"/>
        <w:contextualSpacing w:val="0"/>
        <w:jc w:val="both"/>
        <w:rPr>
          <w:rFonts w:ascii="Calibri" w:hAnsi="Calibri" w:cs="Calibri"/>
          <w:sz w:val="22"/>
          <w:szCs w:val="22"/>
        </w:rPr>
      </w:pPr>
      <w:r w:rsidRPr="00B450CF">
        <w:rPr>
          <w:rFonts w:ascii="Calibri" w:hAnsi="Calibri" w:cs="Calibri"/>
          <w:sz w:val="22"/>
          <w:szCs w:val="22"/>
        </w:rPr>
        <w:t xml:space="preserve">It should be noted that Commons business comes in multiple different forms, which vary both in how much time is allocated to them and in how that time is then scheduled. For instance, the House’s standing orders allocate 35 days to backbench business and 20 to opposition days, but ministers decide when those days should be scheduled. By contrast, the standing orders allocate 13 Fridays to private members’ bills, but the specific choice of those 13 Fridays has to be approved by the House. </w:t>
      </w:r>
      <w:r>
        <w:rPr>
          <w:rFonts w:ascii="Calibri" w:hAnsi="Calibri" w:cs="Calibri"/>
          <w:sz w:val="22"/>
          <w:szCs w:val="22"/>
        </w:rPr>
        <w:t>Some o</w:t>
      </w:r>
      <w:r w:rsidRPr="00B450CF">
        <w:rPr>
          <w:rFonts w:ascii="Calibri" w:hAnsi="Calibri" w:cs="Calibri"/>
          <w:sz w:val="22"/>
          <w:szCs w:val="22"/>
        </w:rPr>
        <w:t xml:space="preserve">ther kinds of </w:t>
      </w:r>
      <w:r>
        <w:rPr>
          <w:rFonts w:ascii="Calibri" w:hAnsi="Calibri" w:cs="Calibri"/>
          <w:sz w:val="22"/>
          <w:szCs w:val="22"/>
        </w:rPr>
        <w:t xml:space="preserve">non-government </w:t>
      </w:r>
      <w:r w:rsidRPr="00B450CF">
        <w:rPr>
          <w:rFonts w:ascii="Calibri" w:hAnsi="Calibri" w:cs="Calibri"/>
          <w:sz w:val="22"/>
          <w:szCs w:val="22"/>
        </w:rPr>
        <w:t>business – like urgent questions and debates relating to issues of privilege – are scheduled at the discretion of the Speaker.</w:t>
      </w:r>
    </w:p>
    <w:p w:rsidR="00FC7422" w:rsidRPr="00013950" w:rsidP="00156376">
      <w:pPr>
        <w:pStyle w:val="ListParagraph"/>
        <w:numPr>
          <w:ilvl w:val="1"/>
          <w:numId w:val="10"/>
        </w:numPr>
        <w:spacing w:after="0" w:line="276" w:lineRule="auto"/>
        <w:ind w:left="425" w:hanging="425"/>
        <w:contextualSpacing w:val="0"/>
        <w:jc w:val="both"/>
      </w:pPr>
      <w:r w:rsidRPr="00F45890">
        <w:rPr>
          <w:rFonts w:ascii="Calibri" w:hAnsi="Calibri" w:cs="Calibri"/>
          <w:sz w:val="22"/>
          <w:szCs w:val="22"/>
        </w:rPr>
        <w:t>Given all this, there are several key questions to consider when asking if the current allocation of time to backbench business is appropriate. First, is that time being used effectively? Second, is it putting excessive pressure on time needed for other forms of business? Third, are there other pressures on the House’s time which should also be examined and addressed?</w:t>
      </w:r>
    </w:p>
    <w:p w:rsidR="00FC7422" w:rsidRPr="00B450CF" w:rsidP="00F45890">
      <w:pPr>
        <w:spacing w:before="240" w:line="276" w:lineRule="auto"/>
        <w:rPr>
          <w:rFonts w:ascii="Calibri" w:hAnsi="Calibri" w:cs="Calibri"/>
          <w:b/>
          <w:bCs/>
          <w:sz w:val="22"/>
          <w:szCs w:val="22"/>
        </w:rPr>
      </w:pPr>
      <w:r w:rsidRPr="00B450CF">
        <w:rPr>
          <w:rFonts w:ascii="Calibri" w:hAnsi="Calibri" w:cs="Calibri"/>
          <w:b/>
          <w:bCs/>
          <w:sz w:val="22"/>
          <w:szCs w:val="22"/>
        </w:rPr>
        <w:t xml:space="preserve">3. The </w:t>
      </w:r>
      <w:r>
        <w:rPr>
          <w:rFonts w:ascii="Calibri" w:hAnsi="Calibri" w:cs="Calibri"/>
          <w:b/>
          <w:bCs/>
          <w:sz w:val="22"/>
          <w:szCs w:val="22"/>
        </w:rPr>
        <w:t>original intention</w:t>
      </w:r>
      <w:r w:rsidRPr="00B450CF">
        <w:rPr>
          <w:rFonts w:ascii="Calibri" w:hAnsi="Calibri" w:cs="Calibri"/>
          <w:b/>
          <w:bCs/>
          <w:sz w:val="22"/>
          <w:szCs w:val="22"/>
        </w:rPr>
        <w:t xml:space="preserve"> of backbench business</w:t>
      </w:r>
    </w:p>
    <w:p w:rsidR="00FC7422" w:rsidRPr="00B450CF" w:rsidP="001E6092">
      <w:pPr>
        <w:pStyle w:val="ListParagraph"/>
        <w:numPr>
          <w:ilvl w:val="1"/>
          <w:numId w:val="17"/>
        </w:numPr>
        <w:spacing w:line="276" w:lineRule="auto"/>
        <w:ind w:left="425" w:hanging="425"/>
        <w:contextualSpacing w:val="0"/>
        <w:jc w:val="both"/>
        <w:rPr>
          <w:rFonts w:ascii="Calibri" w:hAnsi="Calibri" w:cs="Calibri"/>
          <w:i/>
          <w:iCs/>
          <w:sz w:val="22"/>
          <w:szCs w:val="22"/>
        </w:rPr>
      </w:pPr>
      <w:r>
        <w:rPr>
          <w:rFonts w:ascii="Calibri" w:hAnsi="Calibri" w:cs="Calibri"/>
          <w:iCs/>
          <w:sz w:val="22"/>
          <w:szCs w:val="22"/>
        </w:rPr>
        <w:t xml:space="preserve">Any assessment of the effectiveness of backbench business should start from asking </w:t>
      </w:r>
      <w:r w:rsidRPr="00B450CF">
        <w:rPr>
          <w:rFonts w:ascii="Calibri" w:hAnsi="Calibri" w:cs="Calibri"/>
          <w:iCs/>
          <w:sz w:val="22"/>
          <w:szCs w:val="22"/>
        </w:rPr>
        <w:t xml:space="preserve">what </w:t>
      </w:r>
      <w:r>
        <w:rPr>
          <w:rFonts w:ascii="Calibri" w:hAnsi="Calibri" w:cs="Calibri"/>
          <w:iCs/>
          <w:sz w:val="22"/>
          <w:szCs w:val="22"/>
        </w:rPr>
        <w:t xml:space="preserve">it </w:t>
      </w:r>
      <w:r w:rsidRPr="00B450CF">
        <w:rPr>
          <w:rFonts w:ascii="Calibri" w:hAnsi="Calibri" w:cs="Calibri"/>
          <w:iCs/>
          <w:sz w:val="22"/>
          <w:szCs w:val="22"/>
        </w:rPr>
        <w:t xml:space="preserve">is intended to achieve. This form of business, and the Backbench Business Committee, </w:t>
      </w:r>
      <w:r>
        <w:rPr>
          <w:rFonts w:ascii="Calibri" w:hAnsi="Calibri" w:cs="Calibri"/>
          <w:iCs/>
          <w:sz w:val="22"/>
          <w:szCs w:val="22"/>
        </w:rPr>
        <w:t xml:space="preserve">were </w:t>
      </w:r>
      <w:r w:rsidRPr="00B450CF">
        <w:rPr>
          <w:rFonts w:ascii="Calibri" w:hAnsi="Calibri" w:cs="Calibri"/>
          <w:iCs/>
          <w:sz w:val="22"/>
          <w:szCs w:val="22"/>
        </w:rPr>
        <w:t>recommend</w:t>
      </w:r>
      <w:r>
        <w:rPr>
          <w:rFonts w:ascii="Calibri" w:hAnsi="Calibri" w:cs="Calibri"/>
          <w:iCs/>
          <w:sz w:val="22"/>
          <w:szCs w:val="22"/>
        </w:rPr>
        <w:t>ed</w:t>
      </w:r>
      <w:r w:rsidRPr="00B450CF">
        <w:rPr>
          <w:rFonts w:ascii="Calibri" w:hAnsi="Calibri" w:cs="Calibri"/>
          <w:iCs/>
          <w:sz w:val="22"/>
          <w:szCs w:val="22"/>
        </w:rPr>
        <w:t xml:space="preserve"> by the ‘Wright committee’ in 2009.</w:t>
      </w:r>
      <w:r>
        <w:rPr>
          <w:rStyle w:val="EndnoteReference"/>
          <w:rFonts w:ascii="Calibri" w:hAnsi="Calibri" w:cs="Calibri"/>
          <w:iCs/>
          <w:sz w:val="22"/>
          <w:szCs w:val="22"/>
        </w:rPr>
        <w:endnoteReference w:id="3"/>
      </w:r>
      <w:r w:rsidRPr="00B450CF">
        <w:rPr>
          <w:rFonts w:ascii="Calibri" w:hAnsi="Calibri" w:cs="Calibri"/>
          <w:iCs/>
          <w:sz w:val="22"/>
          <w:szCs w:val="22"/>
        </w:rPr>
        <w:t xml:space="preserve"> They were intended to fill a gap in the forms of business then available, which gave time to the government, opposition parties and individual members (e.g. through adjournment debates) but not to backbench</w:t>
      </w:r>
      <w:r>
        <w:rPr>
          <w:rFonts w:ascii="Calibri" w:hAnsi="Calibri" w:cs="Calibri"/>
          <w:iCs/>
          <w:sz w:val="22"/>
          <w:szCs w:val="22"/>
        </w:rPr>
        <w:t>ers</w:t>
      </w:r>
      <w:r w:rsidRPr="00B450CF">
        <w:rPr>
          <w:rFonts w:ascii="Calibri" w:hAnsi="Calibri" w:cs="Calibri"/>
          <w:iCs/>
          <w:sz w:val="22"/>
          <w:szCs w:val="22"/>
        </w:rPr>
        <w:t xml:space="preserve"> collectively. Importantly, this form of business was intended to allow the House to </w:t>
      </w:r>
      <w:r>
        <w:rPr>
          <w:rFonts w:ascii="Calibri" w:hAnsi="Calibri" w:cs="Calibri"/>
          <w:iCs/>
          <w:sz w:val="22"/>
          <w:szCs w:val="22"/>
        </w:rPr>
        <w:t>express its view</w:t>
      </w:r>
      <w:r w:rsidRPr="00B450CF">
        <w:rPr>
          <w:rFonts w:ascii="Calibri" w:hAnsi="Calibri" w:cs="Calibri"/>
          <w:iCs/>
          <w:sz w:val="22"/>
          <w:szCs w:val="22"/>
        </w:rPr>
        <w:t xml:space="preserve"> on propositions put forward by backbenchers on substantive motions, not just to debate them on neutral motions.</w:t>
      </w:r>
    </w:p>
    <w:p w:rsidR="00FC7422" w:rsidRPr="00B450CF" w:rsidP="001E6092">
      <w:pPr>
        <w:pStyle w:val="ListParagraph"/>
        <w:numPr>
          <w:ilvl w:val="1"/>
          <w:numId w:val="17"/>
        </w:numPr>
        <w:spacing w:line="276" w:lineRule="auto"/>
        <w:ind w:left="425" w:hanging="425"/>
        <w:contextualSpacing w:val="0"/>
        <w:jc w:val="both"/>
        <w:rPr>
          <w:rFonts w:ascii="Calibri" w:hAnsi="Calibri" w:cs="Calibri"/>
          <w:i/>
          <w:iCs/>
          <w:sz w:val="22"/>
          <w:szCs w:val="22"/>
        </w:rPr>
      </w:pPr>
      <w:r>
        <w:rPr>
          <w:rFonts w:ascii="Calibri" w:hAnsi="Calibri" w:cs="Calibri"/>
          <w:sz w:val="22"/>
          <w:szCs w:val="22"/>
        </w:rPr>
        <w:t>T</w:t>
      </w:r>
      <w:r w:rsidRPr="00B450CF">
        <w:rPr>
          <w:rFonts w:ascii="Calibri" w:hAnsi="Calibri" w:cs="Calibri"/>
          <w:sz w:val="22"/>
          <w:szCs w:val="22"/>
        </w:rPr>
        <w:t>he Wright committee gave some clear indications</w:t>
      </w:r>
      <w:r>
        <w:rPr>
          <w:rFonts w:ascii="Calibri" w:hAnsi="Calibri" w:cs="Calibri"/>
          <w:sz w:val="22"/>
          <w:szCs w:val="22"/>
        </w:rPr>
        <w:t xml:space="preserve"> of the </w:t>
      </w:r>
      <w:r w:rsidRPr="00B450CF">
        <w:rPr>
          <w:rFonts w:ascii="Calibri" w:hAnsi="Calibri" w:cs="Calibri"/>
          <w:sz w:val="22"/>
          <w:szCs w:val="22"/>
        </w:rPr>
        <w:t xml:space="preserve">kinds of </w:t>
      </w:r>
      <w:r>
        <w:rPr>
          <w:rFonts w:ascii="Calibri" w:hAnsi="Calibri" w:cs="Calibri"/>
          <w:sz w:val="22"/>
          <w:szCs w:val="22"/>
        </w:rPr>
        <w:t xml:space="preserve">business which </w:t>
      </w:r>
      <w:r w:rsidRPr="00B450CF">
        <w:rPr>
          <w:rFonts w:ascii="Calibri" w:hAnsi="Calibri" w:cs="Calibri"/>
          <w:sz w:val="22"/>
          <w:szCs w:val="22"/>
        </w:rPr>
        <w:t>the Backbench Business Committee</w:t>
      </w:r>
      <w:r>
        <w:rPr>
          <w:rFonts w:ascii="Calibri" w:hAnsi="Calibri" w:cs="Calibri"/>
          <w:sz w:val="22"/>
          <w:szCs w:val="22"/>
        </w:rPr>
        <w:t xml:space="preserve"> might schedule</w:t>
      </w:r>
      <w:r w:rsidRPr="00B450CF">
        <w:rPr>
          <w:rFonts w:ascii="Calibri" w:hAnsi="Calibri" w:cs="Calibri"/>
          <w:sz w:val="22"/>
          <w:szCs w:val="22"/>
        </w:rPr>
        <w:t>. It explicitly mentioned debat</w:t>
      </w:r>
      <w:r>
        <w:rPr>
          <w:rFonts w:ascii="Calibri" w:hAnsi="Calibri" w:cs="Calibri"/>
          <w:sz w:val="22"/>
          <w:szCs w:val="22"/>
        </w:rPr>
        <w:t>es on</w:t>
      </w:r>
      <w:r w:rsidRPr="00B450CF">
        <w:rPr>
          <w:rFonts w:ascii="Calibri" w:hAnsi="Calibri" w:cs="Calibri"/>
          <w:sz w:val="22"/>
          <w:szCs w:val="22"/>
        </w:rPr>
        <w:t xml:space="preserve"> select committee reports, </w:t>
      </w:r>
      <w:r>
        <w:rPr>
          <w:rFonts w:ascii="Calibri" w:hAnsi="Calibri" w:cs="Calibri"/>
          <w:sz w:val="22"/>
          <w:szCs w:val="22"/>
        </w:rPr>
        <w:t xml:space="preserve">making decisions on ‘House business’ such as recommendations from </w:t>
      </w:r>
      <w:r w:rsidRPr="00B450CF">
        <w:rPr>
          <w:rFonts w:ascii="Calibri" w:hAnsi="Calibri" w:cs="Calibri"/>
          <w:sz w:val="22"/>
          <w:szCs w:val="22"/>
        </w:rPr>
        <w:t xml:space="preserve">bodies </w:t>
      </w:r>
      <w:r>
        <w:rPr>
          <w:rFonts w:ascii="Calibri" w:hAnsi="Calibri" w:cs="Calibri"/>
          <w:sz w:val="22"/>
          <w:szCs w:val="22"/>
        </w:rPr>
        <w:t xml:space="preserve">like </w:t>
      </w:r>
      <w:r w:rsidRPr="00B450CF">
        <w:rPr>
          <w:rFonts w:ascii="Calibri" w:hAnsi="Calibri" w:cs="Calibri"/>
          <w:sz w:val="22"/>
          <w:szCs w:val="22"/>
        </w:rPr>
        <w:t>the Procedure Committee</w:t>
      </w:r>
      <w:r>
        <w:rPr>
          <w:rFonts w:ascii="Calibri" w:hAnsi="Calibri" w:cs="Calibri"/>
          <w:sz w:val="22"/>
          <w:szCs w:val="22"/>
        </w:rPr>
        <w:t>, and</w:t>
      </w:r>
      <w:r w:rsidRPr="00B450CF">
        <w:rPr>
          <w:rFonts w:ascii="Calibri" w:hAnsi="Calibri" w:cs="Calibri"/>
          <w:sz w:val="22"/>
          <w:szCs w:val="22"/>
        </w:rPr>
        <w:t xml:space="preserve"> general debates on matters of concern to backbenchers</w:t>
      </w:r>
      <w:r>
        <w:rPr>
          <w:rFonts w:ascii="Calibri" w:hAnsi="Calibri" w:cs="Calibri"/>
          <w:sz w:val="22"/>
          <w:szCs w:val="22"/>
        </w:rPr>
        <w:t xml:space="preserve"> (and likely also the public)</w:t>
      </w:r>
      <w:r w:rsidRPr="00B450CF">
        <w:rPr>
          <w:rFonts w:ascii="Calibri" w:hAnsi="Calibri" w:cs="Calibri"/>
          <w:sz w:val="22"/>
          <w:szCs w:val="22"/>
        </w:rPr>
        <w:t xml:space="preserve">. In </w:t>
      </w:r>
      <w:r>
        <w:rPr>
          <w:rFonts w:ascii="Calibri" w:hAnsi="Calibri" w:cs="Calibri"/>
          <w:sz w:val="22"/>
          <w:szCs w:val="22"/>
        </w:rPr>
        <w:t xml:space="preserve">making </w:t>
      </w:r>
      <w:r w:rsidRPr="00B450CF">
        <w:rPr>
          <w:rFonts w:ascii="Calibri" w:hAnsi="Calibri" w:cs="Calibri"/>
          <w:sz w:val="22"/>
          <w:szCs w:val="22"/>
        </w:rPr>
        <w:t xml:space="preserve">these </w:t>
      </w:r>
      <w:r>
        <w:rPr>
          <w:rFonts w:ascii="Calibri" w:hAnsi="Calibri" w:cs="Calibri"/>
          <w:sz w:val="22"/>
          <w:szCs w:val="22"/>
        </w:rPr>
        <w:t>suggestions</w:t>
      </w:r>
      <w:r w:rsidRPr="00B450CF">
        <w:rPr>
          <w:rFonts w:ascii="Calibri" w:hAnsi="Calibri" w:cs="Calibri"/>
          <w:sz w:val="22"/>
          <w:szCs w:val="22"/>
        </w:rPr>
        <w:t xml:space="preserve">, </w:t>
      </w:r>
      <w:r w:rsidRPr="00156376">
        <w:rPr>
          <w:rFonts w:ascii="Calibri" w:hAnsi="Calibri" w:cs="Calibri"/>
          <w:sz w:val="22"/>
          <w:szCs w:val="22"/>
        </w:rPr>
        <w:t>the committee sought to remove matters from government control that were not really ‘government’ business, without taking time away from that essential business</w:t>
      </w:r>
      <w:r>
        <w:rPr>
          <w:rFonts w:ascii="Calibri" w:hAnsi="Calibri" w:cs="Calibri"/>
          <w:sz w:val="22"/>
          <w:szCs w:val="22"/>
        </w:rPr>
        <w:t xml:space="preserve"> </w:t>
      </w:r>
      <w:r w:rsidRPr="00156376">
        <w:rPr>
          <w:rFonts w:ascii="Calibri" w:hAnsi="Calibri" w:cs="Calibri"/>
          <w:sz w:val="22"/>
          <w:szCs w:val="22"/>
        </w:rPr>
        <w:t>(e.g. debate on government bills). At the time, the government facilitated a lot of general debates, and the Wright committee’s recommendation was that backbenchers, not government, should give prioritisation to the topics. As it indicated:</w:t>
      </w:r>
    </w:p>
    <w:p w:rsidR="00FC7422" w:rsidRPr="004C0700" w:rsidP="00B450CF">
      <w:pPr>
        <w:spacing w:line="276" w:lineRule="auto"/>
        <w:ind w:left="709"/>
        <w:jc w:val="both"/>
        <w:rPr>
          <w:rFonts w:ascii="Calibri" w:hAnsi="Calibri" w:cs="Calibri"/>
          <w:sz w:val="22"/>
          <w:szCs w:val="22"/>
        </w:rPr>
      </w:pPr>
      <w:r w:rsidRPr="00B450CF">
        <w:rPr>
          <w:rFonts w:ascii="Calibri" w:hAnsi="Calibri" w:cs="Calibri"/>
          <w:i/>
          <w:iCs/>
          <w:sz w:val="22"/>
          <w:szCs w:val="22"/>
        </w:rPr>
        <w:t>This will reduce the current extent of Government control or influence over the Parliamentary agenda. But the matters “lost” to Government will be principally those in which it has no direct interest: for example, the timing and topics of general debates and discussion of select committee reports. Rather than Ministers seeking to prioritise the many demands for time that are presented by Members, this responsibility would be handed to a committee representative of the House as a whole.</w:t>
      </w:r>
      <w:r>
        <w:rPr>
          <w:rStyle w:val="EndnoteReference"/>
          <w:rFonts w:ascii="Calibri" w:hAnsi="Calibri" w:cs="Calibri"/>
          <w:sz w:val="22"/>
          <w:szCs w:val="22"/>
        </w:rPr>
        <w:endnoteReference w:id="4"/>
      </w:r>
    </w:p>
    <w:p w:rsidR="00FC7422" w:rsidRPr="00B450CF" w:rsidP="00B450CF">
      <w:pPr>
        <w:pStyle w:val="ListParagraph"/>
        <w:numPr>
          <w:ilvl w:val="1"/>
          <w:numId w:val="17"/>
        </w:numPr>
        <w:spacing w:line="276" w:lineRule="auto"/>
        <w:ind w:left="426" w:hanging="426"/>
        <w:jc w:val="both"/>
        <w:rPr>
          <w:rFonts w:ascii="Calibri" w:hAnsi="Calibri" w:cs="Calibri"/>
          <w:sz w:val="22"/>
          <w:szCs w:val="22"/>
        </w:rPr>
      </w:pPr>
      <w:r w:rsidRPr="00B450CF">
        <w:rPr>
          <w:rFonts w:ascii="Calibri" w:hAnsi="Calibri" w:cs="Calibri"/>
          <w:sz w:val="22"/>
          <w:szCs w:val="22"/>
        </w:rPr>
        <w:t xml:space="preserve">The proposed amount of backbench time was commensurate with this, </w:t>
      </w:r>
      <w:r>
        <w:rPr>
          <w:rFonts w:ascii="Calibri" w:hAnsi="Calibri" w:cs="Calibri"/>
          <w:sz w:val="22"/>
          <w:szCs w:val="22"/>
        </w:rPr>
        <w:t xml:space="preserve">with </w:t>
      </w:r>
      <w:r w:rsidRPr="00B450CF">
        <w:rPr>
          <w:rFonts w:ascii="Calibri" w:hAnsi="Calibri" w:cs="Calibri"/>
          <w:sz w:val="22"/>
          <w:szCs w:val="22"/>
        </w:rPr>
        <w:t>the Wright committee basing its proposals on the amount of government time previously dedicated to such matters. As its report said of the Backbench Business Committee:</w:t>
      </w:r>
    </w:p>
    <w:p w:rsidR="00FC7422" w:rsidRPr="00F45890" w:rsidP="00B450CF">
      <w:pPr>
        <w:spacing w:line="276" w:lineRule="auto"/>
        <w:ind w:left="709"/>
        <w:jc w:val="both"/>
        <w:rPr>
          <w:rFonts w:ascii="Calibri" w:hAnsi="Calibri" w:cs="Calibri"/>
          <w:sz w:val="22"/>
          <w:szCs w:val="22"/>
        </w:rPr>
      </w:pPr>
      <w:r w:rsidRPr="00B450CF">
        <w:rPr>
          <w:rFonts w:ascii="Calibri" w:hAnsi="Calibri" w:cs="Calibri"/>
          <w:i/>
          <w:iCs/>
          <w:sz w:val="22"/>
          <w:szCs w:val="22"/>
        </w:rPr>
        <w:t>Without in any way compromising Government's ability to have its own initiatives discussed and scrutinised, this Committee will take clear charge of part of the agenda for at least one day a week or its equivalent for the House collectively to discuss those matters that Members feel should be prioritised. It will create new opportunities for all Members, giving them a greater sense of ownership and responsibility for what goes on in their own House. It will make debates more responsive to public concerns, as fed in to Members by their constituents. It will strengthen the position of the widely-respected select committees.</w:t>
      </w:r>
      <w:r>
        <w:rPr>
          <w:rStyle w:val="EndnoteReference"/>
          <w:rFonts w:ascii="Calibri" w:hAnsi="Calibri" w:cs="Calibri"/>
          <w:sz w:val="22"/>
          <w:szCs w:val="22"/>
        </w:rPr>
        <w:endnoteReference w:id="5"/>
      </w:r>
    </w:p>
    <w:p w:rsidR="00FC7422" w:rsidRPr="00B450CF" w:rsidP="001E6092">
      <w:pPr>
        <w:pStyle w:val="ListParagraph"/>
        <w:numPr>
          <w:ilvl w:val="1"/>
          <w:numId w:val="17"/>
        </w:numPr>
        <w:spacing w:line="276" w:lineRule="auto"/>
        <w:ind w:left="425" w:hanging="425"/>
        <w:contextualSpacing w:val="0"/>
        <w:jc w:val="both"/>
        <w:rPr>
          <w:rFonts w:ascii="Calibri" w:hAnsi="Calibri" w:cs="Calibri"/>
          <w:sz w:val="22"/>
          <w:szCs w:val="22"/>
        </w:rPr>
      </w:pPr>
      <w:r w:rsidRPr="00156376">
        <w:rPr>
          <w:rFonts w:ascii="Calibri" w:hAnsi="Calibri" w:cs="Calibri"/>
          <w:sz w:val="22"/>
          <w:szCs w:val="22"/>
        </w:rPr>
        <w:t>While not being prescriptive, the Wright committee speculated that backbench time might be used not only for the debate of substantive motions, general motions, and select committee reports, but also for non-government bills</w:t>
      </w:r>
      <w:r w:rsidRPr="00B450CF">
        <w:rPr>
          <w:rFonts w:ascii="Calibri" w:hAnsi="Calibri" w:cs="Calibri"/>
          <w:sz w:val="22"/>
          <w:szCs w:val="22"/>
        </w:rPr>
        <w:t>.</w:t>
      </w:r>
      <w:r>
        <w:rPr>
          <w:rStyle w:val="EndnoteReference"/>
          <w:rFonts w:ascii="Calibri" w:hAnsi="Calibri" w:cs="Calibri"/>
          <w:sz w:val="22"/>
          <w:szCs w:val="22"/>
        </w:rPr>
        <w:endnoteReference w:id="6"/>
      </w:r>
    </w:p>
    <w:p w:rsidR="00FC7422" w:rsidRPr="00F45890" w:rsidP="001E6092">
      <w:pPr>
        <w:pStyle w:val="ListParagraph"/>
        <w:numPr>
          <w:ilvl w:val="1"/>
          <w:numId w:val="17"/>
        </w:numPr>
        <w:spacing w:after="0" w:line="276" w:lineRule="auto"/>
        <w:ind w:left="425" w:hanging="425"/>
        <w:contextualSpacing w:val="0"/>
        <w:jc w:val="both"/>
        <w:rPr>
          <w:rFonts w:ascii="Calibri" w:hAnsi="Calibri" w:cs="Calibri"/>
          <w:sz w:val="22"/>
          <w:szCs w:val="22"/>
        </w:rPr>
      </w:pPr>
      <w:r w:rsidRPr="00B450CF">
        <w:rPr>
          <w:rFonts w:ascii="Calibri" w:hAnsi="Calibri" w:cs="Calibri"/>
          <w:iCs/>
          <w:sz w:val="22"/>
          <w:szCs w:val="22"/>
        </w:rPr>
        <w:t xml:space="preserve">The Wright committee report discussed a range of options for the timetabling of backbench business, including a fixed day of the week, a changing day each week, or </w:t>
      </w:r>
      <w:r>
        <w:rPr>
          <w:rFonts w:ascii="Calibri" w:hAnsi="Calibri" w:cs="Calibri"/>
          <w:iCs/>
          <w:sz w:val="22"/>
          <w:szCs w:val="22"/>
        </w:rPr>
        <w:t xml:space="preserve">– as was ultimately implemented – </w:t>
      </w:r>
      <w:r w:rsidRPr="00B450CF">
        <w:rPr>
          <w:rFonts w:ascii="Calibri" w:hAnsi="Calibri" w:cs="Calibri"/>
          <w:iCs/>
          <w:sz w:val="22"/>
          <w:szCs w:val="22"/>
        </w:rPr>
        <w:t xml:space="preserve">a set number of days per session. The committee noted that ‘If a particular day were to be identified, and if it were to be the same day every week, the first suggestion made is </w:t>
      </w:r>
      <w:r w:rsidRPr="00B450CF">
        <w:rPr>
          <w:rFonts w:ascii="Calibri" w:hAnsi="Calibri" w:cs="Calibri"/>
          <w:iCs/>
          <w:sz w:val="22"/>
          <w:szCs w:val="22"/>
        </w:rPr>
        <w:t>likely to be Thursday’; but it dismissed this possibility, on the basis that ‘It is important that</w:t>
      </w:r>
      <w:r>
        <w:rPr>
          <w:rFonts w:ascii="Calibri" w:hAnsi="Calibri" w:cs="Calibri"/>
          <w:iCs/>
          <w:sz w:val="22"/>
          <w:szCs w:val="22"/>
        </w:rPr>
        <w:t xml:space="preserve"> </w:t>
      </w:r>
      <w:r w:rsidRPr="00B450CF">
        <w:rPr>
          <w:rFonts w:ascii="Calibri" w:hAnsi="Calibri" w:cs="Calibri"/>
          <w:iCs/>
          <w:sz w:val="22"/>
          <w:szCs w:val="22"/>
        </w:rPr>
        <w:t>backbench business is not relegated to a backwater’.</w:t>
      </w:r>
      <w:r>
        <w:rPr>
          <w:rStyle w:val="EndnoteReference"/>
          <w:rFonts w:ascii="Calibri" w:hAnsi="Calibri" w:cs="Calibri"/>
          <w:iCs/>
          <w:sz w:val="22"/>
          <w:szCs w:val="22"/>
        </w:rPr>
        <w:endnoteReference w:id="7"/>
      </w:r>
    </w:p>
    <w:p w:rsidR="00FC7422" w:rsidRPr="00B450CF" w:rsidP="00F45890">
      <w:pPr>
        <w:spacing w:before="240" w:line="276" w:lineRule="auto"/>
        <w:rPr>
          <w:rFonts w:ascii="Calibri" w:hAnsi="Calibri" w:cs="Calibri"/>
          <w:b/>
          <w:bCs/>
          <w:sz w:val="22"/>
          <w:szCs w:val="22"/>
        </w:rPr>
      </w:pPr>
      <w:r w:rsidRPr="00B450CF">
        <w:rPr>
          <w:rFonts w:ascii="Calibri" w:hAnsi="Calibri" w:cs="Calibri"/>
          <w:b/>
          <w:bCs/>
          <w:sz w:val="22"/>
          <w:szCs w:val="22"/>
        </w:rPr>
        <w:t>4. The effectiveness of backbench business</w:t>
      </w:r>
    </w:p>
    <w:p w:rsidR="00FC7422" w:rsidRPr="00F45890" w:rsidP="001E6092">
      <w:pPr>
        <w:pStyle w:val="ListParagraph"/>
        <w:numPr>
          <w:ilvl w:val="1"/>
          <w:numId w:val="23"/>
        </w:numPr>
        <w:spacing w:line="276" w:lineRule="auto"/>
        <w:ind w:left="426" w:hanging="426"/>
        <w:contextualSpacing w:val="0"/>
        <w:jc w:val="both"/>
        <w:rPr>
          <w:rFonts w:ascii="Calibri" w:hAnsi="Calibri" w:cs="Calibri"/>
          <w:sz w:val="22"/>
          <w:szCs w:val="22"/>
        </w:rPr>
      </w:pPr>
      <w:r w:rsidRPr="00F45890">
        <w:rPr>
          <w:rFonts w:ascii="Calibri" w:hAnsi="Calibri" w:cs="Calibri"/>
          <w:sz w:val="22"/>
          <w:szCs w:val="22"/>
        </w:rPr>
        <w:t>The Backbench Business Committee recently assessed its first 15 years, and published a report setting out its own conclusions and recommendations</w:t>
      </w:r>
      <w:r w:rsidRPr="002A46AE">
        <w:rPr>
          <w:rStyle w:val="CommentReference"/>
          <w:rFonts w:ascii="Calibri" w:hAnsi="Calibri" w:cs="Calibri"/>
          <w:sz w:val="22"/>
          <w:szCs w:val="22"/>
        </w:rPr>
        <w:t>.</w:t>
      </w:r>
      <w:r w:rsidRPr="00F45890">
        <w:rPr>
          <w:rFonts w:ascii="Calibri" w:hAnsi="Calibri" w:cs="Calibri"/>
          <w:sz w:val="22"/>
          <w:szCs w:val="22"/>
        </w:rPr>
        <w:t xml:space="preserve"> Professor Russell submitted detailed evidence to that review (with Hannah Kelly).</w:t>
      </w:r>
      <w:r>
        <w:rPr>
          <w:rStyle w:val="EndnoteReference"/>
          <w:rFonts w:ascii="Calibri" w:hAnsi="Calibri" w:cs="Calibri"/>
          <w:sz w:val="22"/>
          <w:szCs w:val="22"/>
        </w:rPr>
        <w:endnoteReference w:id="8"/>
      </w:r>
      <w:r w:rsidRPr="00F45890">
        <w:rPr>
          <w:rFonts w:ascii="Calibri" w:hAnsi="Calibri" w:cs="Calibri"/>
          <w:sz w:val="22"/>
          <w:szCs w:val="22"/>
        </w:rPr>
        <w:t xml:space="preserve"> The Backbench Business Committee’s report – and the evidence informing it – should be useful for this committee’s current inquiry.</w:t>
      </w:r>
    </w:p>
    <w:p w:rsidR="00FC7422" w:rsidRPr="00F45890" w:rsidP="001E6092">
      <w:pPr>
        <w:pStyle w:val="ListParagraph"/>
        <w:numPr>
          <w:ilvl w:val="1"/>
          <w:numId w:val="23"/>
        </w:numPr>
        <w:ind w:left="426" w:hanging="426"/>
        <w:contextualSpacing w:val="0"/>
        <w:jc w:val="both"/>
        <w:rPr>
          <w:rFonts w:ascii="Calibri" w:hAnsi="Calibri" w:cs="Calibri"/>
          <w:sz w:val="22"/>
          <w:szCs w:val="22"/>
        </w:rPr>
      </w:pPr>
      <w:r w:rsidRPr="00F45890">
        <w:rPr>
          <w:rFonts w:ascii="Calibri" w:hAnsi="Calibri" w:cs="Calibri"/>
          <w:sz w:val="22"/>
          <w:szCs w:val="22"/>
        </w:rPr>
        <w:t>Your call for evidence highlights two possible concerns about the current use of backbench debates: whether they are sufficiently popular, and whether they are sufficiently topical.</w:t>
      </w:r>
    </w:p>
    <w:p w:rsidR="00FC7422" w:rsidRPr="00F45890" w:rsidP="001E6092">
      <w:pPr>
        <w:pStyle w:val="ListParagraph"/>
        <w:numPr>
          <w:ilvl w:val="1"/>
          <w:numId w:val="23"/>
        </w:numPr>
        <w:ind w:left="426" w:hanging="426"/>
        <w:contextualSpacing w:val="0"/>
        <w:jc w:val="both"/>
        <w:rPr>
          <w:rFonts w:ascii="Calibri" w:hAnsi="Calibri" w:cs="Calibri"/>
          <w:sz w:val="22"/>
          <w:szCs w:val="22"/>
        </w:rPr>
      </w:pPr>
      <w:r w:rsidRPr="00F45890">
        <w:rPr>
          <w:rFonts w:ascii="Calibri" w:hAnsi="Calibri" w:cs="Calibri"/>
          <w:sz w:val="22"/>
          <w:szCs w:val="22"/>
        </w:rPr>
        <w:t>On popularity, it seems clear that there is no shortage of demand from members for backbench debates, as those speaking for the Backbench Business Committee often highlight. But another pertinent consideration is whether backbench debates make sufficient use of the time allocated. There has been some concern about debates finishing early, and MPs supporting applications for debates but not then taking part. The Backbench Business Committee’s review noted that 82% of debates in 2024–26 (up to late 2025) had time limits, and more than two-thirds finished within ten minutes of the moment of interruption.</w:t>
      </w:r>
      <w:r>
        <w:rPr>
          <w:rStyle w:val="EndnoteReference"/>
          <w:rFonts w:ascii="Calibri" w:hAnsi="Calibri" w:cs="Calibri"/>
          <w:sz w:val="22"/>
          <w:szCs w:val="22"/>
        </w:rPr>
        <w:endnoteReference w:id="9"/>
      </w:r>
      <w:r w:rsidRPr="00F45890">
        <w:rPr>
          <w:rFonts w:ascii="Calibri" w:hAnsi="Calibri" w:cs="Calibri"/>
          <w:sz w:val="22"/>
          <w:szCs w:val="22"/>
        </w:rPr>
        <w:t xml:space="preserve"> Even one-third of debates finishing early might be argued to be too many, but – as discussed below – timing factors seem likely to affect this.</w:t>
      </w:r>
    </w:p>
    <w:p w:rsidR="00FC7422" w:rsidRPr="00F45890" w:rsidP="001E6092">
      <w:pPr>
        <w:pStyle w:val="ListParagraph"/>
        <w:numPr>
          <w:ilvl w:val="1"/>
          <w:numId w:val="23"/>
        </w:numPr>
        <w:ind w:left="426" w:hanging="426"/>
        <w:contextualSpacing w:val="0"/>
        <w:jc w:val="both"/>
        <w:rPr>
          <w:rFonts w:ascii="Calibri" w:hAnsi="Calibri" w:cs="Calibri"/>
          <w:sz w:val="22"/>
          <w:szCs w:val="22"/>
        </w:rPr>
      </w:pPr>
      <w:r w:rsidRPr="00F45890">
        <w:rPr>
          <w:rFonts w:ascii="Calibri" w:hAnsi="Calibri" w:cs="Calibri"/>
          <w:sz w:val="22"/>
          <w:szCs w:val="22"/>
        </w:rPr>
        <w:t xml:space="preserve">On topicality, there are some clear concerns. The Backbench Business Committee has itself noted </w:t>
      </w:r>
      <w:r>
        <w:rPr>
          <w:rFonts w:ascii="Calibri" w:hAnsi="Calibri" w:cs="Calibri"/>
          <w:sz w:val="22"/>
          <w:szCs w:val="22"/>
        </w:rPr>
        <w:t xml:space="preserve">(as did the Russell and Kelly evidence) </w:t>
      </w:r>
      <w:r w:rsidRPr="00F45890">
        <w:rPr>
          <w:rFonts w:ascii="Calibri" w:hAnsi="Calibri" w:cs="Calibri"/>
          <w:sz w:val="22"/>
          <w:szCs w:val="22"/>
        </w:rPr>
        <w:t>that scheduling debates long into the future can limit their topicality.</w:t>
      </w:r>
      <w:r>
        <w:rPr>
          <w:rStyle w:val="EndnoteReference"/>
          <w:rFonts w:ascii="Calibri" w:hAnsi="Calibri" w:cs="Calibri"/>
          <w:sz w:val="22"/>
          <w:szCs w:val="22"/>
        </w:rPr>
        <w:endnoteReference w:id="10"/>
      </w:r>
      <w:r w:rsidRPr="00F45890">
        <w:rPr>
          <w:rFonts w:ascii="Calibri" w:hAnsi="Calibri" w:cs="Calibri"/>
          <w:sz w:val="22"/>
          <w:szCs w:val="22"/>
        </w:rPr>
        <w:t xml:space="preserve"> Becoming more selective, and only </w:t>
      </w:r>
      <w:r>
        <w:rPr>
          <w:rFonts w:ascii="Calibri" w:hAnsi="Calibri" w:cs="Calibri"/>
          <w:sz w:val="22"/>
          <w:szCs w:val="22"/>
        </w:rPr>
        <w:t xml:space="preserve">scheduling </w:t>
      </w:r>
      <w:r w:rsidRPr="00F45890">
        <w:rPr>
          <w:rFonts w:ascii="Calibri" w:hAnsi="Calibri" w:cs="Calibri"/>
          <w:sz w:val="22"/>
          <w:szCs w:val="22"/>
        </w:rPr>
        <w:t xml:space="preserve">debates for a few weeks ahead, could mitigate this. Indeed, the committee was originally expected to prioritise among competing bids for debates, not just marshal them into an orderly queue. Such prioritisation would require </w:t>
      </w:r>
      <w:r>
        <w:rPr>
          <w:rFonts w:ascii="Calibri" w:hAnsi="Calibri" w:cs="Calibri"/>
          <w:sz w:val="22"/>
          <w:szCs w:val="22"/>
        </w:rPr>
        <w:t xml:space="preserve">use of </w:t>
      </w:r>
      <w:r w:rsidRPr="00F45890">
        <w:rPr>
          <w:rFonts w:ascii="Calibri" w:hAnsi="Calibri" w:cs="Calibri"/>
          <w:sz w:val="22"/>
          <w:szCs w:val="22"/>
        </w:rPr>
        <w:t>clear criteria, such as levels of cross-party support.</w:t>
      </w:r>
      <w:r>
        <w:rPr>
          <w:rStyle w:val="EndnoteReference"/>
          <w:rFonts w:ascii="Calibri" w:hAnsi="Calibri" w:cs="Calibri"/>
          <w:sz w:val="22"/>
          <w:szCs w:val="22"/>
        </w:rPr>
        <w:endnoteReference w:id="11"/>
      </w:r>
      <w:r w:rsidRPr="00F45890">
        <w:rPr>
          <w:rFonts w:ascii="Calibri" w:hAnsi="Calibri" w:cs="Calibri"/>
          <w:sz w:val="22"/>
          <w:szCs w:val="22"/>
        </w:rPr>
        <w:t xml:space="preserve"> Unsuccessful bids could be kept on file and considered alongside new ones, rather than being immediately rejected. Alternatively, the Backbench Business Committee has proposed reviving the use of ‘topical debates’ under Standing Order No. 24A.</w:t>
      </w:r>
      <w:r>
        <w:rPr>
          <w:rStyle w:val="EndnoteReference"/>
          <w:rFonts w:ascii="Calibri" w:hAnsi="Calibri" w:cs="Calibri"/>
          <w:sz w:val="22"/>
          <w:szCs w:val="22"/>
        </w:rPr>
        <w:endnoteReference w:id="12"/>
      </w:r>
      <w:r w:rsidRPr="00F45890">
        <w:rPr>
          <w:rFonts w:ascii="Calibri" w:hAnsi="Calibri" w:cs="Calibri"/>
          <w:sz w:val="22"/>
          <w:szCs w:val="22"/>
        </w:rPr>
        <w:t xml:space="preserve"> But it seems preferable for the committee to change its wider practice to pursue topicality as a matter of routine. And in any case, debates under that alternative route could not be held on substantive motions.</w:t>
      </w:r>
    </w:p>
    <w:p w:rsidR="00FC7422" w:rsidRPr="00F45890" w:rsidP="001E6092">
      <w:pPr>
        <w:pStyle w:val="ListParagraph"/>
        <w:numPr>
          <w:ilvl w:val="1"/>
          <w:numId w:val="23"/>
        </w:numPr>
        <w:ind w:left="426" w:hanging="426"/>
        <w:contextualSpacing w:val="0"/>
        <w:jc w:val="both"/>
        <w:rPr>
          <w:rFonts w:ascii="Calibri" w:hAnsi="Calibri" w:cs="Calibri"/>
          <w:sz w:val="22"/>
          <w:szCs w:val="22"/>
        </w:rPr>
      </w:pPr>
      <w:r w:rsidRPr="00F45890">
        <w:rPr>
          <w:rFonts w:ascii="Calibri" w:hAnsi="Calibri" w:cs="Calibri"/>
          <w:sz w:val="22"/>
          <w:szCs w:val="22"/>
        </w:rPr>
        <w:t xml:space="preserve">Becoming more selective would require a culture shift in the Backbench Business Committee, </w:t>
      </w:r>
      <w:r>
        <w:rPr>
          <w:rFonts w:ascii="Calibri" w:hAnsi="Calibri" w:cs="Calibri"/>
          <w:sz w:val="22"/>
          <w:szCs w:val="22"/>
        </w:rPr>
        <w:t xml:space="preserve">with its members </w:t>
      </w:r>
      <w:r w:rsidRPr="00F45890">
        <w:rPr>
          <w:rFonts w:ascii="Calibri" w:hAnsi="Calibri" w:cs="Calibri"/>
          <w:sz w:val="22"/>
          <w:szCs w:val="22"/>
        </w:rPr>
        <w:t xml:space="preserve">accepting the need to take hard decisions and to disappoint some applicants. One reason that </w:t>
      </w:r>
      <w:r>
        <w:rPr>
          <w:rFonts w:ascii="Calibri" w:hAnsi="Calibri" w:cs="Calibri"/>
          <w:sz w:val="22"/>
          <w:szCs w:val="22"/>
        </w:rPr>
        <w:t xml:space="preserve">they </w:t>
      </w:r>
      <w:r w:rsidRPr="00F45890">
        <w:rPr>
          <w:rFonts w:ascii="Calibri" w:hAnsi="Calibri" w:cs="Calibri"/>
          <w:sz w:val="22"/>
          <w:szCs w:val="22"/>
        </w:rPr>
        <w:t xml:space="preserve">might shy away from this is that they do not represent the whole House in the way that the Wright committee intended: members were originally elected on a whole House basis, which was </w:t>
      </w:r>
      <w:r>
        <w:rPr>
          <w:rFonts w:ascii="Calibri" w:hAnsi="Calibri" w:cs="Calibri"/>
          <w:sz w:val="22"/>
          <w:szCs w:val="22"/>
        </w:rPr>
        <w:t xml:space="preserve">expected </w:t>
      </w:r>
      <w:r w:rsidRPr="00F45890">
        <w:rPr>
          <w:rFonts w:ascii="Calibri" w:hAnsi="Calibri" w:cs="Calibri"/>
          <w:sz w:val="22"/>
          <w:szCs w:val="22"/>
        </w:rPr>
        <w:t>to give them a greater sense of representativeness and legitimacy. But this was replaced</w:t>
      </w:r>
      <w:r>
        <w:rPr>
          <w:rFonts w:ascii="Calibri" w:hAnsi="Calibri" w:cs="Calibri"/>
          <w:sz w:val="22"/>
          <w:szCs w:val="22"/>
        </w:rPr>
        <w:t xml:space="preserve">, on the recommendation of the government, </w:t>
      </w:r>
      <w:r w:rsidRPr="00F45890">
        <w:rPr>
          <w:rFonts w:ascii="Calibri" w:hAnsi="Calibri" w:cs="Calibri"/>
          <w:sz w:val="22"/>
          <w:szCs w:val="22"/>
        </w:rPr>
        <w:t xml:space="preserve">by within-party elections in 2012. Reverting to the pre-2012 arrangements, as the Backbench Business Committee has recommended, </w:t>
      </w:r>
      <w:r>
        <w:rPr>
          <w:rFonts w:ascii="Calibri" w:hAnsi="Calibri" w:cs="Calibri"/>
          <w:sz w:val="22"/>
          <w:szCs w:val="22"/>
        </w:rPr>
        <w:t>seems desirable.</w:t>
      </w:r>
      <w:r>
        <w:rPr>
          <w:rStyle w:val="EndnoteReference"/>
          <w:rFonts w:ascii="Calibri" w:hAnsi="Calibri" w:cs="Calibri"/>
          <w:sz w:val="22"/>
          <w:szCs w:val="22"/>
        </w:rPr>
        <w:endnoteReference w:id="13"/>
      </w:r>
    </w:p>
    <w:p w:rsidR="00FC7422" w:rsidRPr="00F45890" w:rsidP="001E6092">
      <w:pPr>
        <w:pStyle w:val="ListParagraph"/>
        <w:numPr>
          <w:ilvl w:val="1"/>
          <w:numId w:val="23"/>
        </w:numPr>
        <w:ind w:left="426" w:hanging="426"/>
        <w:contextualSpacing w:val="0"/>
        <w:jc w:val="both"/>
        <w:rPr>
          <w:rFonts w:ascii="Calibri" w:hAnsi="Calibri" w:cs="Calibri"/>
          <w:sz w:val="22"/>
          <w:szCs w:val="22"/>
        </w:rPr>
      </w:pPr>
      <w:r w:rsidRPr="00F45890">
        <w:rPr>
          <w:rFonts w:ascii="Calibri" w:hAnsi="Calibri" w:cs="Calibri"/>
          <w:sz w:val="22"/>
          <w:szCs w:val="22"/>
        </w:rPr>
        <w:t xml:space="preserve">The scheduling of backbench business is a serious problem for its effectiveness and popularity. It has overwhelmingly been scheduled on Thursdays, despite the Wright </w:t>
      </w:r>
      <w:r>
        <w:rPr>
          <w:rFonts w:ascii="Calibri" w:hAnsi="Calibri" w:cs="Calibri"/>
          <w:sz w:val="22"/>
          <w:szCs w:val="22"/>
        </w:rPr>
        <w:t>c</w:t>
      </w:r>
      <w:r w:rsidRPr="00F45890">
        <w:rPr>
          <w:rFonts w:ascii="Calibri" w:hAnsi="Calibri" w:cs="Calibri"/>
          <w:sz w:val="22"/>
          <w:szCs w:val="22"/>
        </w:rPr>
        <w:t>ommittee’s original recommendation to the contrary.</w:t>
      </w:r>
      <w:r>
        <w:rPr>
          <w:rStyle w:val="EndnoteReference"/>
          <w:rFonts w:ascii="Calibri" w:hAnsi="Calibri" w:cs="Calibri"/>
          <w:sz w:val="22"/>
          <w:szCs w:val="22"/>
        </w:rPr>
        <w:endnoteReference w:id="14"/>
      </w:r>
      <w:r w:rsidRPr="00F45890">
        <w:rPr>
          <w:rFonts w:ascii="Calibri" w:hAnsi="Calibri" w:cs="Calibri"/>
          <w:sz w:val="22"/>
          <w:szCs w:val="22"/>
        </w:rPr>
        <w:t xml:space="preserve"> This can depress attendance, as </w:t>
      </w:r>
      <w:r>
        <w:rPr>
          <w:rFonts w:ascii="Calibri" w:hAnsi="Calibri" w:cs="Calibri"/>
          <w:sz w:val="22"/>
          <w:szCs w:val="22"/>
        </w:rPr>
        <w:t>many</w:t>
      </w:r>
      <w:r w:rsidRPr="00F45890">
        <w:rPr>
          <w:rFonts w:ascii="Calibri" w:hAnsi="Calibri" w:cs="Calibri"/>
          <w:sz w:val="22"/>
          <w:szCs w:val="22"/>
        </w:rPr>
        <w:t xml:space="preserve"> MPs return to their constituencies. Th</w:t>
      </w:r>
      <w:r>
        <w:rPr>
          <w:rFonts w:ascii="Calibri" w:hAnsi="Calibri" w:cs="Calibri"/>
          <w:sz w:val="22"/>
          <w:szCs w:val="22"/>
        </w:rPr>
        <w:t>at</w:t>
      </w:r>
      <w:r w:rsidRPr="00F45890">
        <w:rPr>
          <w:rFonts w:ascii="Calibri" w:hAnsi="Calibri" w:cs="Calibri"/>
          <w:sz w:val="22"/>
          <w:szCs w:val="22"/>
        </w:rPr>
        <w:t xml:space="preserve"> can in turn discourage the use of substantive motions, and particularly those </w:t>
      </w:r>
      <w:r w:rsidRPr="00F45890">
        <w:rPr>
          <w:rFonts w:ascii="Calibri" w:hAnsi="Calibri" w:cs="Calibri"/>
          <w:sz w:val="22"/>
          <w:szCs w:val="22"/>
        </w:rPr>
        <w:t xml:space="preserve">that would allow MPs to make decisions on House business like recommendations from the Procedure Committee. As the Backbench Business Committee noted in its </w:t>
      </w:r>
      <w:r>
        <w:rPr>
          <w:rFonts w:ascii="Calibri" w:hAnsi="Calibri" w:cs="Calibri"/>
          <w:sz w:val="22"/>
          <w:szCs w:val="22"/>
        </w:rPr>
        <w:t xml:space="preserve">recent </w:t>
      </w:r>
      <w:r w:rsidRPr="00F45890">
        <w:rPr>
          <w:rFonts w:ascii="Calibri" w:hAnsi="Calibri" w:cs="Calibri"/>
          <w:sz w:val="22"/>
          <w:szCs w:val="22"/>
        </w:rPr>
        <w:t>report:</w:t>
      </w:r>
    </w:p>
    <w:p w:rsidR="00FC7422" w:rsidRPr="00B450CF" w:rsidP="008B7120">
      <w:pPr>
        <w:spacing w:line="276" w:lineRule="auto"/>
        <w:ind w:left="709"/>
        <w:jc w:val="both"/>
        <w:rPr>
          <w:rFonts w:ascii="Calibri" w:hAnsi="Calibri" w:cs="Calibri"/>
          <w:i/>
          <w:iCs/>
          <w:sz w:val="22"/>
          <w:szCs w:val="22"/>
        </w:rPr>
      </w:pPr>
      <w:r w:rsidRPr="00B450CF">
        <w:rPr>
          <w:rFonts w:ascii="Calibri" w:hAnsi="Calibri" w:cs="Calibri"/>
          <w:i/>
          <w:iCs/>
          <w:sz w:val="22"/>
          <w:szCs w:val="22"/>
        </w:rPr>
        <w:t>The timing of backbench debates, rather than the subject matter or whether there is a substantive motion, is usually the most significant contributing factor to the level of participation in debates. It is disappointing, therefore, that backbench business has largely been relegated to the ‘backwater’ of Thursday afternoons, warned against by the Wright Committee.</w:t>
      </w:r>
      <w:r>
        <w:rPr>
          <w:rStyle w:val="EndnoteReference"/>
          <w:rFonts w:ascii="Calibri" w:hAnsi="Calibri" w:cs="Calibri"/>
          <w:sz w:val="22"/>
          <w:szCs w:val="22"/>
        </w:rPr>
        <w:endnoteReference w:id="15"/>
      </w:r>
    </w:p>
    <w:p w:rsidR="00FC7422" w:rsidRPr="008558A3" w:rsidP="001E6092">
      <w:pPr>
        <w:pStyle w:val="ListParagraph"/>
        <w:numPr>
          <w:ilvl w:val="1"/>
          <w:numId w:val="23"/>
        </w:numPr>
        <w:ind w:left="426" w:hanging="426"/>
        <w:contextualSpacing w:val="0"/>
        <w:jc w:val="both"/>
      </w:pPr>
      <w:r w:rsidRPr="00F45890">
        <w:rPr>
          <w:rFonts w:ascii="Calibri" w:hAnsi="Calibri" w:cs="Calibri"/>
          <w:sz w:val="22"/>
          <w:szCs w:val="22"/>
        </w:rPr>
        <w:t xml:space="preserve">Backbench business could thus be revitalised – in line with the Wright committee’s original </w:t>
      </w:r>
      <w:r>
        <w:rPr>
          <w:rFonts w:ascii="Calibri" w:hAnsi="Calibri" w:cs="Calibri"/>
          <w:sz w:val="22"/>
          <w:szCs w:val="22"/>
        </w:rPr>
        <w:t>intentions</w:t>
      </w:r>
      <w:r w:rsidRPr="00F45890">
        <w:rPr>
          <w:rFonts w:ascii="Calibri" w:hAnsi="Calibri" w:cs="Calibri"/>
          <w:sz w:val="22"/>
          <w:szCs w:val="22"/>
        </w:rPr>
        <w:t xml:space="preserve"> – if it were more often scheduled on other days of the week. This could encourage attendance, and allow MPs to take important decisions </w:t>
      </w:r>
      <w:r>
        <w:rPr>
          <w:rFonts w:ascii="Calibri" w:hAnsi="Calibri" w:cs="Calibri"/>
          <w:sz w:val="22"/>
          <w:szCs w:val="22"/>
        </w:rPr>
        <w:t xml:space="preserve">on ‘House’ matters via </w:t>
      </w:r>
      <w:r w:rsidRPr="00F45890">
        <w:rPr>
          <w:rFonts w:ascii="Calibri" w:hAnsi="Calibri" w:cs="Calibri"/>
          <w:sz w:val="22"/>
          <w:szCs w:val="22"/>
        </w:rPr>
        <w:t>backbench business. To avoid reducing the time for other business, this would require government business and potentially opposition days to more often be scheduled on Thursdays. That would be in line with the Wright committee’s proposal that Thursdays ‘be revived as a proper day for business’</w:t>
      </w:r>
      <w:r>
        <w:rPr>
          <w:rStyle w:val="EndnoteReference"/>
          <w:rFonts w:ascii="Calibri" w:hAnsi="Calibri" w:cs="Calibri"/>
          <w:sz w:val="22"/>
          <w:szCs w:val="22"/>
        </w:rPr>
        <w:endnoteReference w:id="16"/>
      </w:r>
      <w:r w:rsidRPr="00F45890">
        <w:rPr>
          <w:rFonts w:ascii="Calibri" w:hAnsi="Calibri" w:cs="Calibri"/>
          <w:sz w:val="22"/>
          <w:szCs w:val="22"/>
        </w:rPr>
        <w:t>, and with the government’s view – expressed in its response to the Backbench Business Committee’s recent report – that ‘Thursday is a sitting day like any other in the week’.</w:t>
      </w:r>
      <w:r>
        <w:rPr>
          <w:rStyle w:val="EndnoteReference"/>
          <w:rFonts w:ascii="Calibri" w:hAnsi="Calibri" w:cs="Calibri"/>
          <w:sz w:val="22"/>
          <w:szCs w:val="22"/>
        </w:rPr>
        <w:endnoteReference w:id="17"/>
      </w:r>
    </w:p>
    <w:p w:rsidR="00FC7422" w:rsidP="001E6092">
      <w:pPr>
        <w:pStyle w:val="ListParagraph"/>
        <w:numPr>
          <w:ilvl w:val="1"/>
          <w:numId w:val="23"/>
        </w:numPr>
        <w:spacing w:line="276" w:lineRule="auto"/>
        <w:ind w:left="426" w:hanging="426"/>
        <w:contextualSpacing w:val="0"/>
        <w:jc w:val="both"/>
        <w:rPr>
          <w:rFonts w:ascii="Calibri" w:hAnsi="Calibri" w:cs="Calibri"/>
          <w:sz w:val="22"/>
          <w:szCs w:val="22"/>
        </w:rPr>
      </w:pPr>
      <w:r w:rsidRPr="00B450CF">
        <w:rPr>
          <w:rFonts w:ascii="Calibri" w:hAnsi="Calibri" w:cs="Calibri"/>
          <w:sz w:val="22"/>
          <w:szCs w:val="22"/>
        </w:rPr>
        <w:t xml:space="preserve">A </w:t>
      </w:r>
      <w:r>
        <w:rPr>
          <w:rFonts w:ascii="Calibri" w:hAnsi="Calibri" w:cs="Calibri"/>
          <w:sz w:val="22"/>
          <w:szCs w:val="22"/>
        </w:rPr>
        <w:t xml:space="preserve">further </w:t>
      </w:r>
      <w:r w:rsidRPr="00B450CF">
        <w:rPr>
          <w:rFonts w:ascii="Calibri" w:hAnsi="Calibri" w:cs="Calibri"/>
          <w:sz w:val="22"/>
          <w:szCs w:val="22"/>
        </w:rPr>
        <w:t xml:space="preserve">problem regarding timing is that the government retains discretion over when backbench days take place. This brings a number of problems, which </w:t>
      </w:r>
      <w:r>
        <w:rPr>
          <w:rFonts w:ascii="Calibri" w:hAnsi="Calibri" w:cs="Calibri"/>
          <w:sz w:val="22"/>
          <w:szCs w:val="22"/>
        </w:rPr>
        <w:t>also affect opposition days given that they stem from a per-session allocation of days being scheduled by the government.</w:t>
      </w:r>
    </w:p>
    <w:p w:rsidR="00FC7422" w:rsidP="001E6092">
      <w:pPr>
        <w:pStyle w:val="ListParagraph"/>
        <w:numPr>
          <w:ilvl w:val="0"/>
          <w:numId w:val="21"/>
        </w:numPr>
        <w:spacing w:line="276" w:lineRule="auto"/>
        <w:ind w:left="709" w:hanging="283"/>
        <w:contextualSpacing w:val="0"/>
        <w:jc w:val="both"/>
        <w:rPr>
          <w:rFonts w:ascii="Calibri" w:hAnsi="Calibri" w:cs="Calibri"/>
          <w:sz w:val="22"/>
          <w:szCs w:val="22"/>
        </w:rPr>
      </w:pPr>
      <w:r>
        <w:rPr>
          <w:rFonts w:ascii="Calibri" w:hAnsi="Calibri" w:cs="Calibri"/>
          <w:sz w:val="22"/>
          <w:szCs w:val="22"/>
        </w:rPr>
        <w:t>First</w:t>
      </w:r>
      <w:r w:rsidRPr="00B450CF">
        <w:rPr>
          <w:rFonts w:ascii="Calibri" w:hAnsi="Calibri" w:cs="Calibri"/>
          <w:sz w:val="22"/>
          <w:szCs w:val="22"/>
        </w:rPr>
        <w:t>, there is a lack of certainty on a week-by-week basis regarding when the sessions will be held</w:t>
      </w:r>
      <w:r>
        <w:rPr>
          <w:rFonts w:ascii="Calibri" w:hAnsi="Calibri" w:cs="Calibri"/>
          <w:sz w:val="22"/>
          <w:szCs w:val="22"/>
        </w:rPr>
        <w:t>.</w:t>
      </w:r>
      <w:r w:rsidRPr="00B450CF">
        <w:rPr>
          <w:rFonts w:ascii="Calibri" w:hAnsi="Calibri" w:cs="Calibri"/>
          <w:sz w:val="22"/>
          <w:szCs w:val="22"/>
        </w:rPr>
        <w:t xml:space="preserve"> </w:t>
      </w:r>
      <w:r>
        <w:rPr>
          <w:rFonts w:ascii="Calibri" w:hAnsi="Calibri" w:cs="Calibri"/>
          <w:sz w:val="22"/>
          <w:szCs w:val="22"/>
        </w:rPr>
        <w:t>C</w:t>
      </w:r>
      <w:r w:rsidRPr="00B450CF">
        <w:rPr>
          <w:rFonts w:ascii="Calibri" w:hAnsi="Calibri" w:cs="Calibri"/>
          <w:sz w:val="22"/>
          <w:szCs w:val="22"/>
        </w:rPr>
        <w:t xml:space="preserve">ombined with scheduling far in advance, </w:t>
      </w:r>
      <w:r>
        <w:rPr>
          <w:rFonts w:ascii="Calibri" w:hAnsi="Calibri" w:cs="Calibri"/>
          <w:sz w:val="22"/>
          <w:szCs w:val="22"/>
        </w:rPr>
        <w:t xml:space="preserve">this contributes to the problem of </w:t>
      </w:r>
      <w:r w:rsidRPr="00B450CF">
        <w:rPr>
          <w:rFonts w:ascii="Calibri" w:hAnsi="Calibri" w:cs="Calibri"/>
          <w:sz w:val="22"/>
          <w:szCs w:val="22"/>
        </w:rPr>
        <w:t xml:space="preserve">members </w:t>
      </w:r>
      <w:r>
        <w:rPr>
          <w:rFonts w:ascii="Calibri" w:hAnsi="Calibri" w:cs="Calibri"/>
          <w:sz w:val="22"/>
          <w:szCs w:val="22"/>
        </w:rPr>
        <w:t xml:space="preserve">supporting bids </w:t>
      </w:r>
      <w:r w:rsidRPr="00B450CF">
        <w:rPr>
          <w:rFonts w:ascii="Calibri" w:hAnsi="Calibri" w:cs="Calibri"/>
          <w:sz w:val="22"/>
          <w:szCs w:val="22"/>
        </w:rPr>
        <w:t xml:space="preserve">for debates </w:t>
      </w:r>
      <w:r>
        <w:rPr>
          <w:rFonts w:ascii="Calibri" w:hAnsi="Calibri" w:cs="Calibri"/>
          <w:sz w:val="22"/>
          <w:szCs w:val="22"/>
        </w:rPr>
        <w:t>but not then taking part in them</w:t>
      </w:r>
      <w:r w:rsidRPr="00B450CF">
        <w:rPr>
          <w:rFonts w:ascii="Calibri" w:hAnsi="Calibri" w:cs="Calibri"/>
          <w:sz w:val="22"/>
          <w:szCs w:val="22"/>
        </w:rPr>
        <w:t xml:space="preserve">. </w:t>
      </w:r>
    </w:p>
    <w:p w:rsidR="00FC7422" w:rsidP="001E6092">
      <w:pPr>
        <w:pStyle w:val="ListParagraph"/>
        <w:numPr>
          <w:ilvl w:val="0"/>
          <w:numId w:val="21"/>
        </w:numPr>
        <w:spacing w:line="276" w:lineRule="auto"/>
        <w:ind w:left="709" w:hanging="283"/>
        <w:contextualSpacing w:val="0"/>
        <w:jc w:val="both"/>
        <w:rPr>
          <w:rFonts w:ascii="Calibri" w:hAnsi="Calibri" w:cs="Calibri"/>
          <w:sz w:val="22"/>
          <w:szCs w:val="22"/>
        </w:rPr>
      </w:pPr>
      <w:r>
        <w:rPr>
          <w:rFonts w:ascii="Calibri" w:hAnsi="Calibri" w:cs="Calibri"/>
          <w:sz w:val="22"/>
          <w:szCs w:val="22"/>
        </w:rPr>
        <w:t>Second</w:t>
      </w:r>
      <w:r w:rsidRPr="00B450CF">
        <w:rPr>
          <w:rFonts w:ascii="Calibri" w:hAnsi="Calibri" w:cs="Calibri"/>
          <w:sz w:val="22"/>
          <w:szCs w:val="22"/>
        </w:rPr>
        <w:t xml:space="preserve">, </w:t>
      </w:r>
      <w:r>
        <w:rPr>
          <w:rFonts w:ascii="Calibri" w:hAnsi="Calibri" w:cs="Calibri"/>
          <w:sz w:val="22"/>
          <w:szCs w:val="22"/>
        </w:rPr>
        <w:t xml:space="preserve">there is no formal obstacle to a government withholding these </w:t>
      </w:r>
      <w:r w:rsidRPr="00B450CF">
        <w:rPr>
          <w:rFonts w:ascii="Calibri" w:hAnsi="Calibri" w:cs="Calibri"/>
          <w:sz w:val="22"/>
          <w:szCs w:val="22"/>
        </w:rPr>
        <w:t xml:space="preserve">debates </w:t>
      </w:r>
      <w:r>
        <w:rPr>
          <w:rFonts w:ascii="Calibri" w:hAnsi="Calibri" w:cs="Calibri"/>
          <w:sz w:val="22"/>
          <w:szCs w:val="22"/>
        </w:rPr>
        <w:t xml:space="preserve">for a long period during a session in order </w:t>
      </w:r>
      <w:r w:rsidRPr="00B450CF">
        <w:rPr>
          <w:rFonts w:ascii="Calibri" w:hAnsi="Calibri" w:cs="Calibri"/>
          <w:sz w:val="22"/>
          <w:szCs w:val="22"/>
        </w:rPr>
        <w:t>to avoid debate on a particular matter.</w:t>
      </w:r>
      <w:r>
        <w:rPr>
          <w:rStyle w:val="EndnoteReference"/>
          <w:rFonts w:ascii="Calibri" w:hAnsi="Calibri" w:cs="Calibri"/>
          <w:sz w:val="22"/>
          <w:szCs w:val="22"/>
        </w:rPr>
        <w:endnoteReference w:id="18"/>
      </w:r>
    </w:p>
    <w:p w:rsidR="00FC7422" w:rsidRPr="00AF6737" w:rsidP="001E6092">
      <w:pPr>
        <w:pStyle w:val="ListParagraph"/>
        <w:numPr>
          <w:ilvl w:val="0"/>
          <w:numId w:val="21"/>
        </w:numPr>
        <w:spacing w:line="276" w:lineRule="auto"/>
        <w:ind w:left="709" w:hanging="283"/>
        <w:contextualSpacing w:val="0"/>
        <w:jc w:val="both"/>
        <w:rPr>
          <w:rFonts w:ascii="Calibri" w:hAnsi="Calibri" w:cs="Calibri"/>
          <w:sz w:val="22"/>
          <w:szCs w:val="22"/>
        </w:rPr>
      </w:pPr>
      <w:r>
        <w:rPr>
          <w:rFonts w:ascii="Calibri" w:hAnsi="Calibri" w:cs="Calibri"/>
          <w:sz w:val="22"/>
          <w:szCs w:val="22"/>
        </w:rPr>
        <w:t>Third</w:t>
      </w:r>
      <w:r w:rsidRPr="00B450CF">
        <w:rPr>
          <w:rFonts w:ascii="Calibri" w:hAnsi="Calibri" w:cs="Calibri"/>
          <w:sz w:val="22"/>
          <w:szCs w:val="22"/>
        </w:rPr>
        <w:t xml:space="preserve">, these allocations do not </w:t>
      </w:r>
      <w:r>
        <w:rPr>
          <w:rFonts w:ascii="Calibri" w:hAnsi="Calibri" w:cs="Calibri"/>
          <w:sz w:val="22"/>
          <w:szCs w:val="22"/>
        </w:rPr>
        <w:t>automatically increase</w:t>
      </w:r>
      <w:r w:rsidRPr="00B450CF">
        <w:rPr>
          <w:rFonts w:ascii="Calibri" w:hAnsi="Calibri" w:cs="Calibri"/>
          <w:sz w:val="22"/>
          <w:szCs w:val="22"/>
        </w:rPr>
        <w:t xml:space="preserve"> </w:t>
      </w:r>
      <w:r>
        <w:rPr>
          <w:rFonts w:ascii="Calibri" w:hAnsi="Calibri" w:cs="Calibri"/>
          <w:sz w:val="22"/>
          <w:szCs w:val="22"/>
        </w:rPr>
        <w:t xml:space="preserve">in </w:t>
      </w:r>
      <w:r w:rsidRPr="00B450CF">
        <w:rPr>
          <w:rFonts w:ascii="Calibri" w:hAnsi="Calibri" w:cs="Calibri"/>
          <w:sz w:val="22"/>
          <w:szCs w:val="22"/>
        </w:rPr>
        <w:t xml:space="preserve">longer sessions, which have </w:t>
      </w:r>
      <w:r>
        <w:rPr>
          <w:rFonts w:ascii="Calibri" w:hAnsi="Calibri" w:cs="Calibri"/>
          <w:sz w:val="22"/>
          <w:szCs w:val="22"/>
        </w:rPr>
        <w:t xml:space="preserve">recently </w:t>
      </w:r>
      <w:r w:rsidRPr="00B450CF">
        <w:rPr>
          <w:rFonts w:ascii="Calibri" w:hAnsi="Calibri" w:cs="Calibri"/>
          <w:sz w:val="22"/>
          <w:szCs w:val="22"/>
        </w:rPr>
        <w:t>become more frequent (2010</w:t>
      </w:r>
      <w:r>
        <w:rPr>
          <w:rFonts w:ascii="Calibri" w:hAnsi="Calibri" w:cs="Calibri"/>
          <w:sz w:val="22"/>
          <w:szCs w:val="22"/>
        </w:rPr>
        <w:t>–</w:t>
      </w:r>
      <w:r w:rsidRPr="00B450CF">
        <w:rPr>
          <w:rFonts w:ascii="Calibri" w:hAnsi="Calibri" w:cs="Calibri"/>
          <w:sz w:val="22"/>
          <w:szCs w:val="22"/>
        </w:rPr>
        <w:t>12, 2017</w:t>
      </w:r>
      <w:r>
        <w:rPr>
          <w:rFonts w:ascii="Calibri" w:hAnsi="Calibri" w:cs="Calibri"/>
          <w:sz w:val="22"/>
          <w:szCs w:val="22"/>
        </w:rPr>
        <w:t>–</w:t>
      </w:r>
      <w:r w:rsidRPr="00B450CF">
        <w:rPr>
          <w:rFonts w:ascii="Calibri" w:hAnsi="Calibri" w:cs="Calibri"/>
          <w:sz w:val="22"/>
          <w:szCs w:val="22"/>
        </w:rPr>
        <w:t>19, 2019</w:t>
      </w:r>
      <w:r>
        <w:rPr>
          <w:rFonts w:ascii="Calibri" w:hAnsi="Calibri" w:cs="Calibri"/>
          <w:sz w:val="22"/>
          <w:szCs w:val="22"/>
        </w:rPr>
        <w:t>–</w:t>
      </w:r>
      <w:r w:rsidRPr="00B450CF">
        <w:rPr>
          <w:rFonts w:ascii="Calibri" w:hAnsi="Calibri" w:cs="Calibri"/>
          <w:sz w:val="22"/>
          <w:szCs w:val="22"/>
        </w:rPr>
        <w:t>21, 2024</w:t>
      </w:r>
      <w:r>
        <w:rPr>
          <w:rFonts w:ascii="Calibri" w:hAnsi="Calibri" w:cs="Calibri"/>
          <w:sz w:val="22"/>
          <w:szCs w:val="22"/>
        </w:rPr>
        <w:t>–</w:t>
      </w:r>
      <w:r w:rsidRPr="00B450CF">
        <w:rPr>
          <w:rFonts w:ascii="Calibri" w:hAnsi="Calibri" w:cs="Calibri"/>
          <w:sz w:val="22"/>
          <w:szCs w:val="22"/>
        </w:rPr>
        <w:t xml:space="preserve">26). </w:t>
      </w:r>
      <w:r>
        <w:rPr>
          <w:rFonts w:ascii="Calibri" w:hAnsi="Calibri" w:cs="Calibri"/>
          <w:sz w:val="22"/>
          <w:szCs w:val="22"/>
        </w:rPr>
        <w:t>Government may provide additional backbench days voluntarily – as it did in the last session – but this is not guaranteed. This problem also affects the Fridays allocated for consideration of private members’ bills.</w:t>
      </w:r>
    </w:p>
    <w:p w:rsidR="00FC7422" w:rsidRPr="00F45890" w:rsidP="001E6092">
      <w:pPr>
        <w:pStyle w:val="ListParagraph"/>
        <w:numPr>
          <w:ilvl w:val="1"/>
          <w:numId w:val="23"/>
        </w:numPr>
        <w:spacing w:line="276" w:lineRule="auto"/>
        <w:ind w:left="426" w:hanging="426"/>
        <w:contextualSpacing w:val="0"/>
        <w:jc w:val="both"/>
        <w:rPr>
          <w:rFonts w:ascii="Calibri" w:hAnsi="Calibri" w:cs="Calibri"/>
          <w:sz w:val="22"/>
          <w:szCs w:val="22"/>
        </w:rPr>
      </w:pPr>
      <w:r w:rsidRPr="00F45890">
        <w:rPr>
          <w:rFonts w:ascii="Calibri" w:hAnsi="Calibri" w:cs="Calibri"/>
          <w:sz w:val="22"/>
          <w:szCs w:val="22"/>
        </w:rPr>
        <w:t xml:space="preserve">It has long been suggested that a more rational system </w:t>
      </w:r>
      <w:r>
        <w:rPr>
          <w:rFonts w:ascii="Calibri" w:hAnsi="Calibri" w:cs="Calibri"/>
          <w:sz w:val="22"/>
          <w:szCs w:val="22"/>
        </w:rPr>
        <w:t xml:space="preserve">might therefore </w:t>
      </w:r>
      <w:r w:rsidRPr="00F45890">
        <w:rPr>
          <w:rFonts w:ascii="Calibri" w:hAnsi="Calibri" w:cs="Calibri"/>
          <w:sz w:val="22"/>
          <w:szCs w:val="22"/>
        </w:rPr>
        <w:t>be to move to a monthly allocation</w:t>
      </w:r>
      <w:r>
        <w:rPr>
          <w:rFonts w:ascii="Calibri" w:hAnsi="Calibri" w:cs="Calibri"/>
          <w:sz w:val="22"/>
          <w:szCs w:val="22"/>
        </w:rPr>
        <w:t xml:space="preserve"> of days for backbench business (and opposition days)</w:t>
      </w:r>
      <w:r w:rsidRPr="00F45890">
        <w:rPr>
          <w:rFonts w:ascii="Calibri" w:hAnsi="Calibri" w:cs="Calibri"/>
          <w:sz w:val="22"/>
          <w:szCs w:val="22"/>
        </w:rPr>
        <w:t>.</w:t>
      </w:r>
      <w:r>
        <w:rPr>
          <w:rStyle w:val="EndnoteReference"/>
          <w:rFonts w:ascii="Calibri" w:hAnsi="Calibri" w:cs="Calibri"/>
          <w:sz w:val="22"/>
          <w:szCs w:val="22"/>
        </w:rPr>
        <w:endnoteReference w:id="19"/>
      </w:r>
      <w:r>
        <w:rPr>
          <w:rFonts w:ascii="Calibri" w:hAnsi="Calibri" w:cs="Calibri"/>
          <w:sz w:val="22"/>
          <w:szCs w:val="22"/>
        </w:rPr>
        <w:t xml:space="preserve"> This might also facilitate the more selective approach to debate bids that we discussed above, thus ensuring greater topicality.</w:t>
      </w:r>
    </w:p>
    <w:p w:rsidR="00FC7422" w:rsidRPr="00B450CF" w:rsidP="00B450CF">
      <w:pPr>
        <w:spacing w:line="276" w:lineRule="auto"/>
        <w:rPr>
          <w:rFonts w:ascii="Calibri" w:hAnsi="Calibri" w:cs="Calibri"/>
          <w:b/>
          <w:bCs/>
          <w:sz w:val="22"/>
          <w:szCs w:val="22"/>
        </w:rPr>
      </w:pPr>
      <w:r w:rsidRPr="00B450CF">
        <w:rPr>
          <w:rFonts w:ascii="Calibri" w:hAnsi="Calibri" w:cs="Calibri"/>
          <w:b/>
          <w:bCs/>
          <w:sz w:val="22"/>
          <w:szCs w:val="22"/>
        </w:rPr>
        <w:t>5. Pressure on government business</w:t>
      </w:r>
    </w:p>
    <w:p w:rsidR="00FC7422" w:rsidRPr="00B450CF" w:rsidP="001E6092">
      <w:pPr>
        <w:pStyle w:val="ListParagraph"/>
        <w:numPr>
          <w:ilvl w:val="1"/>
          <w:numId w:val="13"/>
        </w:numPr>
        <w:spacing w:line="276" w:lineRule="auto"/>
        <w:ind w:left="425" w:hanging="425"/>
        <w:contextualSpacing w:val="0"/>
        <w:jc w:val="both"/>
        <w:rPr>
          <w:rFonts w:ascii="Calibri" w:hAnsi="Calibri" w:cs="Calibri"/>
          <w:sz w:val="22"/>
          <w:szCs w:val="22"/>
        </w:rPr>
      </w:pPr>
      <w:r w:rsidRPr="00B450CF">
        <w:rPr>
          <w:rFonts w:ascii="Calibri" w:hAnsi="Calibri" w:cs="Calibri"/>
          <w:sz w:val="22"/>
          <w:szCs w:val="22"/>
        </w:rPr>
        <w:t xml:space="preserve">Governments understandably, and entirely legitimately, place high priority on passing their own business, and especially their legislative programme. </w:t>
      </w:r>
      <w:r>
        <w:rPr>
          <w:rFonts w:ascii="Calibri" w:hAnsi="Calibri" w:cs="Calibri"/>
          <w:sz w:val="22"/>
          <w:szCs w:val="22"/>
        </w:rPr>
        <w:t>T</w:t>
      </w:r>
      <w:r w:rsidRPr="00B450CF">
        <w:rPr>
          <w:rFonts w:ascii="Calibri" w:hAnsi="Calibri" w:cs="Calibri"/>
          <w:sz w:val="22"/>
          <w:szCs w:val="22"/>
        </w:rPr>
        <w:t>ime spent on government business is also of value to other MPs, as it allows them to scrutinise that business. The whole House thus has a shared interest in adequate time being available for considering government business.</w:t>
      </w:r>
    </w:p>
    <w:p w:rsidR="00FC7422" w:rsidRPr="00B450CF" w:rsidP="001E6092">
      <w:pPr>
        <w:pStyle w:val="ListParagraph"/>
        <w:numPr>
          <w:ilvl w:val="1"/>
          <w:numId w:val="13"/>
        </w:numPr>
        <w:spacing w:line="276" w:lineRule="auto"/>
        <w:ind w:left="425" w:hanging="425"/>
        <w:contextualSpacing w:val="0"/>
        <w:jc w:val="both"/>
        <w:rPr>
          <w:rFonts w:ascii="Calibri" w:hAnsi="Calibri" w:cs="Calibri"/>
          <w:sz w:val="22"/>
          <w:szCs w:val="22"/>
        </w:rPr>
      </w:pPr>
      <w:r w:rsidRPr="00B450CF">
        <w:rPr>
          <w:rFonts w:ascii="Calibri" w:hAnsi="Calibri" w:cs="Calibri"/>
          <w:sz w:val="22"/>
          <w:szCs w:val="22"/>
        </w:rPr>
        <w:t>However, it is not obvious that a shortage of time in the Commons has been a serious obstacle to recent governments passing their preferred legislation. According to figures from the House of Commons Library, the government introduced 63 bills in the 2024–26 session, of which 54 received Royal Assent, one fell due to not completing its passage, and eight were carried over.</w:t>
      </w:r>
      <w:r>
        <w:rPr>
          <w:rStyle w:val="EndnoteReference"/>
          <w:rFonts w:ascii="Calibri" w:hAnsi="Calibri" w:cs="Calibri"/>
          <w:sz w:val="22"/>
          <w:szCs w:val="22"/>
        </w:rPr>
        <w:endnoteReference w:id="20"/>
      </w:r>
      <w:r w:rsidRPr="00B450CF">
        <w:rPr>
          <w:rFonts w:ascii="Calibri" w:hAnsi="Calibri" w:cs="Calibri"/>
          <w:sz w:val="22"/>
          <w:szCs w:val="22"/>
        </w:rPr>
        <w:t xml:space="preserve"> </w:t>
      </w:r>
      <w:r w:rsidRPr="00B450CF">
        <w:rPr>
          <w:rFonts w:ascii="Calibri" w:hAnsi="Calibri" w:cs="Calibri"/>
          <w:sz w:val="22"/>
          <w:szCs w:val="22"/>
        </w:rPr>
        <w:t>The sole bill that fell had already passed all of its Commons stages.</w:t>
      </w:r>
      <w:r>
        <w:rPr>
          <w:rStyle w:val="EndnoteReference"/>
          <w:rFonts w:ascii="Calibri" w:hAnsi="Calibri" w:cs="Calibri"/>
          <w:sz w:val="22"/>
          <w:szCs w:val="22"/>
        </w:rPr>
        <w:endnoteReference w:id="21"/>
      </w:r>
      <w:r w:rsidRPr="00B450CF">
        <w:rPr>
          <w:rFonts w:ascii="Calibri" w:hAnsi="Calibri" w:cs="Calibri"/>
          <w:sz w:val="22"/>
          <w:szCs w:val="22"/>
        </w:rPr>
        <w:t xml:space="preserve"> Of the eight that were carried over, seven had only been introduced relatively late in the session.</w:t>
      </w:r>
      <w:r>
        <w:rPr>
          <w:rStyle w:val="EndnoteReference"/>
          <w:rFonts w:ascii="Calibri" w:hAnsi="Calibri" w:cs="Calibri"/>
          <w:sz w:val="22"/>
          <w:szCs w:val="22"/>
        </w:rPr>
        <w:endnoteReference w:id="22"/>
      </w:r>
    </w:p>
    <w:p w:rsidR="00FC7422" w:rsidRPr="00B450CF" w:rsidP="001E6092">
      <w:pPr>
        <w:pStyle w:val="ListParagraph"/>
        <w:numPr>
          <w:ilvl w:val="1"/>
          <w:numId w:val="13"/>
        </w:numPr>
        <w:spacing w:line="276" w:lineRule="auto"/>
        <w:ind w:left="425" w:hanging="425"/>
        <w:contextualSpacing w:val="0"/>
        <w:jc w:val="both"/>
        <w:rPr>
          <w:rFonts w:ascii="Calibri" w:hAnsi="Calibri" w:cs="Calibri"/>
          <w:sz w:val="22"/>
          <w:szCs w:val="22"/>
        </w:rPr>
      </w:pPr>
      <w:r w:rsidRPr="00B450CF">
        <w:rPr>
          <w:rFonts w:ascii="Calibri" w:hAnsi="Calibri" w:cs="Calibri"/>
          <w:sz w:val="22"/>
          <w:szCs w:val="22"/>
        </w:rPr>
        <w:t xml:space="preserve">Nor is it obvious that allocating more time to government business would mean any increase in the extent to which that business </w:t>
      </w:r>
      <w:r>
        <w:rPr>
          <w:rFonts w:ascii="Calibri" w:hAnsi="Calibri" w:cs="Calibri"/>
          <w:sz w:val="22"/>
          <w:szCs w:val="22"/>
        </w:rPr>
        <w:t>i</w:t>
      </w:r>
      <w:r w:rsidRPr="00B450CF">
        <w:rPr>
          <w:rFonts w:ascii="Calibri" w:hAnsi="Calibri" w:cs="Calibri"/>
          <w:sz w:val="22"/>
          <w:szCs w:val="22"/>
        </w:rPr>
        <w:t xml:space="preserve">s scrutinised. It might simply lead to an increase in the number of bills being introduced, with no gains for the House’s ability to scrutinise </w:t>
      </w:r>
      <w:r>
        <w:rPr>
          <w:rFonts w:ascii="Calibri" w:hAnsi="Calibri" w:cs="Calibri"/>
          <w:sz w:val="22"/>
          <w:szCs w:val="22"/>
        </w:rPr>
        <w:t>them</w:t>
      </w:r>
      <w:r w:rsidRPr="00B450CF">
        <w:rPr>
          <w:rFonts w:ascii="Calibri" w:hAnsi="Calibri" w:cs="Calibri"/>
          <w:sz w:val="22"/>
          <w:szCs w:val="22"/>
        </w:rPr>
        <w:t xml:space="preserve">. </w:t>
      </w:r>
    </w:p>
    <w:p w:rsidR="00FC7422" w:rsidRPr="00B450CF" w:rsidP="001E6092">
      <w:pPr>
        <w:pStyle w:val="ListParagraph"/>
        <w:numPr>
          <w:ilvl w:val="1"/>
          <w:numId w:val="13"/>
        </w:numPr>
        <w:spacing w:line="276" w:lineRule="auto"/>
        <w:ind w:left="425" w:hanging="425"/>
        <w:contextualSpacing w:val="0"/>
        <w:jc w:val="both"/>
        <w:rPr>
          <w:rFonts w:ascii="Calibri" w:hAnsi="Calibri" w:cs="Calibri"/>
          <w:sz w:val="22"/>
          <w:szCs w:val="22"/>
        </w:rPr>
      </w:pPr>
      <w:r w:rsidRPr="00B450CF">
        <w:rPr>
          <w:rFonts w:ascii="Calibri" w:hAnsi="Calibri" w:cs="Calibri"/>
          <w:sz w:val="22"/>
          <w:szCs w:val="22"/>
        </w:rPr>
        <w:t xml:space="preserve">Moreover, if the committee </w:t>
      </w:r>
      <w:r>
        <w:rPr>
          <w:rFonts w:ascii="Calibri" w:hAnsi="Calibri" w:cs="Calibri"/>
          <w:sz w:val="22"/>
          <w:szCs w:val="22"/>
        </w:rPr>
        <w:t>reaches</w:t>
      </w:r>
      <w:r w:rsidRPr="00B450CF">
        <w:rPr>
          <w:rFonts w:ascii="Calibri" w:hAnsi="Calibri" w:cs="Calibri"/>
          <w:sz w:val="22"/>
          <w:szCs w:val="22"/>
        </w:rPr>
        <w:t xml:space="preserve"> the view that the House </w:t>
      </w:r>
      <w:r>
        <w:rPr>
          <w:rFonts w:ascii="Calibri" w:hAnsi="Calibri" w:cs="Calibri"/>
          <w:sz w:val="22"/>
          <w:szCs w:val="22"/>
        </w:rPr>
        <w:t>should</w:t>
      </w:r>
      <w:r w:rsidRPr="00B450CF">
        <w:rPr>
          <w:rFonts w:ascii="Calibri" w:hAnsi="Calibri" w:cs="Calibri"/>
          <w:sz w:val="22"/>
          <w:szCs w:val="22"/>
        </w:rPr>
        <w:t xml:space="preserve"> devote more time to scrutinising government bills, it might consider whether any of this additional time could come from time already allocated to government business. </w:t>
      </w:r>
    </w:p>
    <w:p w:rsidR="00FC7422" w:rsidRPr="000276AD" w:rsidP="001E6092">
      <w:pPr>
        <w:pStyle w:val="ListParagraph"/>
        <w:numPr>
          <w:ilvl w:val="1"/>
          <w:numId w:val="13"/>
        </w:numPr>
        <w:spacing w:line="276" w:lineRule="auto"/>
        <w:ind w:left="425" w:hanging="425"/>
        <w:contextualSpacing w:val="0"/>
        <w:jc w:val="both"/>
        <w:rPr>
          <w:rFonts w:ascii="Calibri" w:hAnsi="Calibri" w:cs="Calibri"/>
          <w:b/>
          <w:bCs/>
          <w:sz w:val="22"/>
          <w:szCs w:val="22"/>
        </w:rPr>
      </w:pPr>
      <w:r w:rsidRPr="00B450CF">
        <w:rPr>
          <w:rFonts w:ascii="Calibri" w:hAnsi="Calibri" w:cs="Calibri"/>
          <w:sz w:val="22"/>
          <w:szCs w:val="22"/>
        </w:rPr>
        <w:t xml:space="preserve">As just one example, the committee might consider whether </w:t>
      </w:r>
      <w:r>
        <w:rPr>
          <w:rFonts w:ascii="Calibri" w:hAnsi="Calibri" w:cs="Calibri"/>
          <w:sz w:val="22"/>
          <w:szCs w:val="22"/>
        </w:rPr>
        <w:t xml:space="preserve">fewer general debates should be scheduled by </w:t>
      </w:r>
      <w:r w:rsidRPr="00B450CF">
        <w:rPr>
          <w:rFonts w:ascii="Calibri" w:hAnsi="Calibri" w:cs="Calibri"/>
          <w:sz w:val="22"/>
          <w:szCs w:val="22"/>
        </w:rPr>
        <w:t xml:space="preserve">the government. </w:t>
      </w:r>
      <w:r>
        <w:rPr>
          <w:rFonts w:ascii="Calibri" w:hAnsi="Calibri" w:cs="Calibri"/>
          <w:sz w:val="22"/>
          <w:szCs w:val="22"/>
        </w:rPr>
        <w:t>As noted above, t</w:t>
      </w:r>
      <w:r w:rsidRPr="00B450CF">
        <w:rPr>
          <w:rFonts w:ascii="Calibri" w:hAnsi="Calibri" w:cs="Calibri"/>
          <w:sz w:val="22"/>
          <w:szCs w:val="22"/>
        </w:rPr>
        <w:t xml:space="preserve">he Wright </w:t>
      </w:r>
      <w:r>
        <w:rPr>
          <w:rFonts w:ascii="Calibri" w:hAnsi="Calibri" w:cs="Calibri"/>
          <w:sz w:val="22"/>
          <w:szCs w:val="22"/>
        </w:rPr>
        <w:t>c</w:t>
      </w:r>
      <w:r w:rsidRPr="00B450CF">
        <w:rPr>
          <w:rFonts w:ascii="Calibri" w:hAnsi="Calibri" w:cs="Calibri"/>
          <w:sz w:val="22"/>
          <w:szCs w:val="22"/>
        </w:rPr>
        <w:t xml:space="preserve">ommittee report </w:t>
      </w:r>
      <w:r>
        <w:rPr>
          <w:rFonts w:ascii="Calibri" w:hAnsi="Calibri" w:cs="Calibri"/>
          <w:sz w:val="22"/>
          <w:szCs w:val="22"/>
        </w:rPr>
        <w:t xml:space="preserve">noted </w:t>
      </w:r>
      <w:r w:rsidRPr="00B450CF">
        <w:rPr>
          <w:rFonts w:ascii="Calibri" w:hAnsi="Calibri" w:cs="Calibri"/>
          <w:sz w:val="22"/>
          <w:szCs w:val="22"/>
        </w:rPr>
        <w:t xml:space="preserve">‘the timing and topics of general debates’ as something in which the government ‘has no direct interest’, and which </w:t>
      </w:r>
      <w:r>
        <w:rPr>
          <w:rFonts w:ascii="Calibri" w:hAnsi="Calibri" w:cs="Calibri"/>
          <w:sz w:val="22"/>
          <w:szCs w:val="22"/>
        </w:rPr>
        <w:t>sh</w:t>
      </w:r>
      <w:r w:rsidRPr="00B450CF">
        <w:rPr>
          <w:rFonts w:ascii="Calibri" w:hAnsi="Calibri" w:cs="Calibri"/>
          <w:sz w:val="22"/>
          <w:szCs w:val="22"/>
        </w:rPr>
        <w:t>ould therefore become the responsibility of the Backbench Business Committee.</w:t>
      </w:r>
      <w:r>
        <w:rPr>
          <w:rStyle w:val="EndnoteReference"/>
          <w:rFonts w:ascii="Calibri" w:hAnsi="Calibri" w:cs="Calibri"/>
          <w:sz w:val="22"/>
          <w:szCs w:val="22"/>
        </w:rPr>
        <w:endnoteReference w:id="23"/>
      </w:r>
      <w:r w:rsidRPr="00B450CF">
        <w:rPr>
          <w:rFonts w:ascii="Calibri" w:hAnsi="Calibri" w:cs="Calibri"/>
          <w:sz w:val="22"/>
          <w:szCs w:val="22"/>
        </w:rPr>
        <w:t xml:space="preserve"> </w:t>
      </w:r>
      <w:r>
        <w:rPr>
          <w:rFonts w:ascii="Calibri" w:hAnsi="Calibri" w:cs="Calibri"/>
          <w:sz w:val="22"/>
          <w:szCs w:val="22"/>
        </w:rPr>
        <w:t>And t</w:t>
      </w:r>
      <w:r w:rsidRPr="00B450CF">
        <w:rPr>
          <w:rFonts w:ascii="Calibri" w:hAnsi="Calibri" w:cs="Calibri"/>
          <w:sz w:val="22"/>
          <w:szCs w:val="22"/>
        </w:rPr>
        <w:t xml:space="preserve">he Backbench Business Committee does </w:t>
      </w:r>
      <w:r>
        <w:rPr>
          <w:rFonts w:ascii="Calibri" w:hAnsi="Calibri" w:cs="Calibri"/>
          <w:sz w:val="22"/>
          <w:szCs w:val="22"/>
        </w:rPr>
        <w:t xml:space="preserve">now </w:t>
      </w:r>
      <w:r w:rsidRPr="00B450CF">
        <w:rPr>
          <w:rFonts w:ascii="Calibri" w:hAnsi="Calibri" w:cs="Calibri"/>
          <w:sz w:val="22"/>
          <w:szCs w:val="22"/>
        </w:rPr>
        <w:t>schedule a large number of such debates. But some are still scheduled in government time, with the last session seeing government-initiated general debates on various topics including rural affairs (11 November 2024), road maintenance (7 April 2025), and Ukraine (25 February 2026). These might well be worthy subjects for debate. But</w:t>
      </w:r>
      <w:r>
        <w:rPr>
          <w:rFonts w:ascii="Calibri" w:hAnsi="Calibri" w:cs="Calibri"/>
          <w:sz w:val="22"/>
          <w:szCs w:val="22"/>
        </w:rPr>
        <w:t xml:space="preserve"> leaving them for</w:t>
      </w:r>
      <w:r w:rsidRPr="00B450CF">
        <w:rPr>
          <w:rFonts w:ascii="Calibri" w:hAnsi="Calibri" w:cs="Calibri"/>
          <w:sz w:val="22"/>
          <w:szCs w:val="22"/>
        </w:rPr>
        <w:t xml:space="preserve"> the Backbench Business Committee </w:t>
      </w:r>
      <w:r>
        <w:rPr>
          <w:rFonts w:ascii="Calibri" w:hAnsi="Calibri" w:cs="Calibri"/>
          <w:sz w:val="22"/>
          <w:szCs w:val="22"/>
        </w:rPr>
        <w:t xml:space="preserve">to schedule, as originally intended by the Wright committee, could allow them to be </w:t>
      </w:r>
      <w:r w:rsidRPr="00B450CF">
        <w:rPr>
          <w:rFonts w:ascii="Calibri" w:hAnsi="Calibri" w:cs="Calibri"/>
          <w:sz w:val="22"/>
          <w:szCs w:val="22"/>
        </w:rPr>
        <w:t>consider</w:t>
      </w:r>
      <w:r>
        <w:rPr>
          <w:rFonts w:ascii="Calibri" w:hAnsi="Calibri" w:cs="Calibri"/>
          <w:sz w:val="22"/>
          <w:szCs w:val="22"/>
        </w:rPr>
        <w:t>ed</w:t>
      </w:r>
      <w:r w:rsidRPr="00B450CF">
        <w:rPr>
          <w:rFonts w:ascii="Calibri" w:hAnsi="Calibri" w:cs="Calibri"/>
          <w:sz w:val="22"/>
          <w:szCs w:val="22"/>
        </w:rPr>
        <w:t xml:space="preserve"> </w:t>
      </w:r>
      <w:r>
        <w:rPr>
          <w:rFonts w:ascii="Calibri" w:hAnsi="Calibri" w:cs="Calibri"/>
          <w:sz w:val="22"/>
          <w:szCs w:val="22"/>
        </w:rPr>
        <w:t xml:space="preserve">alongside </w:t>
      </w:r>
      <w:r w:rsidRPr="00B450CF">
        <w:rPr>
          <w:rFonts w:ascii="Calibri" w:hAnsi="Calibri" w:cs="Calibri"/>
          <w:sz w:val="22"/>
          <w:szCs w:val="22"/>
        </w:rPr>
        <w:t xml:space="preserve">the other </w:t>
      </w:r>
      <w:r>
        <w:rPr>
          <w:rFonts w:ascii="Calibri" w:hAnsi="Calibri" w:cs="Calibri"/>
          <w:sz w:val="22"/>
          <w:szCs w:val="22"/>
        </w:rPr>
        <w:t xml:space="preserve">possible debate subjects suggested </w:t>
      </w:r>
      <w:r w:rsidRPr="00B450CF">
        <w:rPr>
          <w:rFonts w:ascii="Calibri" w:hAnsi="Calibri" w:cs="Calibri"/>
          <w:sz w:val="22"/>
          <w:szCs w:val="22"/>
        </w:rPr>
        <w:t>by backbenchers</w:t>
      </w:r>
      <w:r>
        <w:rPr>
          <w:rFonts w:ascii="Calibri" w:hAnsi="Calibri" w:cs="Calibri"/>
          <w:sz w:val="22"/>
          <w:szCs w:val="22"/>
        </w:rPr>
        <w:t>, ensuring that the eventual selection reflects MPs’ priorities</w:t>
      </w:r>
      <w:r w:rsidRPr="00B450CF">
        <w:rPr>
          <w:rFonts w:ascii="Calibri" w:hAnsi="Calibri" w:cs="Calibri"/>
          <w:sz w:val="22"/>
          <w:szCs w:val="22"/>
        </w:rPr>
        <w:t>.</w:t>
      </w:r>
    </w:p>
    <w:p w:rsidR="00FC7422" w:rsidRPr="00B450CF" w:rsidP="00B450CF">
      <w:pPr>
        <w:spacing w:line="276" w:lineRule="auto"/>
        <w:jc w:val="both"/>
        <w:rPr>
          <w:rFonts w:ascii="Calibri" w:hAnsi="Calibri" w:cs="Calibri"/>
          <w:sz w:val="22"/>
          <w:szCs w:val="22"/>
        </w:rPr>
      </w:pPr>
      <w:r w:rsidRPr="00B450CF">
        <w:rPr>
          <w:rFonts w:ascii="Calibri" w:hAnsi="Calibri" w:cs="Calibri"/>
          <w:b/>
          <w:bCs/>
          <w:sz w:val="22"/>
          <w:szCs w:val="22"/>
        </w:rPr>
        <w:t>6. Pressure on government and backbench business</w:t>
      </w:r>
    </w:p>
    <w:p w:rsidR="00FC7422" w:rsidRPr="00B450CF" w:rsidP="001E6092">
      <w:pPr>
        <w:pStyle w:val="ListParagraph"/>
        <w:numPr>
          <w:ilvl w:val="1"/>
          <w:numId w:val="16"/>
        </w:numPr>
        <w:spacing w:line="276" w:lineRule="auto"/>
        <w:ind w:left="425" w:hanging="425"/>
        <w:contextualSpacing w:val="0"/>
        <w:jc w:val="both"/>
        <w:rPr>
          <w:rFonts w:ascii="Calibri" w:hAnsi="Calibri" w:cs="Calibri"/>
          <w:sz w:val="22"/>
          <w:szCs w:val="22"/>
        </w:rPr>
      </w:pPr>
      <w:r w:rsidRPr="00B450CF">
        <w:rPr>
          <w:rFonts w:ascii="Calibri" w:hAnsi="Calibri" w:cs="Calibri"/>
          <w:sz w:val="22"/>
          <w:szCs w:val="22"/>
        </w:rPr>
        <w:t xml:space="preserve">That all being said, one recent trend in Commons business – the growth of Urgent Questions </w:t>
      </w:r>
      <w:r>
        <w:rPr>
          <w:rFonts w:ascii="Calibri" w:hAnsi="Calibri" w:cs="Calibri"/>
          <w:sz w:val="22"/>
          <w:szCs w:val="22"/>
        </w:rPr>
        <w:t xml:space="preserve">(UQs) </w:t>
      </w:r>
      <w:r w:rsidRPr="00B450CF">
        <w:rPr>
          <w:rFonts w:ascii="Calibri" w:hAnsi="Calibri" w:cs="Calibri"/>
          <w:sz w:val="22"/>
          <w:szCs w:val="22"/>
        </w:rPr>
        <w:t>– has clearly placed pressure on both government and backbench business</w:t>
      </w:r>
      <w:r>
        <w:rPr>
          <w:rFonts w:ascii="Calibri" w:hAnsi="Calibri" w:cs="Calibri"/>
          <w:sz w:val="22"/>
          <w:szCs w:val="22"/>
        </w:rPr>
        <w:t>, and</w:t>
      </w:r>
      <w:r w:rsidRPr="00B450CF">
        <w:rPr>
          <w:rFonts w:ascii="Calibri" w:hAnsi="Calibri" w:cs="Calibri"/>
          <w:sz w:val="22"/>
          <w:szCs w:val="22"/>
        </w:rPr>
        <w:t xml:space="preserve"> has also </w:t>
      </w:r>
      <w:r>
        <w:rPr>
          <w:rFonts w:ascii="Calibri" w:hAnsi="Calibri" w:cs="Calibri"/>
          <w:sz w:val="22"/>
          <w:szCs w:val="22"/>
        </w:rPr>
        <w:t xml:space="preserve">affected </w:t>
      </w:r>
      <w:r w:rsidRPr="00B450CF">
        <w:rPr>
          <w:rFonts w:ascii="Calibri" w:hAnsi="Calibri" w:cs="Calibri"/>
          <w:sz w:val="22"/>
          <w:szCs w:val="22"/>
        </w:rPr>
        <w:t>the predictability of the Commons’ agenda</w:t>
      </w:r>
      <w:r>
        <w:rPr>
          <w:rFonts w:ascii="Calibri" w:hAnsi="Calibri" w:cs="Calibri"/>
          <w:sz w:val="22"/>
          <w:szCs w:val="22"/>
        </w:rPr>
        <w:t>, which the committee highlighted as a topic raised frequently in responses to its earlier ‘call for views’</w:t>
      </w:r>
      <w:r w:rsidRPr="00B450CF">
        <w:rPr>
          <w:rFonts w:ascii="Calibri" w:hAnsi="Calibri" w:cs="Calibri"/>
          <w:sz w:val="22"/>
          <w:szCs w:val="22"/>
        </w:rPr>
        <w:t>.</w:t>
      </w:r>
      <w:r>
        <w:rPr>
          <w:rStyle w:val="EndnoteReference"/>
          <w:rFonts w:ascii="Calibri" w:hAnsi="Calibri" w:cs="Calibri"/>
          <w:sz w:val="22"/>
          <w:szCs w:val="22"/>
        </w:rPr>
        <w:endnoteReference w:id="24"/>
      </w:r>
    </w:p>
    <w:p w:rsidR="00FC7422" w:rsidRPr="00B450CF" w:rsidP="001E6092">
      <w:pPr>
        <w:pStyle w:val="ListParagraph"/>
        <w:numPr>
          <w:ilvl w:val="1"/>
          <w:numId w:val="16"/>
        </w:numPr>
        <w:spacing w:line="276" w:lineRule="auto"/>
        <w:ind w:left="425" w:hanging="425"/>
        <w:contextualSpacing w:val="0"/>
        <w:jc w:val="both"/>
        <w:rPr>
          <w:rFonts w:ascii="Calibri" w:hAnsi="Calibri" w:cs="Calibri"/>
          <w:sz w:val="22"/>
          <w:szCs w:val="22"/>
        </w:rPr>
      </w:pPr>
      <w:r>
        <w:rPr>
          <w:rFonts w:ascii="Calibri" w:hAnsi="Calibri" w:cs="Calibri"/>
          <w:sz w:val="22"/>
          <w:szCs w:val="22"/>
        </w:rPr>
        <w:t xml:space="preserve">UQs </w:t>
      </w:r>
      <w:r w:rsidRPr="00B450CF">
        <w:rPr>
          <w:rFonts w:ascii="Calibri" w:hAnsi="Calibri" w:cs="Calibri"/>
          <w:sz w:val="22"/>
          <w:szCs w:val="22"/>
        </w:rPr>
        <w:t xml:space="preserve">are granted at </w:t>
      </w:r>
      <w:r>
        <w:rPr>
          <w:rFonts w:ascii="Calibri" w:hAnsi="Calibri" w:cs="Calibri"/>
          <w:sz w:val="22"/>
          <w:szCs w:val="22"/>
        </w:rPr>
        <w:t xml:space="preserve">the </w:t>
      </w:r>
      <w:r w:rsidRPr="00B450CF">
        <w:rPr>
          <w:rFonts w:ascii="Calibri" w:hAnsi="Calibri" w:cs="Calibri"/>
          <w:sz w:val="22"/>
          <w:szCs w:val="22"/>
        </w:rPr>
        <w:t xml:space="preserve">discretion of </w:t>
      </w:r>
      <w:r>
        <w:rPr>
          <w:rFonts w:ascii="Calibri" w:hAnsi="Calibri" w:cs="Calibri"/>
          <w:sz w:val="22"/>
          <w:szCs w:val="22"/>
        </w:rPr>
        <w:t xml:space="preserve">the </w:t>
      </w:r>
      <w:r w:rsidRPr="00B450CF">
        <w:rPr>
          <w:rFonts w:ascii="Calibri" w:hAnsi="Calibri" w:cs="Calibri"/>
          <w:sz w:val="22"/>
          <w:szCs w:val="22"/>
        </w:rPr>
        <w:t>Speaker</w:t>
      </w:r>
      <w:r>
        <w:rPr>
          <w:rFonts w:ascii="Calibri" w:hAnsi="Calibri" w:cs="Calibri"/>
          <w:sz w:val="22"/>
          <w:szCs w:val="22"/>
        </w:rPr>
        <w:t>, and</w:t>
      </w:r>
      <w:r w:rsidRPr="00B450CF">
        <w:rPr>
          <w:rFonts w:ascii="Calibri" w:hAnsi="Calibri" w:cs="Calibri"/>
          <w:sz w:val="22"/>
          <w:szCs w:val="22"/>
        </w:rPr>
        <w:t xml:space="preserve"> </w:t>
      </w:r>
      <w:r>
        <w:rPr>
          <w:rFonts w:ascii="Calibri" w:hAnsi="Calibri" w:cs="Calibri"/>
          <w:sz w:val="22"/>
          <w:szCs w:val="22"/>
        </w:rPr>
        <w:t>their u</w:t>
      </w:r>
      <w:r w:rsidRPr="00B450CF">
        <w:rPr>
          <w:rFonts w:ascii="Calibri" w:hAnsi="Calibri" w:cs="Calibri"/>
          <w:sz w:val="22"/>
          <w:szCs w:val="22"/>
        </w:rPr>
        <w:t>se has grown significantly since Speaker Bercow took office</w:t>
      </w:r>
      <w:r>
        <w:rPr>
          <w:rFonts w:ascii="Calibri" w:hAnsi="Calibri" w:cs="Calibri"/>
          <w:sz w:val="22"/>
          <w:szCs w:val="22"/>
        </w:rPr>
        <w:t xml:space="preserve"> in 2009</w:t>
      </w:r>
      <w:r w:rsidRPr="00B450CF">
        <w:rPr>
          <w:rFonts w:ascii="Calibri" w:hAnsi="Calibri" w:cs="Calibri"/>
          <w:sz w:val="22"/>
          <w:szCs w:val="22"/>
        </w:rPr>
        <w:t xml:space="preserve">. </w:t>
      </w:r>
      <w:r>
        <w:rPr>
          <w:rFonts w:ascii="Calibri" w:hAnsi="Calibri" w:cs="Calibri"/>
          <w:sz w:val="22"/>
          <w:szCs w:val="22"/>
        </w:rPr>
        <w:t>The 13</w:t>
      </w:r>
      <w:r w:rsidRPr="00B450CF">
        <w:rPr>
          <w:rFonts w:ascii="Calibri" w:hAnsi="Calibri" w:cs="Calibri"/>
          <w:sz w:val="22"/>
          <w:szCs w:val="22"/>
        </w:rPr>
        <w:t xml:space="preserve"> years from 1997 to 2010 saw 148 UQs</w:t>
      </w:r>
      <w:r>
        <w:rPr>
          <w:rFonts w:ascii="Calibri" w:hAnsi="Calibri" w:cs="Calibri"/>
          <w:sz w:val="22"/>
          <w:szCs w:val="22"/>
        </w:rPr>
        <w:t>; the 14</w:t>
      </w:r>
      <w:r w:rsidRPr="00B450CF">
        <w:rPr>
          <w:rFonts w:ascii="Calibri" w:hAnsi="Calibri" w:cs="Calibri"/>
          <w:sz w:val="22"/>
          <w:szCs w:val="22"/>
        </w:rPr>
        <w:t xml:space="preserve"> years from 2010 to 2024 saw 1098. </w:t>
      </w:r>
      <w:r>
        <w:rPr>
          <w:rFonts w:ascii="Calibri" w:hAnsi="Calibri" w:cs="Calibri"/>
          <w:sz w:val="22"/>
          <w:szCs w:val="22"/>
        </w:rPr>
        <w:t>The r</w:t>
      </w:r>
      <w:r w:rsidRPr="00B450CF">
        <w:rPr>
          <w:rFonts w:ascii="Calibri" w:hAnsi="Calibri" w:cs="Calibri"/>
          <w:sz w:val="22"/>
          <w:szCs w:val="22"/>
        </w:rPr>
        <w:t xml:space="preserve">ate </w:t>
      </w:r>
      <w:r>
        <w:rPr>
          <w:rFonts w:ascii="Calibri" w:hAnsi="Calibri" w:cs="Calibri"/>
          <w:sz w:val="22"/>
          <w:szCs w:val="22"/>
        </w:rPr>
        <w:t xml:space="preserve">of UQs </w:t>
      </w:r>
      <w:r w:rsidRPr="00B450CF">
        <w:rPr>
          <w:rFonts w:ascii="Calibri" w:hAnsi="Calibri" w:cs="Calibri"/>
          <w:sz w:val="22"/>
          <w:szCs w:val="22"/>
        </w:rPr>
        <w:t xml:space="preserve">peaked in </w:t>
      </w:r>
      <w:r>
        <w:rPr>
          <w:rFonts w:ascii="Calibri" w:hAnsi="Calibri" w:cs="Calibri"/>
          <w:sz w:val="22"/>
          <w:szCs w:val="22"/>
        </w:rPr>
        <w:t xml:space="preserve">the </w:t>
      </w:r>
      <w:r w:rsidRPr="00B450CF">
        <w:rPr>
          <w:rFonts w:ascii="Calibri" w:hAnsi="Calibri" w:cs="Calibri"/>
          <w:sz w:val="22"/>
          <w:szCs w:val="22"/>
        </w:rPr>
        <w:t xml:space="preserve">2017–19 session, at 0.88 </w:t>
      </w:r>
      <w:r>
        <w:rPr>
          <w:rFonts w:ascii="Calibri" w:hAnsi="Calibri" w:cs="Calibri"/>
          <w:sz w:val="22"/>
          <w:szCs w:val="22"/>
        </w:rPr>
        <w:t xml:space="preserve">UQs per </w:t>
      </w:r>
      <w:r w:rsidRPr="00B450CF">
        <w:rPr>
          <w:rFonts w:ascii="Calibri" w:hAnsi="Calibri" w:cs="Calibri"/>
          <w:sz w:val="22"/>
          <w:szCs w:val="22"/>
        </w:rPr>
        <w:t xml:space="preserve">sitting day. </w:t>
      </w:r>
      <w:r>
        <w:rPr>
          <w:rFonts w:ascii="Calibri" w:hAnsi="Calibri" w:cs="Calibri"/>
          <w:sz w:val="22"/>
          <w:szCs w:val="22"/>
        </w:rPr>
        <w:t xml:space="preserve">The most recent </w:t>
      </w:r>
      <w:r w:rsidRPr="00B450CF">
        <w:rPr>
          <w:rFonts w:ascii="Calibri" w:hAnsi="Calibri" w:cs="Calibri"/>
          <w:sz w:val="22"/>
          <w:szCs w:val="22"/>
        </w:rPr>
        <w:t xml:space="preserve">2024–26 </w:t>
      </w:r>
      <w:r>
        <w:rPr>
          <w:rFonts w:ascii="Calibri" w:hAnsi="Calibri" w:cs="Calibri"/>
          <w:sz w:val="22"/>
          <w:szCs w:val="22"/>
        </w:rPr>
        <w:t xml:space="preserve">session saw the </w:t>
      </w:r>
      <w:r w:rsidRPr="00B450CF">
        <w:rPr>
          <w:rFonts w:ascii="Calibri" w:hAnsi="Calibri" w:cs="Calibri"/>
          <w:sz w:val="22"/>
          <w:szCs w:val="22"/>
        </w:rPr>
        <w:t>second</w:t>
      </w:r>
      <w:r>
        <w:rPr>
          <w:rFonts w:ascii="Calibri" w:hAnsi="Calibri" w:cs="Calibri"/>
          <w:sz w:val="22"/>
          <w:szCs w:val="22"/>
        </w:rPr>
        <w:t>-</w:t>
      </w:r>
      <w:r w:rsidRPr="00B450CF">
        <w:rPr>
          <w:rFonts w:ascii="Calibri" w:hAnsi="Calibri" w:cs="Calibri"/>
          <w:sz w:val="22"/>
          <w:szCs w:val="22"/>
        </w:rPr>
        <w:t xml:space="preserve">highest </w:t>
      </w:r>
      <w:r>
        <w:rPr>
          <w:rFonts w:ascii="Calibri" w:hAnsi="Calibri" w:cs="Calibri"/>
          <w:sz w:val="22"/>
          <w:szCs w:val="22"/>
        </w:rPr>
        <w:t xml:space="preserve">rate </w:t>
      </w:r>
      <w:r w:rsidRPr="00B450CF">
        <w:rPr>
          <w:rFonts w:ascii="Calibri" w:hAnsi="Calibri" w:cs="Calibri"/>
          <w:sz w:val="22"/>
          <w:szCs w:val="22"/>
        </w:rPr>
        <w:t>since then.</w:t>
      </w:r>
      <w:r>
        <w:rPr>
          <w:rStyle w:val="EndnoteReference"/>
          <w:rFonts w:ascii="Calibri" w:hAnsi="Calibri" w:cs="Calibri"/>
          <w:sz w:val="22"/>
          <w:szCs w:val="22"/>
        </w:rPr>
        <w:endnoteReference w:id="25"/>
      </w:r>
    </w:p>
    <w:p w:rsidR="00FC7422" w:rsidRPr="00B450CF" w:rsidP="001E6092">
      <w:pPr>
        <w:pStyle w:val="ListParagraph"/>
        <w:numPr>
          <w:ilvl w:val="1"/>
          <w:numId w:val="16"/>
        </w:numPr>
        <w:spacing w:line="276" w:lineRule="auto"/>
        <w:ind w:left="425" w:hanging="425"/>
        <w:contextualSpacing w:val="0"/>
        <w:jc w:val="both"/>
        <w:rPr>
          <w:rFonts w:ascii="Calibri" w:hAnsi="Calibri" w:cs="Calibri"/>
          <w:sz w:val="22"/>
          <w:szCs w:val="22"/>
        </w:rPr>
      </w:pPr>
      <w:r>
        <w:rPr>
          <w:rFonts w:ascii="Calibri" w:hAnsi="Calibri" w:cs="Calibri"/>
          <w:sz w:val="22"/>
          <w:szCs w:val="22"/>
        </w:rPr>
        <w:t>UQs play an important role in ensuring that the House can scrutinise ministers in a timely fashion about important events and policy developments, including those on which ministers do not choose to proactively update the House by making an oral statement.</w:t>
      </w:r>
    </w:p>
    <w:p w:rsidR="00FC7422" w:rsidRPr="00B450CF" w:rsidP="001E6092">
      <w:pPr>
        <w:pStyle w:val="ListParagraph"/>
        <w:numPr>
          <w:ilvl w:val="1"/>
          <w:numId w:val="16"/>
        </w:numPr>
        <w:spacing w:line="276" w:lineRule="auto"/>
        <w:ind w:left="425" w:hanging="425"/>
        <w:contextualSpacing w:val="0"/>
        <w:jc w:val="both"/>
        <w:rPr>
          <w:rFonts w:ascii="Calibri" w:hAnsi="Calibri" w:cs="Calibri"/>
          <w:sz w:val="22"/>
          <w:szCs w:val="22"/>
        </w:rPr>
      </w:pPr>
      <w:r w:rsidRPr="00B450CF">
        <w:rPr>
          <w:rFonts w:ascii="Calibri" w:hAnsi="Calibri" w:cs="Calibri"/>
          <w:sz w:val="22"/>
          <w:szCs w:val="22"/>
        </w:rPr>
        <w:t xml:space="preserve">However, it is also important to note that </w:t>
      </w:r>
      <w:r>
        <w:rPr>
          <w:rFonts w:ascii="Calibri" w:hAnsi="Calibri" w:cs="Calibri"/>
          <w:sz w:val="22"/>
          <w:szCs w:val="22"/>
        </w:rPr>
        <w:t xml:space="preserve">UQs </w:t>
      </w:r>
      <w:r w:rsidRPr="00B450CF">
        <w:rPr>
          <w:rFonts w:ascii="Calibri" w:hAnsi="Calibri" w:cs="Calibri"/>
          <w:sz w:val="22"/>
          <w:szCs w:val="22"/>
        </w:rPr>
        <w:t>– and</w:t>
      </w:r>
      <w:r>
        <w:rPr>
          <w:rFonts w:ascii="Calibri" w:hAnsi="Calibri" w:cs="Calibri"/>
          <w:sz w:val="22"/>
          <w:szCs w:val="22"/>
        </w:rPr>
        <w:t xml:space="preserve"> likewise</w:t>
      </w:r>
      <w:r w:rsidRPr="00B450CF">
        <w:rPr>
          <w:rFonts w:ascii="Calibri" w:hAnsi="Calibri" w:cs="Calibri"/>
          <w:sz w:val="22"/>
          <w:szCs w:val="22"/>
        </w:rPr>
        <w:t xml:space="preserve"> ministerial statements –</w:t>
      </w:r>
      <w:r>
        <w:rPr>
          <w:rFonts w:ascii="Calibri" w:hAnsi="Calibri" w:cs="Calibri"/>
          <w:sz w:val="22"/>
          <w:szCs w:val="22"/>
        </w:rPr>
        <w:t xml:space="preserve"> can</w:t>
      </w:r>
      <w:r w:rsidRPr="00B450CF">
        <w:rPr>
          <w:rFonts w:ascii="Calibri" w:hAnsi="Calibri" w:cs="Calibri"/>
          <w:sz w:val="22"/>
          <w:szCs w:val="22"/>
        </w:rPr>
        <w:t xml:space="preserve"> have downsides for </w:t>
      </w:r>
      <w:r>
        <w:rPr>
          <w:rFonts w:ascii="Calibri" w:hAnsi="Calibri" w:cs="Calibri"/>
          <w:sz w:val="22"/>
          <w:szCs w:val="22"/>
        </w:rPr>
        <w:t xml:space="preserve">MPs’ ability to conduct </w:t>
      </w:r>
      <w:r w:rsidRPr="00B450CF">
        <w:rPr>
          <w:rFonts w:ascii="Calibri" w:hAnsi="Calibri" w:cs="Calibri"/>
          <w:sz w:val="22"/>
          <w:szCs w:val="22"/>
        </w:rPr>
        <w:t xml:space="preserve">scrutiny and </w:t>
      </w:r>
      <w:r>
        <w:rPr>
          <w:rFonts w:ascii="Calibri" w:hAnsi="Calibri" w:cs="Calibri"/>
          <w:sz w:val="22"/>
          <w:szCs w:val="22"/>
        </w:rPr>
        <w:t>have their preferred issues debated</w:t>
      </w:r>
      <w:r w:rsidRPr="00B450CF">
        <w:rPr>
          <w:rFonts w:ascii="Calibri" w:hAnsi="Calibri" w:cs="Calibri"/>
          <w:sz w:val="22"/>
          <w:szCs w:val="22"/>
        </w:rPr>
        <w:t xml:space="preserve">. </w:t>
      </w:r>
      <w:r>
        <w:rPr>
          <w:rFonts w:ascii="Calibri" w:hAnsi="Calibri" w:cs="Calibri"/>
          <w:sz w:val="22"/>
          <w:szCs w:val="22"/>
        </w:rPr>
        <w:t xml:space="preserve">More time spent on UQs and statements </w:t>
      </w:r>
      <w:r w:rsidRPr="00B450CF">
        <w:rPr>
          <w:rFonts w:ascii="Calibri" w:hAnsi="Calibri" w:cs="Calibri"/>
          <w:sz w:val="22"/>
          <w:szCs w:val="22"/>
        </w:rPr>
        <w:t xml:space="preserve">means less time </w:t>
      </w:r>
      <w:r>
        <w:rPr>
          <w:rFonts w:ascii="Calibri" w:hAnsi="Calibri" w:cs="Calibri"/>
          <w:sz w:val="22"/>
          <w:szCs w:val="22"/>
        </w:rPr>
        <w:t xml:space="preserve">for </w:t>
      </w:r>
      <w:r w:rsidRPr="00B450CF">
        <w:rPr>
          <w:rFonts w:ascii="Calibri" w:hAnsi="Calibri" w:cs="Calibri"/>
          <w:sz w:val="22"/>
          <w:szCs w:val="22"/>
        </w:rPr>
        <w:t xml:space="preserve">subsequent government or backbench business. </w:t>
      </w:r>
      <w:r>
        <w:rPr>
          <w:rFonts w:ascii="Calibri" w:hAnsi="Calibri" w:cs="Calibri"/>
          <w:sz w:val="22"/>
          <w:szCs w:val="22"/>
        </w:rPr>
        <w:t xml:space="preserve">For example, on Monday </w:t>
      </w:r>
      <w:r w:rsidRPr="00B450CF">
        <w:rPr>
          <w:rFonts w:ascii="Calibri" w:hAnsi="Calibri" w:cs="Calibri"/>
          <w:sz w:val="22"/>
          <w:szCs w:val="22"/>
        </w:rPr>
        <w:t>1</w:t>
      </w:r>
      <w:r>
        <w:rPr>
          <w:rFonts w:ascii="Calibri" w:hAnsi="Calibri" w:cs="Calibri"/>
          <w:sz w:val="22"/>
          <w:szCs w:val="22"/>
        </w:rPr>
        <w:t>7</w:t>
      </w:r>
      <w:r w:rsidRPr="00B450CF">
        <w:rPr>
          <w:rFonts w:ascii="Calibri" w:hAnsi="Calibri" w:cs="Calibri"/>
          <w:sz w:val="22"/>
          <w:szCs w:val="22"/>
        </w:rPr>
        <w:t xml:space="preserve"> </w:t>
      </w:r>
      <w:r>
        <w:rPr>
          <w:rFonts w:ascii="Calibri" w:hAnsi="Calibri" w:cs="Calibri"/>
          <w:sz w:val="22"/>
          <w:szCs w:val="22"/>
        </w:rPr>
        <w:t xml:space="preserve">November </w:t>
      </w:r>
      <w:r w:rsidRPr="00B450CF">
        <w:rPr>
          <w:rFonts w:ascii="Calibri" w:hAnsi="Calibri" w:cs="Calibri"/>
          <w:sz w:val="22"/>
          <w:szCs w:val="22"/>
        </w:rPr>
        <w:t>202</w:t>
      </w:r>
      <w:r>
        <w:rPr>
          <w:rFonts w:ascii="Calibri" w:hAnsi="Calibri" w:cs="Calibri"/>
          <w:sz w:val="22"/>
          <w:szCs w:val="22"/>
        </w:rPr>
        <w:t>5</w:t>
      </w:r>
      <w:r w:rsidRPr="00B450CF">
        <w:rPr>
          <w:rFonts w:ascii="Calibri" w:hAnsi="Calibri" w:cs="Calibri"/>
          <w:sz w:val="22"/>
          <w:szCs w:val="22"/>
        </w:rPr>
        <w:t xml:space="preserve"> </w:t>
      </w:r>
      <w:r>
        <w:rPr>
          <w:rFonts w:ascii="Calibri" w:hAnsi="Calibri" w:cs="Calibri"/>
          <w:sz w:val="22"/>
          <w:szCs w:val="22"/>
        </w:rPr>
        <w:t xml:space="preserve">three </w:t>
      </w:r>
      <w:r w:rsidRPr="00B450CF">
        <w:rPr>
          <w:rFonts w:ascii="Calibri" w:hAnsi="Calibri" w:cs="Calibri"/>
          <w:sz w:val="22"/>
          <w:szCs w:val="22"/>
        </w:rPr>
        <w:t xml:space="preserve">UQs and </w:t>
      </w:r>
      <w:r>
        <w:rPr>
          <w:rFonts w:ascii="Calibri" w:hAnsi="Calibri" w:cs="Calibri"/>
          <w:sz w:val="22"/>
          <w:szCs w:val="22"/>
        </w:rPr>
        <w:t xml:space="preserve">a ministerial </w:t>
      </w:r>
      <w:r w:rsidRPr="00B450CF">
        <w:rPr>
          <w:rFonts w:ascii="Calibri" w:hAnsi="Calibri" w:cs="Calibri"/>
          <w:sz w:val="22"/>
          <w:szCs w:val="22"/>
        </w:rPr>
        <w:t>statement</w:t>
      </w:r>
      <w:r>
        <w:rPr>
          <w:rFonts w:ascii="Calibri" w:hAnsi="Calibri" w:cs="Calibri"/>
          <w:sz w:val="22"/>
          <w:szCs w:val="22"/>
        </w:rPr>
        <w:t xml:space="preserve"> took up over four hours</w:t>
      </w:r>
      <w:r w:rsidRPr="00B450CF">
        <w:rPr>
          <w:rFonts w:ascii="Calibri" w:hAnsi="Calibri" w:cs="Calibri"/>
          <w:sz w:val="22"/>
          <w:szCs w:val="22"/>
        </w:rPr>
        <w:t xml:space="preserve">, meaning </w:t>
      </w:r>
      <w:r>
        <w:rPr>
          <w:rFonts w:ascii="Calibri" w:hAnsi="Calibri" w:cs="Calibri"/>
          <w:sz w:val="22"/>
          <w:szCs w:val="22"/>
        </w:rPr>
        <w:t xml:space="preserve">that the House didn’t turn to considering the </w:t>
      </w:r>
      <w:r w:rsidRPr="00B450CF">
        <w:rPr>
          <w:rFonts w:ascii="Calibri" w:hAnsi="Calibri" w:cs="Calibri"/>
          <w:sz w:val="22"/>
          <w:szCs w:val="22"/>
        </w:rPr>
        <w:t xml:space="preserve">legislation </w:t>
      </w:r>
      <w:r>
        <w:rPr>
          <w:rFonts w:ascii="Calibri" w:hAnsi="Calibri" w:cs="Calibri"/>
          <w:sz w:val="22"/>
          <w:szCs w:val="22"/>
        </w:rPr>
        <w:t>scheduled for that day until after 8pm.</w:t>
      </w:r>
      <w:r>
        <w:rPr>
          <w:rStyle w:val="EndnoteReference"/>
          <w:rFonts w:ascii="Calibri" w:hAnsi="Calibri" w:cs="Calibri"/>
          <w:sz w:val="22"/>
          <w:szCs w:val="22"/>
        </w:rPr>
        <w:endnoteReference w:id="26"/>
      </w:r>
      <w:r>
        <w:rPr>
          <w:rFonts w:ascii="Calibri" w:hAnsi="Calibri" w:cs="Calibri"/>
          <w:sz w:val="22"/>
          <w:szCs w:val="22"/>
        </w:rPr>
        <w:t xml:space="preserve"> Similarly, t</w:t>
      </w:r>
      <w:r w:rsidRPr="00B450CF">
        <w:rPr>
          <w:rFonts w:ascii="Calibri" w:hAnsi="Calibri" w:cs="Calibri"/>
          <w:sz w:val="22"/>
          <w:szCs w:val="22"/>
        </w:rPr>
        <w:t>he Backbench Business Committee</w:t>
      </w:r>
      <w:r>
        <w:rPr>
          <w:rFonts w:ascii="Calibri" w:hAnsi="Calibri" w:cs="Calibri"/>
          <w:sz w:val="22"/>
          <w:szCs w:val="22"/>
        </w:rPr>
        <w:t>’s</w:t>
      </w:r>
      <w:r w:rsidRPr="00B450CF">
        <w:rPr>
          <w:rFonts w:ascii="Calibri" w:hAnsi="Calibri" w:cs="Calibri"/>
          <w:sz w:val="22"/>
          <w:szCs w:val="22"/>
        </w:rPr>
        <w:t xml:space="preserve"> </w:t>
      </w:r>
      <w:r>
        <w:rPr>
          <w:rFonts w:ascii="Calibri" w:hAnsi="Calibri" w:cs="Calibri"/>
          <w:sz w:val="22"/>
          <w:szCs w:val="22"/>
        </w:rPr>
        <w:t xml:space="preserve">recent report </w:t>
      </w:r>
      <w:r w:rsidRPr="00B450CF">
        <w:rPr>
          <w:rFonts w:ascii="Calibri" w:hAnsi="Calibri" w:cs="Calibri"/>
          <w:sz w:val="22"/>
          <w:szCs w:val="22"/>
        </w:rPr>
        <w:t xml:space="preserve">noted that </w:t>
      </w:r>
      <w:r>
        <w:rPr>
          <w:rFonts w:ascii="Calibri" w:hAnsi="Calibri" w:cs="Calibri"/>
          <w:sz w:val="22"/>
          <w:szCs w:val="22"/>
        </w:rPr>
        <w:t xml:space="preserve">backbench </w:t>
      </w:r>
      <w:r w:rsidRPr="00B450CF">
        <w:rPr>
          <w:rFonts w:ascii="Calibri" w:hAnsi="Calibri" w:cs="Calibri"/>
          <w:sz w:val="22"/>
          <w:szCs w:val="22"/>
        </w:rPr>
        <w:t>business on days other than Thursdays ‘is often curtailed by multiple Government statements and Urgent Questions’, with the consequence of ‘limiting the amount of debating time available, and requiring debates to be cancelled at short notice’.</w:t>
      </w:r>
      <w:r>
        <w:rPr>
          <w:rStyle w:val="EndnoteReference"/>
          <w:rFonts w:ascii="Calibri" w:hAnsi="Calibri" w:cs="Calibri"/>
          <w:sz w:val="22"/>
          <w:szCs w:val="22"/>
        </w:rPr>
        <w:endnoteReference w:id="27"/>
      </w:r>
    </w:p>
    <w:p w:rsidR="00FC7422" w:rsidRPr="00B450CF" w:rsidP="001E6092">
      <w:pPr>
        <w:pStyle w:val="ListParagraph"/>
        <w:numPr>
          <w:ilvl w:val="1"/>
          <w:numId w:val="16"/>
        </w:numPr>
        <w:spacing w:line="276" w:lineRule="auto"/>
        <w:ind w:left="425" w:hanging="425"/>
        <w:contextualSpacing w:val="0"/>
        <w:jc w:val="both"/>
        <w:rPr>
          <w:rFonts w:ascii="Calibri" w:hAnsi="Calibri" w:cs="Calibri"/>
          <w:sz w:val="22"/>
          <w:szCs w:val="22"/>
        </w:rPr>
      </w:pPr>
      <w:r w:rsidRPr="00B450CF">
        <w:rPr>
          <w:rFonts w:ascii="Calibri" w:hAnsi="Calibri" w:cs="Calibri"/>
          <w:sz w:val="22"/>
          <w:szCs w:val="22"/>
        </w:rPr>
        <w:t>The</w:t>
      </w:r>
      <w:r>
        <w:rPr>
          <w:rFonts w:ascii="Calibri" w:hAnsi="Calibri" w:cs="Calibri"/>
          <w:sz w:val="22"/>
          <w:szCs w:val="22"/>
        </w:rPr>
        <w:t>se downsides can be mitigated by the</w:t>
      </w:r>
      <w:r w:rsidRPr="00B450CF">
        <w:rPr>
          <w:rFonts w:ascii="Calibri" w:hAnsi="Calibri" w:cs="Calibri"/>
          <w:sz w:val="22"/>
          <w:szCs w:val="22"/>
        </w:rPr>
        <w:t xml:space="preserve"> House </w:t>
      </w:r>
      <w:r>
        <w:rPr>
          <w:rFonts w:ascii="Calibri" w:hAnsi="Calibri" w:cs="Calibri"/>
          <w:sz w:val="22"/>
          <w:szCs w:val="22"/>
        </w:rPr>
        <w:t xml:space="preserve">passing motions that </w:t>
      </w:r>
      <w:r w:rsidRPr="00B450CF">
        <w:rPr>
          <w:rFonts w:ascii="Calibri" w:hAnsi="Calibri" w:cs="Calibri"/>
          <w:sz w:val="22"/>
          <w:szCs w:val="22"/>
        </w:rPr>
        <w:t xml:space="preserve">protect </w:t>
      </w:r>
      <w:r>
        <w:rPr>
          <w:rFonts w:ascii="Calibri" w:hAnsi="Calibri" w:cs="Calibri"/>
          <w:sz w:val="22"/>
          <w:szCs w:val="22"/>
        </w:rPr>
        <w:t xml:space="preserve">a minimum amount of </w:t>
      </w:r>
      <w:r w:rsidRPr="00B450CF">
        <w:rPr>
          <w:rFonts w:ascii="Calibri" w:hAnsi="Calibri" w:cs="Calibri"/>
          <w:sz w:val="22"/>
          <w:szCs w:val="22"/>
        </w:rPr>
        <w:t xml:space="preserve">time for </w:t>
      </w:r>
      <w:r>
        <w:rPr>
          <w:rFonts w:ascii="Calibri" w:hAnsi="Calibri" w:cs="Calibri"/>
          <w:sz w:val="22"/>
          <w:szCs w:val="22"/>
        </w:rPr>
        <w:t xml:space="preserve">certain items of business by allowing them to run later than the usual moment of interruption. </w:t>
      </w:r>
      <w:r w:rsidRPr="00B450CF">
        <w:rPr>
          <w:rFonts w:ascii="Calibri" w:hAnsi="Calibri" w:cs="Calibri"/>
          <w:sz w:val="22"/>
          <w:szCs w:val="22"/>
        </w:rPr>
        <w:t xml:space="preserve">But this </w:t>
      </w:r>
      <w:r>
        <w:rPr>
          <w:rFonts w:ascii="Calibri" w:hAnsi="Calibri" w:cs="Calibri"/>
          <w:sz w:val="22"/>
          <w:szCs w:val="22"/>
        </w:rPr>
        <w:t xml:space="preserve">too has its </w:t>
      </w:r>
      <w:r w:rsidRPr="00B450CF">
        <w:rPr>
          <w:rFonts w:ascii="Calibri" w:hAnsi="Calibri" w:cs="Calibri"/>
          <w:sz w:val="22"/>
          <w:szCs w:val="22"/>
        </w:rPr>
        <w:t xml:space="preserve">downsides. As </w:t>
      </w:r>
      <w:r>
        <w:rPr>
          <w:rFonts w:ascii="Calibri" w:hAnsi="Calibri" w:cs="Calibri"/>
          <w:sz w:val="22"/>
          <w:szCs w:val="22"/>
        </w:rPr>
        <w:t xml:space="preserve">the </w:t>
      </w:r>
      <w:r w:rsidRPr="00B450CF">
        <w:rPr>
          <w:rFonts w:ascii="Calibri" w:hAnsi="Calibri" w:cs="Calibri"/>
          <w:sz w:val="22"/>
          <w:szCs w:val="22"/>
        </w:rPr>
        <w:t xml:space="preserve">government </w:t>
      </w:r>
      <w:r>
        <w:rPr>
          <w:rFonts w:ascii="Calibri" w:hAnsi="Calibri" w:cs="Calibri"/>
          <w:sz w:val="22"/>
          <w:szCs w:val="22"/>
        </w:rPr>
        <w:t>has noted</w:t>
      </w:r>
      <w:r w:rsidRPr="00B450CF">
        <w:rPr>
          <w:rFonts w:ascii="Calibri" w:hAnsi="Calibri" w:cs="Calibri"/>
          <w:sz w:val="22"/>
          <w:szCs w:val="22"/>
        </w:rPr>
        <w:t xml:space="preserve">, </w:t>
      </w:r>
      <w:r>
        <w:rPr>
          <w:rFonts w:ascii="Calibri" w:hAnsi="Calibri" w:cs="Calibri"/>
          <w:sz w:val="22"/>
          <w:szCs w:val="22"/>
        </w:rPr>
        <w:t xml:space="preserve">it can </w:t>
      </w:r>
      <w:r w:rsidRPr="00B450CF">
        <w:rPr>
          <w:rFonts w:ascii="Calibri" w:hAnsi="Calibri" w:cs="Calibri"/>
          <w:sz w:val="22"/>
          <w:szCs w:val="22"/>
        </w:rPr>
        <w:t xml:space="preserve">require MPs – and </w:t>
      </w:r>
      <w:r>
        <w:rPr>
          <w:rFonts w:ascii="Calibri" w:hAnsi="Calibri" w:cs="Calibri"/>
          <w:sz w:val="22"/>
          <w:szCs w:val="22"/>
        </w:rPr>
        <w:t xml:space="preserve">viewing members of the public </w:t>
      </w:r>
      <w:r w:rsidRPr="00B450CF">
        <w:rPr>
          <w:rFonts w:ascii="Calibri" w:hAnsi="Calibri" w:cs="Calibri"/>
          <w:sz w:val="22"/>
          <w:szCs w:val="22"/>
        </w:rPr>
        <w:t xml:space="preserve">– to </w:t>
      </w:r>
      <w:r>
        <w:rPr>
          <w:rFonts w:ascii="Calibri" w:hAnsi="Calibri" w:cs="Calibri"/>
          <w:sz w:val="22"/>
          <w:szCs w:val="22"/>
        </w:rPr>
        <w:t xml:space="preserve">stay late </w:t>
      </w:r>
      <w:r w:rsidRPr="00B450CF">
        <w:rPr>
          <w:rFonts w:ascii="Calibri" w:hAnsi="Calibri" w:cs="Calibri"/>
          <w:sz w:val="22"/>
          <w:szCs w:val="22"/>
        </w:rPr>
        <w:t>in</w:t>
      </w:r>
      <w:r>
        <w:rPr>
          <w:rFonts w:ascii="Calibri" w:hAnsi="Calibri" w:cs="Calibri"/>
          <w:sz w:val="22"/>
          <w:szCs w:val="22"/>
        </w:rPr>
        <w:t>to</w:t>
      </w:r>
      <w:r w:rsidRPr="00B450CF">
        <w:rPr>
          <w:rFonts w:ascii="Calibri" w:hAnsi="Calibri" w:cs="Calibri"/>
          <w:sz w:val="22"/>
          <w:szCs w:val="22"/>
        </w:rPr>
        <w:t xml:space="preserve"> the evening.</w:t>
      </w:r>
      <w:r>
        <w:rPr>
          <w:rStyle w:val="EndnoteReference"/>
          <w:rFonts w:ascii="Calibri" w:hAnsi="Calibri" w:cs="Calibri"/>
          <w:sz w:val="22"/>
          <w:szCs w:val="22"/>
        </w:rPr>
        <w:endnoteReference w:id="28"/>
      </w:r>
      <w:r w:rsidRPr="00B450CF">
        <w:rPr>
          <w:rFonts w:ascii="Calibri" w:hAnsi="Calibri" w:cs="Calibri"/>
          <w:sz w:val="22"/>
          <w:szCs w:val="22"/>
        </w:rPr>
        <w:t xml:space="preserve"> And </w:t>
      </w:r>
      <w:r>
        <w:rPr>
          <w:rFonts w:ascii="Calibri" w:hAnsi="Calibri" w:cs="Calibri"/>
          <w:sz w:val="22"/>
          <w:szCs w:val="22"/>
        </w:rPr>
        <w:t xml:space="preserve">it gives neither group any certainty about what time </w:t>
      </w:r>
      <w:r w:rsidRPr="00B450CF">
        <w:rPr>
          <w:rFonts w:ascii="Calibri" w:hAnsi="Calibri" w:cs="Calibri"/>
          <w:sz w:val="22"/>
          <w:szCs w:val="22"/>
        </w:rPr>
        <w:t>the debate</w:t>
      </w:r>
      <w:r>
        <w:rPr>
          <w:rFonts w:ascii="Calibri" w:hAnsi="Calibri" w:cs="Calibri"/>
          <w:sz w:val="22"/>
          <w:szCs w:val="22"/>
        </w:rPr>
        <w:t>(s) in question</w:t>
      </w:r>
      <w:r w:rsidRPr="00B450CF">
        <w:rPr>
          <w:rFonts w:ascii="Calibri" w:hAnsi="Calibri" w:cs="Calibri"/>
          <w:sz w:val="22"/>
          <w:szCs w:val="22"/>
        </w:rPr>
        <w:t xml:space="preserve"> will actually begin.</w:t>
      </w:r>
    </w:p>
    <w:p w:rsidR="00FC7422" w:rsidP="001E6092">
      <w:pPr>
        <w:pStyle w:val="ListParagraph"/>
        <w:numPr>
          <w:ilvl w:val="1"/>
          <w:numId w:val="16"/>
        </w:numPr>
        <w:spacing w:line="276" w:lineRule="auto"/>
        <w:ind w:left="425" w:hanging="425"/>
        <w:contextualSpacing w:val="0"/>
        <w:jc w:val="both"/>
        <w:rPr>
          <w:rFonts w:ascii="Calibri" w:hAnsi="Calibri" w:cs="Calibri"/>
          <w:sz w:val="22"/>
          <w:szCs w:val="22"/>
        </w:rPr>
      </w:pPr>
      <w:r w:rsidRPr="00B450CF">
        <w:rPr>
          <w:rFonts w:ascii="Calibri" w:hAnsi="Calibri" w:cs="Calibri"/>
          <w:sz w:val="22"/>
          <w:szCs w:val="22"/>
        </w:rPr>
        <w:t xml:space="preserve">The committee might therefore wish to consider the case for </w:t>
      </w:r>
      <w:r>
        <w:rPr>
          <w:rFonts w:ascii="Calibri" w:hAnsi="Calibri" w:cs="Calibri"/>
          <w:sz w:val="22"/>
          <w:szCs w:val="22"/>
        </w:rPr>
        <w:t>restraining the use of UQs and ministerial statements to ensure appropriate and predictable time is available for other business.</w:t>
      </w:r>
    </w:p>
    <w:p w:rsidR="00FC7422" w:rsidP="001E6092">
      <w:pPr>
        <w:pStyle w:val="ListParagraph"/>
        <w:numPr>
          <w:ilvl w:val="1"/>
          <w:numId w:val="16"/>
        </w:numPr>
        <w:spacing w:line="276" w:lineRule="auto"/>
        <w:ind w:left="425" w:hanging="425"/>
        <w:contextualSpacing w:val="0"/>
        <w:jc w:val="both"/>
        <w:rPr>
          <w:rFonts w:ascii="Calibri" w:hAnsi="Calibri" w:cs="Calibri"/>
          <w:sz w:val="22"/>
          <w:szCs w:val="22"/>
        </w:rPr>
      </w:pPr>
      <w:r>
        <w:rPr>
          <w:rFonts w:ascii="Calibri" w:hAnsi="Calibri" w:cs="Calibri"/>
          <w:sz w:val="22"/>
          <w:szCs w:val="22"/>
        </w:rPr>
        <w:t>This restraint might be achieved informally, via the Speaker being more selective in which UQs they grant and ministers doing likewise with their statements. That would be analogous to our suggestion that the Backbench Business Committee also filter debate proposals more selectively.</w:t>
      </w:r>
    </w:p>
    <w:p w:rsidR="00FC7422" w:rsidRPr="008073D8" w:rsidP="001E6092">
      <w:pPr>
        <w:pStyle w:val="ListParagraph"/>
        <w:numPr>
          <w:ilvl w:val="1"/>
          <w:numId w:val="16"/>
        </w:numPr>
        <w:spacing w:line="276" w:lineRule="auto"/>
        <w:ind w:left="425" w:hanging="425"/>
        <w:contextualSpacing w:val="0"/>
        <w:jc w:val="both"/>
        <w:rPr>
          <w:rFonts w:ascii="Calibri" w:hAnsi="Calibri" w:cs="Calibri"/>
          <w:sz w:val="22"/>
          <w:szCs w:val="22"/>
        </w:rPr>
      </w:pPr>
      <w:r>
        <w:rPr>
          <w:rFonts w:ascii="Calibri" w:hAnsi="Calibri" w:cs="Calibri"/>
          <w:sz w:val="22"/>
          <w:szCs w:val="22"/>
        </w:rPr>
        <w:t xml:space="preserve">An alternative approach – which might be more effective – would be to </w:t>
      </w:r>
      <w:r w:rsidRPr="00B450CF">
        <w:rPr>
          <w:rFonts w:ascii="Calibri" w:hAnsi="Calibri" w:cs="Calibri"/>
          <w:sz w:val="22"/>
          <w:szCs w:val="22"/>
        </w:rPr>
        <w:t>plac</w:t>
      </w:r>
      <w:r>
        <w:rPr>
          <w:rFonts w:ascii="Calibri" w:hAnsi="Calibri" w:cs="Calibri"/>
          <w:sz w:val="22"/>
          <w:szCs w:val="22"/>
        </w:rPr>
        <w:t>e</w:t>
      </w:r>
      <w:r w:rsidRPr="00B450CF">
        <w:rPr>
          <w:rFonts w:ascii="Calibri" w:hAnsi="Calibri" w:cs="Calibri"/>
          <w:sz w:val="22"/>
          <w:szCs w:val="22"/>
        </w:rPr>
        <w:t xml:space="preserve"> some </w:t>
      </w:r>
      <w:r>
        <w:rPr>
          <w:rFonts w:ascii="Calibri" w:hAnsi="Calibri" w:cs="Calibri"/>
          <w:sz w:val="22"/>
          <w:szCs w:val="22"/>
        </w:rPr>
        <w:t xml:space="preserve">formal limit </w:t>
      </w:r>
      <w:r w:rsidRPr="00B450CF">
        <w:rPr>
          <w:rFonts w:ascii="Calibri" w:hAnsi="Calibri" w:cs="Calibri"/>
          <w:sz w:val="22"/>
          <w:szCs w:val="22"/>
        </w:rPr>
        <w:t xml:space="preserve">on </w:t>
      </w:r>
      <w:r>
        <w:rPr>
          <w:rFonts w:ascii="Calibri" w:hAnsi="Calibri" w:cs="Calibri"/>
          <w:sz w:val="22"/>
          <w:szCs w:val="22"/>
        </w:rPr>
        <w:t>the use of UQs or ministerial statements. The House might set a maximum number permitted per day, require higher thresholds of urgency/importance for each additional UQ/statement, and/</w:t>
      </w:r>
      <w:r w:rsidRPr="00B450CF">
        <w:rPr>
          <w:rFonts w:ascii="Calibri" w:hAnsi="Calibri" w:cs="Calibri"/>
          <w:sz w:val="22"/>
          <w:szCs w:val="22"/>
        </w:rPr>
        <w:t>or allocat</w:t>
      </w:r>
      <w:r>
        <w:rPr>
          <w:rFonts w:ascii="Calibri" w:hAnsi="Calibri" w:cs="Calibri"/>
          <w:sz w:val="22"/>
          <w:szCs w:val="22"/>
        </w:rPr>
        <w:t>e</w:t>
      </w:r>
      <w:r w:rsidRPr="00B450CF">
        <w:rPr>
          <w:rFonts w:ascii="Calibri" w:hAnsi="Calibri" w:cs="Calibri"/>
          <w:sz w:val="22"/>
          <w:szCs w:val="22"/>
        </w:rPr>
        <w:t xml:space="preserve"> </w:t>
      </w:r>
      <w:r>
        <w:rPr>
          <w:rFonts w:ascii="Calibri" w:hAnsi="Calibri" w:cs="Calibri"/>
          <w:sz w:val="22"/>
          <w:szCs w:val="22"/>
        </w:rPr>
        <w:t xml:space="preserve">them </w:t>
      </w:r>
      <w:r w:rsidRPr="00B450CF">
        <w:rPr>
          <w:rFonts w:ascii="Calibri" w:hAnsi="Calibri" w:cs="Calibri"/>
          <w:sz w:val="22"/>
          <w:szCs w:val="22"/>
        </w:rPr>
        <w:t xml:space="preserve">a specific window of time that </w:t>
      </w:r>
      <w:r>
        <w:rPr>
          <w:rFonts w:ascii="Calibri" w:hAnsi="Calibri" w:cs="Calibri"/>
          <w:sz w:val="22"/>
          <w:szCs w:val="22"/>
        </w:rPr>
        <w:t>reduces disruption to other items of business</w:t>
      </w:r>
      <w:r w:rsidRPr="008073D8">
        <w:rPr>
          <w:rFonts w:ascii="Calibri" w:hAnsi="Calibri" w:cs="Calibri"/>
          <w:sz w:val="22"/>
          <w:szCs w:val="22"/>
        </w:rPr>
        <w:t>.</w:t>
      </w:r>
      <w:r>
        <w:rPr>
          <w:rFonts w:ascii="Calibri" w:hAnsi="Calibri" w:cs="Calibri"/>
          <w:sz w:val="22"/>
          <w:szCs w:val="22"/>
        </w:rPr>
        <w:t xml:space="preserve"> </w:t>
      </w:r>
    </w:p>
    <w:p w:rsidR="00FC7422" w:rsidRPr="00F45890" w:rsidP="001E6092">
      <w:pPr>
        <w:pStyle w:val="ListParagraph"/>
        <w:numPr>
          <w:ilvl w:val="1"/>
          <w:numId w:val="16"/>
        </w:numPr>
        <w:spacing w:line="276" w:lineRule="auto"/>
        <w:ind w:left="425" w:hanging="425"/>
        <w:contextualSpacing w:val="0"/>
        <w:jc w:val="both"/>
        <w:rPr>
          <w:rFonts w:ascii="Calibri" w:hAnsi="Calibri" w:cs="Calibri"/>
          <w:sz w:val="22"/>
          <w:szCs w:val="22"/>
        </w:rPr>
      </w:pPr>
      <w:r w:rsidRPr="00B450CF">
        <w:rPr>
          <w:rFonts w:ascii="Calibri" w:hAnsi="Calibri" w:cs="Calibri"/>
          <w:sz w:val="22"/>
          <w:szCs w:val="22"/>
        </w:rPr>
        <w:t>The government’s response to the Backbench Business Committee</w:t>
      </w:r>
      <w:r>
        <w:rPr>
          <w:rFonts w:ascii="Calibri" w:hAnsi="Calibri" w:cs="Calibri"/>
          <w:sz w:val="22"/>
          <w:szCs w:val="22"/>
        </w:rPr>
        <w:t xml:space="preserve">’s report </w:t>
      </w:r>
      <w:r w:rsidRPr="00B450CF">
        <w:rPr>
          <w:rFonts w:ascii="Calibri" w:hAnsi="Calibri" w:cs="Calibri"/>
          <w:sz w:val="22"/>
          <w:szCs w:val="22"/>
        </w:rPr>
        <w:t xml:space="preserve">noted that UQs are a matter for the Speaker. </w:t>
      </w:r>
      <w:r>
        <w:rPr>
          <w:rFonts w:ascii="Calibri" w:hAnsi="Calibri" w:cs="Calibri"/>
          <w:sz w:val="22"/>
          <w:szCs w:val="22"/>
        </w:rPr>
        <w:t xml:space="preserve">However, the Speaker’s authority to accept UQs is granted to them by the House, and it is entirely legitimate for the House to </w:t>
      </w:r>
      <w:r w:rsidRPr="00B450CF">
        <w:rPr>
          <w:rFonts w:ascii="Calibri" w:hAnsi="Calibri" w:cs="Calibri"/>
          <w:sz w:val="22"/>
          <w:szCs w:val="22"/>
        </w:rPr>
        <w:t xml:space="preserve">consider </w:t>
      </w:r>
      <w:r>
        <w:rPr>
          <w:rFonts w:ascii="Calibri" w:hAnsi="Calibri" w:cs="Calibri"/>
          <w:sz w:val="22"/>
          <w:szCs w:val="22"/>
        </w:rPr>
        <w:t>whether and how UQs are regulated</w:t>
      </w:r>
      <w:r w:rsidRPr="00B450CF">
        <w:rPr>
          <w:rFonts w:ascii="Calibri" w:hAnsi="Calibri" w:cs="Calibri"/>
          <w:sz w:val="22"/>
          <w:szCs w:val="22"/>
        </w:rPr>
        <w:t xml:space="preserve">. Nonetheless, </w:t>
      </w:r>
      <w:r>
        <w:rPr>
          <w:rFonts w:ascii="Calibri" w:hAnsi="Calibri" w:cs="Calibri"/>
          <w:sz w:val="22"/>
          <w:szCs w:val="22"/>
        </w:rPr>
        <w:t xml:space="preserve">any such consideration should be careful to </w:t>
      </w:r>
      <w:r w:rsidRPr="00B450CF">
        <w:rPr>
          <w:rFonts w:ascii="Calibri" w:hAnsi="Calibri" w:cs="Calibri"/>
          <w:sz w:val="22"/>
          <w:szCs w:val="22"/>
        </w:rPr>
        <w:t xml:space="preserve">avoid either the perception or the reality of changing the rules to help </w:t>
      </w:r>
      <w:r>
        <w:rPr>
          <w:rFonts w:ascii="Calibri" w:hAnsi="Calibri" w:cs="Calibri"/>
          <w:sz w:val="22"/>
          <w:szCs w:val="22"/>
        </w:rPr>
        <w:t xml:space="preserve">ministers </w:t>
      </w:r>
      <w:r w:rsidRPr="00B450CF">
        <w:rPr>
          <w:rFonts w:ascii="Calibri" w:hAnsi="Calibri" w:cs="Calibri"/>
          <w:sz w:val="22"/>
          <w:szCs w:val="22"/>
        </w:rPr>
        <w:t xml:space="preserve">evade scrutiny. </w:t>
      </w:r>
      <w:r>
        <w:rPr>
          <w:rFonts w:ascii="Calibri" w:hAnsi="Calibri" w:cs="Calibri"/>
          <w:sz w:val="22"/>
          <w:szCs w:val="22"/>
        </w:rPr>
        <w:t xml:space="preserve">Any changed procedures would need to </w:t>
      </w:r>
      <w:r w:rsidRPr="00B450CF">
        <w:rPr>
          <w:rFonts w:ascii="Calibri" w:hAnsi="Calibri" w:cs="Calibri"/>
          <w:sz w:val="22"/>
          <w:szCs w:val="22"/>
        </w:rPr>
        <w:t xml:space="preserve">strike </w:t>
      </w:r>
      <w:r>
        <w:rPr>
          <w:rFonts w:ascii="Calibri" w:hAnsi="Calibri" w:cs="Calibri"/>
          <w:sz w:val="22"/>
          <w:szCs w:val="22"/>
        </w:rPr>
        <w:t xml:space="preserve">a </w:t>
      </w:r>
      <w:r w:rsidRPr="00B450CF">
        <w:rPr>
          <w:rFonts w:ascii="Calibri" w:hAnsi="Calibri" w:cs="Calibri"/>
          <w:sz w:val="22"/>
          <w:szCs w:val="22"/>
        </w:rPr>
        <w:t>balance between ensuring topical scrutiny</w:t>
      </w:r>
      <w:r>
        <w:rPr>
          <w:rFonts w:ascii="Calibri" w:hAnsi="Calibri" w:cs="Calibri"/>
          <w:sz w:val="22"/>
          <w:szCs w:val="22"/>
        </w:rPr>
        <w:t xml:space="preserve"> and announcements</w:t>
      </w:r>
      <w:r w:rsidRPr="00B450CF">
        <w:rPr>
          <w:rFonts w:ascii="Calibri" w:hAnsi="Calibri" w:cs="Calibri"/>
          <w:sz w:val="22"/>
          <w:szCs w:val="22"/>
        </w:rPr>
        <w:t>,</w:t>
      </w:r>
      <w:r>
        <w:rPr>
          <w:rFonts w:ascii="Calibri" w:hAnsi="Calibri" w:cs="Calibri"/>
          <w:sz w:val="22"/>
          <w:szCs w:val="22"/>
        </w:rPr>
        <w:t xml:space="preserve"> allowing adequate</w:t>
      </w:r>
      <w:r w:rsidRPr="00B450CF">
        <w:rPr>
          <w:rFonts w:ascii="Calibri" w:hAnsi="Calibri" w:cs="Calibri"/>
          <w:sz w:val="22"/>
          <w:szCs w:val="22"/>
        </w:rPr>
        <w:t xml:space="preserve"> scrutiny of other scheduled business, and</w:t>
      </w:r>
      <w:r>
        <w:rPr>
          <w:rFonts w:ascii="Calibri" w:hAnsi="Calibri" w:cs="Calibri"/>
          <w:sz w:val="22"/>
          <w:szCs w:val="22"/>
        </w:rPr>
        <w:t xml:space="preserve"> providing</w:t>
      </w:r>
      <w:r w:rsidRPr="00B450CF">
        <w:rPr>
          <w:rFonts w:ascii="Calibri" w:hAnsi="Calibri" w:cs="Calibri"/>
          <w:sz w:val="22"/>
          <w:szCs w:val="22"/>
        </w:rPr>
        <w:t xml:space="preserve"> reasonable predictability </w:t>
      </w:r>
      <w:r>
        <w:rPr>
          <w:rFonts w:ascii="Calibri" w:hAnsi="Calibri" w:cs="Calibri"/>
          <w:sz w:val="22"/>
          <w:szCs w:val="22"/>
        </w:rPr>
        <w:t>about the timing of that business</w:t>
      </w:r>
      <w:r w:rsidRPr="00B450CF">
        <w:rPr>
          <w:rFonts w:ascii="Calibri" w:hAnsi="Calibri" w:cs="Calibri"/>
          <w:sz w:val="22"/>
          <w:szCs w:val="22"/>
        </w:rPr>
        <w:t>.</w:t>
      </w:r>
      <w:r>
        <w:rPr>
          <w:rFonts w:ascii="Calibri" w:hAnsi="Calibri" w:cs="Calibri"/>
          <w:sz w:val="22"/>
          <w:szCs w:val="22"/>
        </w:rPr>
        <w:t xml:space="preserve"> They </w:t>
      </w:r>
      <w:r w:rsidRPr="00EB3CF5">
        <w:rPr>
          <w:rFonts w:ascii="Calibri" w:hAnsi="Calibri" w:cs="Calibri"/>
          <w:sz w:val="22"/>
          <w:szCs w:val="22"/>
        </w:rPr>
        <w:t xml:space="preserve">would </w:t>
      </w:r>
      <w:r>
        <w:rPr>
          <w:rFonts w:ascii="Calibri" w:hAnsi="Calibri" w:cs="Calibri"/>
          <w:sz w:val="22"/>
          <w:szCs w:val="22"/>
        </w:rPr>
        <w:t xml:space="preserve">also </w:t>
      </w:r>
      <w:r w:rsidRPr="00EB3CF5">
        <w:rPr>
          <w:rFonts w:ascii="Calibri" w:hAnsi="Calibri" w:cs="Calibri"/>
          <w:sz w:val="22"/>
          <w:szCs w:val="22"/>
        </w:rPr>
        <w:t xml:space="preserve">need </w:t>
      </w:r>
      <w:r>
        <w:rPr>
          <w:rFonts w:ascii="Calibri" w:hAnsi="Calibri" w:cs="Calibri"/>
          <w:sz w:val="22"/>
          <w:szCs w:val="22"/>
        </w:rPr>
        <w:t xml:space="preserve">to include </w:t>
      </w:r>
      <w:r w:rsidRPr="00EB3CF5">
        <w:rPr>
          <w:rFonts w:ascii="Calibri" w:hAnsi="Calibri" w:cs="Calibri"/>
          <w:sz w:val="22"/>
          <w:szCs w:val="22"/>
        </w:rPr>
        <w:t>failsafe</w:t>
      </w:r>
      <w:r>
        <w:rPr>
          <w:rFonts w:ascii="Calibri" w:hAnsi="Calibri" w:cs="Calibri"/>
          <w:sz w:val="22"/>
          <w:szCs w:val="22"/>
        </w:rPr>
        <w:t>s</w:t>
      </w:r>
      <w:r w:rsidRPr="00EB3CF5">
        <w:rPr>
          <w:rFonts w:ascii="Calibri" w:hAnsi="Calibri" w:cs="Calibri"/>
          <w:sz w:val="22"/>
          <w:szCs w:val="22"/>
        </w:rPr>
        <w:t xml:space="preserve"> to </w:t>
      </w:r>
      <w:r>
        <w:rPr>
          <w:rFonts w:ascii="Calibri" w:hAnsi="Calibri" w:cs="Calibri"/>
          <w:sz w:val="22"/>
          <w:szCs w:val="22"/>
        </w:rPr>
        <w:t xml:space="preserve">ensure </w:t>
      </w:r>
      <w:r w:rsidRPr="00EB3CF5">
        <w:rPr>
          <w:rFonts w:ascii="Calibri" w:hAnsi="Calibri" w:cs="Calibri"/>
          <w:sz w:val="22"/>
          <w:szCs w:val="22"/>
        </w:rPr>
        <w:t xml:space="preserve">ministers </w:t>
      </w:r>
      <w:r>
        <w:rPr>
          <w:rFonts w:ascii="Calibri" w:hAnsi="Calibri" w:cs="Calibri"/>
          <w:sz w:val="22"/>
          <w:szCs w:val="22"/>
        </w:rPr>
        <w:t xml:space="preserve">could </w:t>
      </w:r>
      <w:r w:rsidRPr="00EB3CF5">
        <w:rPr>
          <w:rFonts w:ascii="Calibri" w:hAnsi="Calibri" w:cs="Calibri"/>
          <w:sz w:val="22"/>
          <w:szCs w:val="22"/>
        </w:rPr>
        <w:t>updat</w:t>
      </w:r>
      <w:r>
        <w:rPr>
          <w:rFonts w:ascii="Calibri" w:hAnsi="Calibri" w:cs="Calibri"/>
          <w:sz w:val="22"/>
          <w:szCs w:val="22"/>
        </w:rPr>
        <w:t>e</w:t>
      </w:r>
      <w:r w:rsidRPr="00EB3CF5">
        <w:rPr>
          <w:rFonts w:ascii="Calibri" w:hAnsi="Calibri" w:cs="Calibri"/>
          <w:sz w:val="22"/>
          <w:szCs w:val="22"/>
        </w:rPr>
        <w:t xml:space="preserve"> the House – or be </w:t>
      </w:r>
      <w:r>
        <w:rPr>
          <w:rFonts w:ascii="Calibri" w:hAnsi="Calibri" w:cs="Calibri"/>
          <w:sz w:val="22"/>
          <w:szCs w:val="22"/>
        </w:rPr>
        <w:t xml:space="preserve">summoned </w:t>
      </w:r>
      <w:r w:rsidRPr="00EB3CF5">
        <w:rPr>
          <w:rFonts w:ascii="Calibri" w:hAnsi="Calibri" w:cs="Calibri"/>
          <w:sz w:val="22"/>
          <w:szCs w:val="22"/>
        </w:rPr>
        <w:t>to do so – if fresh issues of very clear urgency and importance arose.</w:t>
      </w:r>
    </w:p>
    <w:p w:rsidR="00FC7422" w:rsidRPr="00B450CF" w:rsidP="00B450CF">
      <w:pPr>
        <w:spacing w:line="276" w:lineRule="auto"/>
        <w:rPr>
          <w:rFonts w:ascii="Calibri" w:hAnsi="Calibri" w:cs="Calibri"/>
          <w:b/>
          <w:bCs/>
          <w:sz w:val="22"/>
          <w:szCs w:val="22"/>
        </w:rPr>
      </w:pPr>
      <w:r w:rsidRPr="00B450CF">
        <w:rPr>
          <w:rFonts w:ascii="Calibri" w:hAnsi="Calibri" w:cs="Calibri"/>
          <w:b/>
          <w:bCs/>
          <w:sz w:val="22"/>
          <w:szCs w:val="22"/>
        </w:rPr>
        <w:t>7. Summary</w:t>
      </w:r>
    </w:p>
    <w:p w:rsidR="00FC7422" w:rsidRPr="000C2C60" w:rsidP="001E6092">
      <w:pPr>
        <w:pStyle w:val="ListParagraph"/>
        <w:numPr>
          <w:ilvl w:val="1"/>
          <w:numId w:val="25"/>
        </w:numPr>
        <w:spacing w:line="276" w:lineRule="auto"/>
        <w:ind w:left="425" w:hanging="425"/>
        <w:contextualSpacing w:val="0"/>
        <w:jc w:val="both"/>
        <w:rPr>
          <w:rFonts w:ascii="Calibri" w:hAnsi="Calibri" w:cs="Calibri"/>
          <w:sz w:val="22"/>
          <w:szCs w:val="22"/>
        </w:rPr>
      </w:pPr>
      <w:r w:rsidRPr="000C2C60">
        <w:rPr>
          <w:rFonts w:ascii="Calibri" w:hAnsi="Calibri" w:cs="Calibri"/>
          <w:sz w:val="22"/>
          <w:szCs w:val="22"/>
        </w:rPr>
        <w:t>Backbench business was originally proposed by the Wright committee to allow backbenchers to prioritise business for debate, and allow the House to express a view, including on matters where members could actually take a decision, such as recommendations from Procedure Committee reports. It was explicitly designed not to take time away from government business.</w:t>
      </w:r>
    </w:p>
    <w:p w:rsidR="00FC7422" w:rsidRPr="000C2C60" w:rsidP="001E6092">
      <w:pPr>
        <w:pStyle w:val="ListParagraph"/>
        <w:numPr>
          <w:ilvl w:val="1"/>
          <w:numId w:val="25"/>
        </w:numPr>
        <w:spacing w:line="276" w:lineRule="auto"/>
        <w:ind w:left="425" w:hanging="425"/>
        <w:contextualSpacing w:val="0"/>
        <w:jc w:val="both"/>
        <w:rPr>
          <w:rFonts w:ascii="Calibri" w:hAnsi="Calibri" w:cs="Calibri"/>
          <w:sz w:val="22"/>
          <w:szCs w:val="22"/>
        </w:rPr>
      </w:pPr>
      <w:r w:rsidRPr="000C2C60">
        <w:rPr>
          <w:rFonts w:ascii="Calibri" w:hAnsi="Calibri" w:cs="Calibri"/>
          <w:sz w:val="22"/>
          <w:szCs w:val="22"/>
        </w:rPr>
        <w:t xml:space="preserve">The Wright committee was explicit that backbench business should not routinely be scheduled on Thursdays, and yet this is the slot that it has often been allocated. This affects </w:t>
      </w:r>
      <w:r>
        <w:rPr>
          <w:rFonts w:ascii="Calibri" w:hAnsi="Calibri" w:cs="Calibri"/>
          <w:sz w:val="22"/>
          <w:szCs w:val="22"/>
        </w:rPr>
        <w:t>MPs’ willingness</w:t>
      </w:r>
      <w:r w:rsidRPr="000C2C60">
        <w:rPr>
          <w:rFonts w:ascii="Calibri" w:hAnsi="Calibri" w:cs="Calibri"/>
          <w:sz w:val="22"/>
          <w:szCs w:val="22"/>
        </w:rPr>
        <w:t xml:space="preserve"> to participat</w:t>
      </w:r>
      <w:r>
        <w:rPr>
          <w:rFonts w:ascii="Calibri" w:hAnsi="Calibri" w:cs="Calibri"/>
          <w:sz w:val="22"/>
          <w:szCs w:val="22"/>
        </w:rPr>
        <w:t xml:space="preserve">e in debate, and their ability to </w:t>
      </w:r>
      <w:r w:rsidRPr="000C2C60">
        <w:rPr>
          <w:rFonts w:ascii="Calibri" w:hAnsi="Calibri" w:cs="Calibri"/>
          <w:sz w:val="22"/>
          <w:szCs w:val="22"/>
        </w:rPr>
        <w:t>reach decisions on substantive motions. At least partly as a consequence, use of such motions has reduced.</w:t>
      </w:r>
    </w:p>
    <w:p w:rsidR="00FC7422" w:rsidRPr="000C2C60" w:rsidP="001E6092">
      <w:pPr>
        <w:pStyle w:val="ListParagraph"/>
        <w:numPr>
          <w:ilvl w:val="1"/>
          <w:numId w:val="25"/>
        </w:numPr>
        <w:spacing w:line="276" w:lineRule="auto"/>
        <w:ind w:left="425" w:hanging="425"/>
        <w:contextualSpacing w:val="0"/>
        <w:jc w:val="both"/>
        <w:rPr>
          <w:rFonts w:ascii="Calibri" w:hAnsi="Calibri" w:cs="Calibri"/>
          <w:sz w:val="22"/>
          <w:szCs w:val="22"/>
        </w:rPr>
      </w:pPr>
      <w:r w:rsidRPr="000C2C60">
        <w:rPr>
          <w:rFonts w:ascii="Calibri" w:hAnsi="Calibri" w:cs="Calibri"/>
          <w:sz w:val="22"/>
          <w:szCs w:val="22"/>
        </w:rPr>
        <w:t xml:space="preserve">Demand for backbench business </w:t>
      </w:r>
      <w:r>
        <w:rPr>
          <w:rFonts w:ascii="Calibri" w:hAnsi="Calibri" w:cs="Calibri"/>
          <w:sz w:val="22"/>
          <w:szCs w:val="22"/>
        </w:rPr>
        <w:t xml:space="preserve">debates </w:t>
      </w:r>
      <w:r w:rsidRPr="000C2C60">
        <w:rPr>
          <w:rFonts w:ascii="Calibri" w:hAnsi="Calibri" w:cs="Calibri"/>
          <w:sz w:val="22"/>
          <w:szCs w:val="22"/>
        </w:rPr>
        <w:t xml:space="preserve">among members remains high, but there is a problem with topicality, as acknowledged by the Backbench Business Committee itself. The obvious solution is for the committee to move to being more selective in identifying priority topics for debate against clear criteria, and </w:t>
      </w:r>
      <w:r>
        <w:rPr>
          <w:rFonts w:ascii="Calibri" w:hAnsi="Calibri" w:cs="Calibri"/>
          <w:sz w:val="22"/>
          <w:szCs w:val="22"/>
        </w:rPr>
        <w:t xml:space="preserve">to </w:t>
      </w:r>
      <w:r w:rsidRPr="000C2C60">
        <w:rPr>
          <w:rFonts w:ascii="Calibri" w:hAnsi="Calibri" w:cs="Calibri"/>
          <w:sz w:val="22"/>
          <w:szCs w:val="22"/>
        </w:rPr>
        <w:t>schedule these only for a small number of weeks ahead.</w:t>
      </w:r>
    </w:p>
    <w:p w:rsidR="00FC7422" w:rsidRPr="000C2C60" w:rsidP="001E6092">
      <w:pPr>
        <w:pStyle w:val="ListParagraph"/>
        <w:numPr>
          <w:ilvl w:val="1"/>
          <w:numId w:val="25"/>
        </w:numPr>
        <w:spacing w:line="276" w:lineRule="auto"/>
        <w:ind w:left="425" w:hanging="425"/>
        <w:contextualSpacing w:val="0"/>
        <w:jc w:val="both"/>
        <w:rPr>
          <w:rFonts w:ascii="Calibri" w:hAnsi="Calibri" w:cs="Calibri"/>
          <w:sz w:val="22"/>
          <w:szCs w:val="22"/>
        </w:rPr>
      </w:pPr>
      <w:r w:rsidRPr="000C2C60">
        <w:rPr>
          <w:rFonts w:ascii="Calibri" w:hAnsi="Calibri" w:cs="Calibri"/>
          <w:sz w:val="22"/>
          <w:szCs w:val="22"/>
        </w:rPr>
        <w:t xml:space="preserve">Government control of the scheduling of backbench business, and </w:t>
      </w:r>
      <w:r>
        <w:rPr>
          <w:rFonts w:ascii="Calibri" w:hAnsi="Calibri" w:cs="Calibri"/>
          <w:sz w:val="22"/>
          <w:szCs w:val="22"/>
        </w:rPr>
        <w:t xml:space="preserve">the resulting </w:t>
      </w:r>
      <w:r w:rsidRPr="000C2C60">
        <w:rPr>
          <w:rFonts w:ascii="Calibri" w:hAnsi="Calibri" w:cs="Calibri"/>
          <w:sz w:val="22"/>
          <w:szCs w:val="22"/>
        </w:rPr>
        <w:t xml:space="preserve">uncertainty over this scheduling, is problematic both in itself and because of </w:t>
      </w:r>
      <w:r>
        <w:rPr>
          <w:rFonts w:ascii="Calibri" w:hAnsi="Calibri" w:cs="Calibri"/>
          <w:sz w:val="22"/>
          <w:szCs w:val="22"/>
        </w:rPr>
        <w:t xml:space="preserve">its </w:t>
      </w:r>
      <w:r w:rsidRPr="000C2C60">
        <w:rPr>
          <w:rFonts w:ascii="Calibri" w:hAnsi="Calibri" w:cs="Calibri"/>
          <w:sz w:val="22"/>
          <w:szCs w:val="22"/>
        </w:rPr>
        <w:t xml:space="preserve">knock-on effects </w:t>
      </w:r>
      <w:r>
        <w:rPr>
          <w:rFonts w:ascii="Calibri" w:hAnsi="Calibri" w:cs="Calibri"/>
          <w:sz w:val="22"/>
          <w:szCs w:val="22"/>
        </w:rPr>
        <w:t xml:space="preserve">for </w:t>
      </w:r>
      <w:r w:rsidRPr="000C2C60">
        <w:rPr>
          <w:rFonts w:ascii="Calibri" w:hAnsi="Calibri" w:cs="Calibri"/>
          <w:sz w:val="22"/>
          <w:szCs w:val="22"/>
        </w:rPr>
        <w:t xml:space="preserve">members’ ability to commit to attend. </w:t>
      </w:r>
      <w:r>
        <w:rPr>
          <w:rFonts w:ascii="Calibri" w:hAnsi="Calibri" w:cs="Calibri"/>
          <w:sz w:val="22"/>
          <w:szCs w:val="22"/>
        </w:rPr>
        <w:t>I</w:t>
      </w:r>
      <w:r w:rsidRPr="000C2C60">
        <w:rPr>
          <w:rFonts w:ascii="Calibri" w:hAnsi="Calibri" w:cs="Calibri"/>
          <w:sz w:val="22"/>
          <w:szCs w:val="22"/>
        </w:rPr>
        <w:t xml:space="preserve">t would be better for standing orders to </w:t>
      </w:r>
      <w:r>
        <w:rPr>
          <w:rFonts w:ascii="Calibri" w:hAnsi="Calibri" w:cs="Calibri"/>
          <w:sz w:val="22"/>
          <w:szCs w:val="22"/>
        </w:rPr>
        <w:t xml:space="preserve">reduce this discretion, </w:t>
      </w:r>
      <w:r>
        <w:rPr>
          <w:rFonts w:ascii="Calibri" w:hAnsi="Calibri" w:cs="Calibri"/>
          <w:sz w:val="22"/>
          <w:szCs w:val="22"/>
        </w:rPr>
        <w:t xml:space="preserve">including by </w:t>
      </w:r>
      <w:r w:rsidRPr="000C2C60">
        <w:rPr>
          <w:rFonts w:ascii="Calibri" w:hAnsi="Calibri" w:cs="Calibri"/>
          <w:sz w:val="22"/>
          <w:szCs w:val="22"/>
        </w:rPr>
        <w:t>specify</w:t>
      </w:r>
      <w:r>
        <w:rPr>
          <w:rFonts w:ascii="Calibri" w:hAnsi="Calibri" w:cs="Calibri"/>
          <w:sz w:val="22"/>
          <w:szCs w:val="22"/>
        </w:rPr>
        <w:t>ing</w:t>
      </w:r>
      <w:r w:rsidRPr="000C2C60">
        <w:rPr>
          <w:rFonts w:ascii="Calibri" w:hAnsi="Calibri" w:cs="Calibri"/>
          <w:sz w:val="22"/>
          <w:szCs w:val="22"/>
        </w:rPr>
        <w:t xml:space="preserve"> a monthly allocation for this business (and for opposition days) rather than a sessional one.</w:t>
      </w:r>
    </w:p>
    <w:p w:rsidR="00FC7422" w:rsidRPr="000C2C60" w:rsidP="001E6092">
      <w:pPr>
        <w:pStyle w:val="ListParagraph"/>
        <w:numPr>
          <w:ilvl w:val="1"/>
          <w:numId w:val="25"/>
        </w:numPr>
        <w:spacing w:line="276" w:lineRule="auto"/>
        <w:ind w:left="425" w:hanging="425"/>
        <w:contextualSpacing w:val="0"/>
        <w:jc w:val="both"/>
        <w:rPr>
          <w:rFonts w:ascii="Calibri" w:hAnsi="Calibri" w:cs="Calibri"/>
          <w:sz w:val="22"/>
          <w:szCs w:val="22"/>
        </w:rPr>
      </w:pPr>
      <w:r w:rsidRPr="000C2C60">
        <w:rPr>
          <w:rFonts w:ascii="Calibri" w:hAnsi="Calibri" w:cs="Calibri"/>
          <w:sz w:val="22"/>
          <w:szCs w:val="22"/>
        </w:rPr>
        <w:t xml:space="preserve">There is no evidence that backbench business is squeezing out government business, or that time for government business is unduly limited. However, the government </w:t>
      </w:r>
      <w:r>
        <w:rPr>
          <w:rFonts w:ascii="Calibri" w:hAnsi="Calibri" w:cs="Calibri"/>
          <w:sz w:val="22"/>
          <w:szCs w:val="22"/>
        </w:rPr>
        <w:t xml:space="preserve">still </w:t>
      </w:r>
      <w:r w:rsidRPr="000C2C60">
        <w:rPr>
          <w:rFonts w:ascii="Calibri" w:hAnsi="Calibri" w:cs="Calibri"/>
          <w:sz w:val="22"/>
          <w:szCs w:val="22"/>
        </w:rPr>
        <w:t>schedul</w:t>
      </w:r>
      <w:r>
        <w:rPr>
          <w:rFonts w:ascii="Calibri" w:hAnsi="Calibri" w:cs="Calibri"/>
          <w:sz w:val="22"/>
          <w:szCs w:val="22"/>
        </w:rPr>
        <w:t>es</w:t>
      </w:r>
      <w:r w:rsidRPr="000C2C60">
        <w:rPr>
          <w:rFonts w:ascii="Calibri" w:hAnsi="Calibri" w:cs="Calibri"/>
          <w:sz w:val="22"/>
          <w:szCs w:val="22"/>
        </w:rPr>
        <w:t xml:space="preserve"> some matters (particularly general debates) that the Wright committee intended to be scheduled in backbench business</w:t>
      </w:r>
      <w:r>
        <w:rPr>
          <w:rFonts w:ascii="Calibri" w:hAnsi="Calibri" w:cs="Calibri"/>
          <w:sz w:val="22"/>
          <w:szCs w:val="22"/>
        </w:rPr>
        <w:t>, and could potentially regain time for its other business by ceasing to do so</w:t>
      </w:r>
      <w:r w:rsidRPr="000C2C60">
        <w:rPr>
          <w:rFonts w:ascii="Calibri" w:hAnsi="Calibri" w:cs="Calibri"/>
          <w:sz w:val="22"/>
          <w:szCs w:val="22"/>
        </w:rPr>
        <w:t>.</w:t>
      </w:r>
    </w:p>
    <w:p w:rsidR="00FC7422" w:rsidRPr="00881323" w:rsidP="001E6092">
      <w:pPr>
        <w:pStyle w:val="ListParagraph"/>
        <w:numPr>
          <w:ilvl w:val="1"/>
          <w:numId w:val="25"/>
        </w:numPr>
        <w:spacing w:line="276" w:lineRule="auto"/>
        <w:ind w:left="425" w:hanging="425"/>
        <w:contextualSpacing w:val="0"/>
        <w:jc w:val="both"/>
      </w:pPr>
      <w:r w:rsidRPr="000C2C60">
        <w:rPr>
          <w:rFonts w:ascii="Calibri" w:hAnsi="Calibri" w:cs="Calibri"/>
          <w:sz w:val="22"/>
          <w:szCs w:val="22"/>
        </w:rPr>
        <w:t xml:space="preserve">Other matters encroach on time for both government business and backbench business. This applies particularly to urgent questions, but also </w:t>
      </w:r>
      <w:r>
        <w:rPr>
          <w:rFonts w:ascii="Calibri" w:hAnsi="Calibri" w:cs="Calibri"/>
          <w:sz w:val="22"/>
          <w:szCs w:val="22"/>
        </w:rPr>
        <w:t xml:space="preserve">to </w:t>
      </w:r>
      <w:r w:rsidRPr="000C2C60">
        <w:rPr>
          <w:rFonts w:ascii="Calibri" w:hAnsi="Calibri" w:cs="Calibri"/>
          <w:sz w:val="22"/>
          <w:szCs w:val="22"/>
        </w:rPr>
        <w:t>government statements – both of which create timetabling uncertainties for members. There could be merit in limiting the number of slots available for these mechanisms within the sitting week, and/or for allocating a fixed time to them.</w:t>
      </w:r>
    </w:p>
    <w:p w:rsidR="00881323" w:rsidP="00881323">
      <w:pPr>
        <w:spacing w:line="276" w:lineRule="auto"/>
        <w:jc w:val="both"/>
      </w:pPr>
    </w:p>
    <w:p w:rsidR="00881323" w:rsidRPr="00AF6737" w:rsidP="00881323">
      <w:pPr>
        <w:spacing w:line="276" w:lineRule="auto"/>
        <w:jc w:val="both"/>
      </w:pPr>
    </w:p>
    <w:p w:rsidR="00FC7422" w:rsidP="00D12F5B">
      <w:pPr>
        <w:spacing w:line="276" w:lineRule="auto"/>
        <w:jc w:val="both"/>
      </w:pPr>
    </w:p>
    <w:p w:rsidR="00FC7422" w:rsidP="00D12F5B">
      <w:pPr>
        <w:spacing w:line="276" w:lineRule="auto"/>
        <w:jc w:val="both"/>
      </w:pPr>
    </w:p>
    <w:p w:rsidR="00FC7422" w:rsidP="00D12F5B">
      <w:pPr>
        <w:spacing w:line="276" w:lineRule="auto"/>
        <w:jc w:val="both"/>
      </w:pPr>
    </w:p>
    <w:p w:rsidR="00FC7422" w:rsidP="00D12F5B">
      <w:pPr>
        <w:spacing w:line="276" w:lineRule="auto"/>
        <w:jc w:val="both"/>
      </w:pPr>
    </w:p>
    <w:p w:rsidR="00FC7422" w:rsidP="00D12F5B">
      <w:pPr>
        <w:spacing w:line="276" w:lineRule="auto"/>
        <w:jc w:val="both"/>
      </w:pPr>
    </w:p>
    <w:p w:rsidR="00FC7422" w:rsidP="00D12F5B">
      <w:pPr>
        <w:spacing w:line="276" w:lineRule="auto"/>
        <w:jc w:val="both"/>
      </w:pPr>
    </w:p>
    <w:p w:rsidR="00FC7422" w:rsidP="00D12F5B">
      <w:pPr>
        <w:spacing w:line="276" w:lineRule="auto"/>
        <w:jc w:val="both"/>
      </w:pPr>
    </w:p>
    <w:p w:rsidR="00FC7422" w:rsidP="00D12F5B">
      <w:pPr>
        <w:spacing w:line="276" w:lineRule="auto"/>
        <w:jc w:val="both"/>
      </w:pPr>
    </w:p>
    <w:p w:rsidR="00FC7422" w:rsidP="00D12F5B">
      <w:pPr>
        <w:spacing w:line="276" w:lineRule="auto"/>
        <w:jc w:val="both"/>
      </w:pPr>
    </w:p>
    <w:p w:rsidR="00FC7422" w:rsidP="00D12F5B">
      <w:pPr>
        <w:spacing w:line="276" w:lineRule="auto"/>
        <w:jc w:val="both"/>
      </w:pPr>
    </w:p>
    <w:p w:rsidR="00FC7422" w:rsidP="00D12F5B">
      <w:pPr>
        <w:spacing w:line="276" w:lineRule="auto"/>
        <w:jc w:val="both"/>
      </w:pPr>
    </w:p>
    <w:p w:rsidR="00FC7422" w:rsidP="00D12F5B">
      <w:pPr>
        <w:spacing w:line="276" w:lineRule="auto"/>
        <w:jc w:val="both"/>
      </w:pPr>
    </w:p>
    <w:p w:rsidR="00FC7422" w:rsidP="00D12F5B">
      <w:pPr>
        <w:spacing w:line="276" w:lineRule="auto"/>
        <w:jc w:val="both"/>
      </w:pPr>
    </w:p>
    <w:p w:rsidR="00FC7422" w:rsidP="00D12F5B">
      <w:pPr>
        <w:spacing w:line="276" w:lineRule="auto"/>
        <w:jc w:val="both"/>
      </w:pPr>
    </w:p>
    <w:p w:rsidR="00FC7422" w:rsidP="00D12F5B">
      <w:pPr>
        <w:spacing w:line="276" w:lineRule="auto"/>
        <w:jc w:val="both"/>
      </w:pPr>
    </w:p>
    <w:p w:rsidR="00FC7422" w:rsidP="00D12F5B">
      <w:pPr>
        <w:spacing w:line="276" w:lineRule="auto"/>
        <w:jc w:val="both"/>
      </w:pPr>
    </w:p>
    <w:p w:rsidR="00FC7422" w:rsidP="00D12F5B">
      <w:pPr>
        <w:spacing w:line="276" w:lineRule="auto"/>
        <w:jc w:val="both"/>
      </w:pPr>
    </w:p>
    <w:p w:rsidR="00FC7422" w:rsidP="00D12F5B">
      <w:pPr>
        <w:spacing w:line="276" w:lineRule="auto"/>
        <w:jc w:val="both"/>
      </w:pPr>
    </w:p>
    <w:p w:rsidR="00FC7422" w:rsidP="00D12F5B">
      <w:pPr>
        <w:spacing w:line="276" w:lineRule="auto"/>
        <w:jc w:val="both"/>
      </w:pPr>
    </w:p>
    <w:p w:rsidR="00FC7422" w:rsidP="00D12F5B">
      <w:pPr>
        <w:spacing w:line="276" w:lineRule="auto"/>
        <w:jc w:val="both"/>
      </w:pPr>
    </w:p>
    <w:p w:rsidR="00FC7422" w:rsidRPr="00B450CF" w:rsidP="00573530">
      <w:pPr>
        <w:spacing w:line="276" w:lineRule="auto"/>
        <w:jc w:val="both"/>
      </w:pPr>
    </w:p>
    <w:sectPr>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202613" w:rsidP="00EC0FF2">
      <w:pPr>
        <w:spacing w:after="0" w:line="240" w:lineRule="auto"/>
      </w:pPr>
      <w:r>
        <w:separator/>
      </w:r>
    </w:p>
  </w:endnote>
  <w:endnote w:type="continuationSeparator" w:id="1">
    <w:p w:rsidR="00202613" w:rsidP="00EC0FF2">
      <w:pPr>
        <w:spacing w:after="0" w:line="240" w:lineRule="auto"/>
      </w:pPr>
      <w:r>
        <w:continuationSeparator/>
      </w:r>
    </w:p>
  </w:endnote>
  <w:endnote w:id="2">
    <w:p w:rsidR="00FC7422" w:rsidRPr="004F6B59" w:rsidP="00F45890">
      <w:pPr>
        <w:pStyle w:val="EndnoteText"/>
        <w:rPr>
          <w:rFonts w:ascii="Calibri" w:hAnsi="Calibri" w:cs="Calibri"/>
          <w:lang w:val="en-US"/>
        </w:rPr>
      </w:pPr>
      <w:r w:rsidRPr="004F6B59">
        <w:rPr>
          <w:rStyle w:val="EndnoteReference"/>
          <w:rFonts w:ascii="Calibri" w:hAnsi="Calibri" w:cs="Calibri"/>
        </w:rPr>
        <w:endnoteRef/>
      </w:r>
      <w:r w:rsidRPr="004F6B59">
        <w:rPr>
          <w:rFonts w:ascii="Calibri" w:hAnsi="Calibri" w:cs="Calibri"/>
        </w:rPr>
        <w:t xml:space="preserve"> </w:t>
      </w:r>
      <w:r w:rsidRPr="004F6B59">
        <w:rPr>
          <w:rFonts w:ascii="Calibri" w:hAnsi="Calibri" w:cs="Calibri"/>
          <w:lang w:val="en-US"/>
        </w:rPr>
        <w:t xml:space="preserve">Meg Russell and Akash Paun (2007) </w:t>
      </w:r>
      <w:r>
        <w:fldChar w:fldCharType="begin"/>
      </w:r>
      <w:r>
        <w:instrText xml:space="preserve"> HYPERLINK "https://www.ucl.ac.uk/social-historical-sciences/sites/social_historical_sciences/files/142_1.pdf" </w:instrText>
      </w:r>
      <w:r>
        <w:fldChar w:fldCharType="separate"/>
      </w:r>
      <w:r w:rsidRPr="004F6B59">
        <w:rPr>
          <w:rStyle w:val="Hyperlink"/>
          <w:rFonts w:ascii="Calibri" w:hAnsi="Calibri" w:cs="Calibri"/>
          <w:i/>
          <w:iCs/>
          <w:lang w:val="en-US"/>
        </w:rPr>
        <w:t>The House Rules? International Lessons for Enhancing the Autonomy of the House of Commons</w:t>
      </w:r>
      <w:r>
        <w:fldChar w:fldCharType="end"/>
      </w:r>
      <w:r w:rsidRPr="004F6B59">
        <w:rPr>
          <w:rFonts w:ascii="Calibri" w:hAnsi="Calibri" w:cs="Calibri"/>
          <w:lang w:val="en-US"/>
        </w:rPr>
        <w:t xml:space="preserve"> (London: Constitution Unit).</w:t>
      </w:r>
    </w:p>
  </w:endnote>
  <w:endnote w:id="3">
    <w:p w:rsidR="00FC7422" w:rsidRPr="00F45890" w:rsidP="004F6B59">
      <w:pPr>
        <w:pStyle w:val="EndnoteText"/>
        <w:rPr>
          <w:rFonts w:ascii="Calibri" w:hAnsi="Calibri" w:cs="Calibri"/>
          <w:lang w:val="en-US"/>
        </w:rPr>
      </w:pPr>
      <w:r w:rsidRPr="00F45890">
        <w:rPr>
          <w:rStyle w:val="EndnoteReference"/>
          <w:rFonts w:ascii="Calibri" w:hAnsi="Calibri" w:cs="Calibri"/>
        </w:rPr>
        <w:endnoteRef/>
      </w:r>
      <w:r w:rsidRPr="00F45890">
        <w:rPr>
          <w:rFonts w:ascii="Calibri" w:hAnsi="Calibri" w:cs="Calibri"/>
        </w:rPr>
        <w:t xml:space="preserve"> House of Commons Reform Committee (2009) </w:t>
      </w:r>
      <w:r>
        <w:fldChar w:fldCharType="begin"/>
      </w:r>
      <w:r>
        <w:instrText xml:space="preserve"> HYPERLINK "https://publications.parliament.uk/pa/cm200809/cmselect/cmrefhoc/1117/111702.htm" </w:instrText>
      </w:r>
      <w:r>
        <w:fldChar w:fldCharType="separate"/>
      </w:r>
      <w:r w:rsidRPr="00F45890">
        <w:rPr>
          <w:rStyle w:val="Hyperlink"/>
          <w:rFonts w:ascii="Calibri" w:hAnsi="Calibri" w:cs="Calibri"/>
          <w:i/>
          <w:iCs/>
        </w:rPr>
        <w:t>Rebuilding the House (First Report of Session 2008–09)</w:t>
      </w:r>
      <w:r>
        <w:fldChar w:fldCharType="end"/>
      </w:r>
      <w:r w:rsidRPr="00F45890">
        <w:rPr>
          <w:rFonts w:ascii="Calibri" w:hAnsi="Calibri" w:cs="Calibri"/>
        </w:rPr>
        <w:t>,</w:t>
      </w:r>
      <w:r w:rsidRPr="00F45890">
        <w:rPr>
          <w:rFonts w:ascii="Calibri" w:hAnsi="Calibri" w:cs="Calibri"/>
          <w:i/>
          <w:iCs/>
        </w:rPr>
        <w:t xml:space="preserve"> </w:t>
      </w:r>
      <w:r w:rsidRPr="00F45890">
        <w:rPr>
          <w:rFonts w:ascii="Calibri" w:hAnsi="Calibri" w:cs="Calibri"/>
        </w:rPr>
        <w:t>HC</w:t>
      </w:r>
      <w:r w:rsidRPr="00F45890">
        <w:rPr>
          <w:rFonts w:ascii="Calibri" w:hAnsi="Calibri" w:cs="Calibri"/>
          <w:i/>
          <w:iCs/>
        </w:rPr>
        <w:t xml:space="preserve"> </w:t>
      </w:r>
      <w:r w:rsidRPr="00F45890">
        <w:rPr>
          <w:rFonts w:ascii="Calibri" w:hAnsi="Calibri" w:cs="Calibri"/>
        </w:rPr>
        <w:t>1117 (London: House of Commons).</w:t>
      </w:r>
    </w:p>
  </w:endnote>
  <w:endnote w:id="4">
    <w:p w:rsidR="00FC7422" w:rsidRPr="00F45890" w:rsidP="004F6B59">
      <w:pPr>
        <w:pStyle w:val="EndnoteText"/>
        <w:rPr>
          <w:rFonts w:ascii="Calibri" w:hAnsi="Calibri" w:cs="Calibri"/>
        </w:rPr>
      </w:pPr>
      <w:r w:rsidRPr="00F45890">
        <w:rPr>
          <w:rStyle w:val="EndnoteReference"/>
          <w:rFonts w:ascii="Calibri" w:hAnsi="Calibri" w:cs="Calibri"/>
        </w:rPr>
        <w:endnoteRef/>
      </w:r>
      <w:r w:rsidRPr="00F45890">
        <w:rPr>
          <w:rFonts w:ascii="Calibri" w:hAnsi="Calibri" w:cs="Calibri"/>
        </w:rPr>
        <w:t xml:space="preserve"> House of Commons Reform Committee (2009), paragraph 179.</w:t>
      </w:r>
    </w:p>
  </w:endnote>
  <w:endnote w:id="5">
    <w:p w:rsidR="00FC7422" w:rsidRPr="00F45890" w:rsidP="004F6B59">
      <w:pPr>
        <w:pStyle w:val="EndnoteText"/>
        <w:rPr>
          <w:rFonts w:ascii="Calibri" w:hAnsi="Calibri" w:cs="Calibri"/>
        </w:rPr>
      </w:pPr>
      <w:r w:rsidRPr="00F45890">
        <w:rPr>
          <w:rStyle w:val="EndnoteReference"/>
          <w:rFonts w:ascii="Calibri" w:hAnsi="Calibri" w:cs="Calibri"/>
        </w:rPr>
        <w:endnoteRef/>
      </w:r>
      <w:r w:rsidRPr="00F45890">
        <w:rPr>
          <w:rFonts w:ascii="Calibri" w:hAnsi="Calibri" w:cs="Calibri"/>
        </w:rPr>
        <w:t xml:space="preserve"> House of Commons Reform Committee (2009), paragraph 181.</w:t>
      </w:r>
    </w:p>
  </w:endnote>
  <w:endnote w:id="6">
    <w:p w:rsidR="00FC7422">
      <w:pPr>
        <w:pStyle w:val="EndnoteText"/>
      </w:pPr>
      <w:r>
        <w:rPr>
          <w:rStyle w:val="EndnoteReference"/>
        </w:rPr>
        <w:endnoteRef/>
      </w:r>
      <w:r>
        <w:t xml:space="preserve"> </w:t>
      </w:r>
      <w:r w:rsidRPr="00844CCF">
        <w:rPr>
          <w:rFonts w:ascii="Calibri" w:hAnsi="Calibri" w:cs="Calibri"/>
        </w:rPr>
        <w:t xml:space="preserve">House of Commons Reform Committee (2009), paragraph </w:t>
      </w:r>
      <w:r>
        <w:rPr>
          <w:rFonts w:ascii="Calibri" w:hAnsi="Calibri" w:cs="Calibri"/>
        </w:rPr>
        <w:t>22</w:t>
      </w:r>
      <w:r w:rsidRPr="00844CCF">
        <w:rPr>
          <w:rFonts w:ascii="Calibri" w:hAnsi="Calibri" w:cs="Calibri"/>
        </w:rPr>
        <w:t>1.</w:t>
      </w:r>
    </w:p>
  </w:endnote>
  <w:endnote w:id="7">
    <w:p w:rsidR="00FC7422" w:rsidRPr="00F45890" w:rsidP="004F6B59">
      <w:pPr>
        <w:pStyle w:val="EndnoteText"/>
        <w:rPr>
          <w:rFonts w:ascii="Calibri" w:hAnsi="Calibri" w:cs="Calibri"/>
        </w:rPr>
      </w:pPr>
      <w:r w:rsidRPr="00F45890">
        <w:rPr>
          <w:rStyle w:val="EndnoteReference"/>
          <w:rFonts w:ascii="Calibri" w:hAnsi="Calibri" w:cs="Calibri"/>
        </w:rPr>
        <w:endnoteRef/>
      </w:r>
      <w:r w:rsidRPr="00F45890">
        <w:rPr>
          <w:rFonts w:ascii="Calibri" w:hAnsi="Calibri" w:cs="Calibri"/>
        </w:rPr>
        <w:t xml:space="preserve"> House of Commons Reform Committee (2009), paragraph 213.</w:t>
      </w:r>
    </w:p>
  </w:endnote>
  <w:endnote w:id="8">
    <w:p w:rsidR="00FC7422" w:rsidRPr="004F6B59" w:rsidP="002A46AE">
      <w:pPr>
        <w:pStyle w:val="EndnoteText"/>
        <w:rPr>
          <w:rFonts w:ascii="Calibri" w:hAnsi="Calibri" w:cs="Calibri"/>
          <w:lang w:val="en-US"/>
        </w:rPr>
      </w:pPr>
      <w:r w:rsidRPr="004F6B59">
        <w:rPr>
          <w:rStyle w:val="EndnoteReference"/>
          <w:rFonts w:ascii="Calibri" w:hAnsi="Calibri" w:cs="Calibri"/>
        </w:rPr>
        <w:endnoteRef/>
      </w:r>
      <w:r w:rsidRPr="004F6B59">
        <w:rPr>
          <w:rFonts w:ascii="Calibri" w:hAnsi="Calibri" w:cs="Calibri"/>
        </w:rPr>
        <w:t xml:space="preserve"> Backbench Business Committee (2025) </w:t>
      </w:r>
      <w:r>
        <w:fldChar w:fldCharType="begin"/>
      </w:r>
      <w:r>
        <w:instrText xml:space="preserve"> HYPERLINK "https://publications.parliament.uk/pa/cm5901/cmselect/cmbackben/1548/report.html" </w:instrText>
      </w:r>
      <w:r>
        <w:fldChar w:fldCharType="separate"/>
      </w:r>
      <w:r w:rsidRPr="004F6B59">
        <w:rPr>
          <w:rStyle w:val="Hyperlink"/>
          <w:rFonts w:ascii="Calibri" w:hAnsi="Calibri" w:cs="Calibri"/>
          <w:i/>
          <w:iCs/>
        </w:rPr>
        <w:t>15</w:t>
      </w:r>
      <w:r w:rsidRPr="004F6B59">
        <w:rPr>
          <w:rStyle w:val="Hyperlink"/>
          <w:rFonts w:ascii="Calibri" w:hAnsi="Calibri" w:cs="Calibri"/>
          <w:i/>
          <w:iCs/>
          <w:vertAlign w:val="superscript"/>
        </w:rPr>
        <w:t>th</w:t>
      </w:r>
      <w:r w:rsidRPr="004F6B59">
        <w:rPr>
          <w:rStyle w:val="Hyperlink"/>
          <w:rFonts w:ascii="Calibri" w:hAnsi="Calibri" w:cs="Calibri"/>
          <w:i/>
          <w:iCs/>
        </w:rPr>
        <w:t xml:space="preserve"> anniversary of the Backbench Business Committee (First Special Report of Session 2024–26)</w:t>
      </w:r>
      <w:r>
        <w:fldChar w:fldCharType="end"/>
      </w:r>
      <w:r w:rsidRPr="004F6B59">
        <w:rPr>
          <w:rFonts w:ascii="Calibri" w:hAnsi="Calibri" w:cs="Calibri"/>
        </w:rPr>
        <w:t xml:space="preserve">, HC 1548 (London: House of Commons). Written evidence Appendix </w:t>
      </w:r>
      <w:r>
        <w:fldChar w:fldCharType="begin"/>
      </w:r>
      <w:r>
        <w:instrText xml:space="preserve"> HYPERLINK "https://committees.parliament.uk/publications/50745/documents/278012/default/" </w:instrText>
      </w:r>
      <w:r>
        <w:fldChar w:fldCharType="separate"/>
      </w:r>
      <w:r w:rsidRPr="004F6B59">
        <w:rPr>
          <w:rStyle w:val="Hyperlink"/>
          <w:rFonts w:ascii="Calibri" w:hAnsi="Calibri" w:cs="Calibri"/>
        </w:rPr>
        <w:t>online here</w:t>
      </w:r>
      <w:r>
        <w:fldChar w:fldCharType="end"/>
      </w:r>
      <w:r w:rsidRPr="004F6B59">
        <w:rPr>
          <w:rFonts w:ascii="Calibri" w:hAnsi="Calibri" w:cs="Calibri"/>
        </w:rPr>
        <w:t>.</w:t>
      </w:r>
    </w:p>
  </w:endnote>
  <w:endnote w:id="9">
    <w:p w:rsidR="00FC7422" w:rsidRPr="00F45890" w:rsidP="004F6B59">
      <w:pPr>
        <w:pStyle w:val="EndnoteText"/>
        <w:rPr>
          <w:rFonts w:ascii="Calibri" w:hAnsi="Calibri" w:cs="Calibri"/>
          <w:lang w:val="en-US"/>
        </w:rPr>
      </w:pPr>
      <w:r w:rsidRPr="00F45890">
        <w:rPr>
          <w:rStyle w:val="EndnoteReference"/>
          <w:rFonts w:ascii="Calibri" w:hAnsi="Calibri" w:cs="Calibri"/>
        </w:rPr>
        <w:endnoteRef/>
      </w:r>
      <w:r w:rsidRPr="00F45890">
        <w:rPr>
          <w:rFonts w:ascii="Calibri" w:hAnsi="Calibri" w:cs="Calibri"/>
        </w:rPr>
        <w:t xml:space="preserve"> </w:t>
      </w:r>
      <w:r w:rsidRPr="004F6B59">
        <w:rPr>
          <w:rFonts w:ascii="Calibri" w:hAnsi="Calibri" w:cs="Calibri"/>
          <w:lang w:val="en-US"/>
        </w:rPr>
        <w:t>Backbench Business Committee (2025), paragraph 4.</w:t>
      </w:r>
    </w:p>
  </w:endnote>
  <w:endnote w:id="10">
    <w:p w:rsidR="00FC7422" w:rsidRPr="00F45890" w:rsidP="004F6B59">
      <w:pPr>
        <w:pStyle w:val="EndnoteText"/>
        <w:rPr>
          <w:rFonts w:ascii="Calibri" w:hAnsi="Calibri" w:cs="Calibri"/>
        </w:rPr>
      </w:pPr>
      <w:r w:rsidRPr="00F45890">
        <w:rPr>
          <w:rStyle w:val="EndnoteReference"/>
          <w:rFonts w:ascii="Calibri" w:hAnsi="Calibri" w:cs="Calibri"/>
        </w:rPr>
        <w:endnoteRef/>
      </w:r>
      <w:r w:rsidRPr="00F45890">
        <w:rPr>
          <w:rFonts w:ascii="Calibri" w:hAnsi="Calibri" w:cs="Calibri"/>
        </w:rPr>
        <w:t xml:space="preserve"> </w:t>
      </w:r>
      <w:r w:rsidRPr="004F6B59">
        <w:rPr>
          <w:rFonts w:ascii="Calibri" w:hAnsi="Calibri" w:cs="Calibri"/>
          <w:lang w:val="en-US"/>
        </w:rPr>
        <w:t>Backbench Business Committee (2025), paragraph 91.</w:t>
      </w:r>
    </w:p>
  </w:endnote>
  <w:endnote w:id="11">
    <w:p w:rsidR="00FC7422" w:rsidRPr="00AF6737">
      <w:pPr>
        <w:pStyle w:val="EndnoteText"/>
        <w:rPr>
          <w:rFonts w:ascii="Calibri" w:hAnsi="Calibri" w:cs="Calibri"/>
        </w:rPr>
      </w:pPr>
      <w:r w:rsidRPr="00AF6737">
        <w:rPr>
          <w:rStyle w:val="EndnoteReference"/>
          <w:rFonts w:ascii="Calibri" w:hAnsi="Calibri" w:cs="Calibri"/>
        </w:rPr>
        <w:endnoteRef/>
      </w:r>
      <w:r w:rsidRPr="00AF6737">
        <w:rPr>
          <w:rFonts w:ascii="Calibri" w:hAnsi="Calibri" w:cs="Calibri"/>
        </w:rPr>
        <w:t xml:space="preserve"> The </w:t>
      </w:r>
      <w:r>
        <w:rPr>
          <w:rFonts w:ascii="Calibri" w:hAnsi="Calibri" w:cs="Calibri"/>
        </w:rPr>
        <w:t>c</w:t>
      </w:r>
      <w:r w:rsidRPr="00AF6737">
        <w:rPr>
          <w:rFonts w:ascii="Calibri" w:hAnsi="Calibri" w:cs="Calibri"/>
        </w:rPr>
        <w:t xml:space="preserve">ommittee already lists some criteria of this kind on </w:t>
      </w:r>
      <w:r>
        <w:fldChar w:fldCharType="begin"/>
      </w:r>
      <w:r>
        <w:instrText xml:space="preserve"> HYPERLINK "https://committees.parliament.uk/committee/202/backbench-business-committee/content/114250/how-the-backbench-business-committee-works/" </w:instrText>
      </w:r>
      <w:r>
        <w:fldChar w:fldCharType="separate"/>
      </w:r>
      <w:r w:rsidRPr="00AF6737">
        <w:rPr>
          <w:rStyle w:val="Hyperlink"/>
          <w:rFonts w:ascii="Calibri" w:hAnsi="Calibri" w:cs="Calibri"/>
        </w:rPr>
        <w:t>its website</w:t>
      </w:r>
      <w:r>
        <w:fldChar w:fldCharType="end"/>
      </w:r>
      <w:r w:rsidRPr="00AF6737">
        <w:rPr>
          <w:rFonts w:ascii="Calibri" w:hAnsi="Calibri" w:cs="Calibri"/>
        </w:rPr>
        <w:t>.</w:t>
      </w:r>
    </w:p>
  </w:endnote>
  <w:endnote w:id="12">
    <w:p w:rsidR="00FC7422" w:rsidRPr="00F45890" w:rsidP="004F6B59">
      <w:pPr>
        <w:pStyle w:val="EndnoteText"/>
        <w:rPr>
          <w:rFonts w:ascii="Calibri" w:hAnsi="Calibri" w:cs="Calibri"/>
        </w:rPr>
      </w:pPr>
      <w:r w:rsidRPr="00F45890">
        <w:rPr>
          <w:rStyle w:val="EndnoteReference"/>
          <w:rFonts w:ascii="Calibri" w:hAnsi="Calibri" w:cs="Calibri"/>
        </w:rPr>
        <w:endnoteRef/>
      </w:r>
      <w:r w:rsidRPr="00F45890">
        <w:rPr>
          <w:rFonts w:ascii="Calibri" w:hAnsi="Calibri" w:cs="Calibri"/>
        </w:rPr>
        <w:t xml:space="preserve"> </w:t>
      </w:r>
      <w:r w:rsidRPr="004F6B59">
        <w:rPr>
          <w:rFonts w:ascii="Calibri" w:hAnsi="Calibri" w:cs="Calibri"/>
          <w:lang w:val="en-US"/>
        </w:rPr>
        <w:t>Backbench Business Committee (2025), paragraph 92.</w:t>
      </w:r>
    </w:p>
  </w:endnote>
  <w:endnote w:id="13">
    <w:p w:rsidR="00FC7422" w:rsidRPr="00F45890" w:rsidP="004F6B59">
      <w:pPr>
        <w:pStyle w:val="EndnoteText"/>
        <w:rPr>
          <w:rFonts w:ascii="Calibri" w:hAnsi="Calibri" w:cs="Calibri"/>
        </w:rPr>
      </w:pPr>
      <w:r w:rsidRPr="00F45890">
        <w:rPr>
          <w:rStyle w:val="EndnoteReference"/>
          <w:rFonts w:ascii="Calibri" w:hAnsi="Calibri" w:cs="Calibri"/>
        </w:rPr>
        <w:endnoteRef/>
      </w:r>
      <w:r w:rsidRPr="00F45890">
        <w:rPr>
          <w:rFonts w:ascii="Calibri" w:hAnsi="Calibri" w:cs="Calibri"/>
        </w:rPr>
        <w:t xml:space="preserve"> </w:t>
      </w:r>
      <w:r w:rsidRPr="004F6B59">
        <w:rPr>
          <w:rFonts w:ascii="Calibri" w:hAnsi="Calibri" w:cs="Calibri"/>
          <w:lang w:val="en-US"/>
        </w:rPr>
        <w:t>Backbench Business Committee (2025), paragraph 101.</w:t>
      </w:r>
    </w:p>
  </w:endnote>
  <w:endnote w:id="14">
    <w:p w:rsidR="00FC7422" w:rsidRPr="00F45890" w:rsidP="004F6B59">
      <w:pPr>
        <w:pStyle w:val="EndnoteText"/>
        <w:rPr>
          <w:rFonts w:ascii="Calibri" w:hAnsi="Calibri" w:cs="Calibri"/>
        </w:rPr>
      </w:pPr>
      <w:r w:rsidRPr="00F45890">
        <w:rPr>
          <w:rStyle w:val="EndnoteReference"/>
          <w:rFonts w:ascii="Calibri" w:hAnsi="Calibri" w:cs="Calibri"/>
        </w:rPr>
        <w:endnoteRef/>
      </w:r>
      <w:r w:rsidRPr="00F45890">
        <w:rPr>
          <w:rFonts w:ascii="Calibri" w:hAnsi="Calibri" w:cs="Calibri"/>
        </w:rPr>
        <w:t xml:space="preserve"> This practice peaked in the 2023–24 session, with 33 of 34 backbench days in the chamber (97%) being Thursdays. See Russell and Kelly evidence to the Backbench Business Committee. </w:t>
      </w:r>
      <w:r>
        <w:rPr>
          <w:rFonts w:ascii="Calibri" w:hAnsi="Calibri" w:cs="Calibri"/>
        </w:rPr>
        <w:t>Our own calculations suggest that t</w:t>
      </w:r>
      <w:r w:rsidRPr="00F45890">
        <w:rPr>
          <w:rFonts w:ascii="Calibri" w:hAnsi="Calibri" w:cs="Calibri"/>
        </w:rPr>
        <w:t xml:space="preserve">he equivalent figure in the subsequent 2024–26 session was lower, but still at 78% (40 of 51). </w:t>
      </w:r>
    </w:p>
  </w:endnote>
  <w:endnote w:id="15">
    <w:p w:rsidR="00FC7422" w:rsidRPr="00F45890" w:rsidP="008E328B">
      <w:pPr>
        <w:pStyle w:val="EndnoteText"/>
        <w:rPr>
          <w:rFonts w:ascii="Calibri" w:hAnsi="Calibri" w:cs="Calibri"/>
        </w:rPr>
      </w:pPr>
      <w:r w:rsidRPr="00F45890">
        <w:rPr>
          <w:rStyle w:val="EndnoteReference"/>
          <w:rFonts w:ascii="Calibri" w:hAnsi="Calibri" w:cs="Calibri"/>
        </w:rPr>
        <w:endnoteRef/>
      </w:r>
      <w:r w:rsidRPr="00F45890">
        <w:rPr>
          <w:rFonts w:ascii="Calibri" w:hAnsi="Calibri" w:cs="Calibri"/>
        </w:rPr>
        <w:t xml:space="preserve"> </w:t>
      </w:r>
      <w:r w:rsidRPr="004F6B59">
        <w:rPr>
          <w:rFonts w:ascii="Calibri" w:hAnsi="Calibri" w:cs="Calibri"/>
          <w:lang w:val="en-US"/>
        </w:rPr>
        <w:t>Backbench Business Committee (2025), paragraph 46.</w:t>
      </w:r>
    </w:p>
  </w:endnote>
  <w:endnote w:id="16">
    <w:p w:rsidR="00FC7422" w:rsidRPr="00F45890" w:rsidP="008E328B">
      <w:pPr>
        <w:pStyle w:val="EndnoteText"/>
        <w:rPr>
          <w:rFonts w:ascii="Calibri" w:hAnsi="Calibri" w:cs="Calibri"/>
        </w:rPr>
      </w:pPr>
      <w:r w:rsidRPr="00F45890">
        <w:rPr>
          <w:rStyle w:val="EndnoteReference"/>
          <w:rFonts w:ascii="Calibri" w:hAnsi="Calibri" w:cs="Calibri"/>
        </w:rPr>
        <w:endnoteRef/>
      </w:r>
      <w:r w:rsidRPr="00F45890">
        <w:rPr>
          <w:rFonts w:ascii="Calibri" w:hAnsi="Calibri" w:cs="Calibri"/>
        </w:rPr>
        <w:t xml:space="preserve"> House of Commons Reform Committee (2009), paragraph 213.</w:t>
      </w:r>
    </w:p>
  </w:endnote>
  <w:endnote w:id="17">
    <w:p w:rsidR="00FC7422" w:rsidRPr="00F45890" w:rsidP="008E328B">
      <w:pPr>
        <w:pStyle w:val="EndnoteText"/>
        <w:rPr>
          <w:rFonts w:ascii="Calibri" w:hAnsi="Calibri" w:cs="Calibri"/>
        </w:rPr>
      </w:pPr>
      <w:r w:rsidRPr="00F45890">
        <w:rPr>
          <w:rStyle w:val="EndnoteReference"/>
          <w:rFonts w:ascii="Calibri" w:hAnsi="Calibri" w:cs="Calibri"/>
        </w:rPr>
        <w:endnoteRef/>
      </w:r>
      <w:r w:rsidRPr="00F45890">
        <w:rPr>
          <w:rFonts w:ascii="Calibri" w:hAnsi="Calibri" w:cs="Calibri"/>
        </w:rPr>
        <w:t xml:space="preserve"> Backbench Business Committee (2026) </w:t>
      </w:r>
      <w:r>
        <w:fldChar w:fldCharType="begin"/>
      </w:r>
      <w:r>
        <w:instrText xml:space="preserve"> HYPERLINK "https://publications.parliament.uk/pa/cm5901/cmselect/cmbackben/1740/report.html" </w:instrText>
      </w:r>
      <w:r>
        <w:fldChar w:fldCharType="separate"/>
      </w:r>
      <w:r w:rsidRPr="00F45890">
        <w:rPr>
          <w:rStyle w:val="Hyperlink"/>
          <w:rFonts w:ascii="Calibri" w:hAnsi="Calibri" w:cs="Calibri"/>
          <w:i/>
          <w:iCs/>
        </w:rPr>
        <w:t>15</w:t>
      </w:r>
      <w:r w:rsidRPr="00F45890">
        <w:rPr>
          <w:rStyle w:val="Hyperlink"/>
          <w:rFonts w:ascii="Calibri" w:hAnsi="Calibri" w:cs="Calibri"/>
          <w:vertAlign w:val="superscript"/>
        </w:rPr>
        <w:t>th</w:t>
      </w:r>
      <w:r w:rsidRPr="00F45890">
        <w:rPr>
          <w:rStyle w:val="Hyperlink"/>
          <w:rFonts w:ascii="Calibri" w:hAnsi="Calibri" w:cs="Calibri"/>
          <w:i/>
          <w:iCs/>
        </w:rPr>
        <w:t xml:space="preserve"> anniversary of the Backbench Business Committee: Government Response (Second Special Report of Session 2024–25)</w:t>
      </w:r>
      <w:r>
        <w:fldChar w:fldCharType="end"/>
      </w:r>
      <w:r w:rsidRPr="00F45890">
        <w:rPr>
          <w:rFonts w:ascii="Calibri" w:hAnsi="Calibri" w:cs="Calibri"/>
        </w:rPr>
        <w:t>, HC 1740 (London: House of Commons), p. 2.</w:t>
      </w:r>
    </w:p>
  </w:endnote>
  <w:endnote w:id="18">
    <w:p w:rsidR="00FC7422">
      <w:pPr>
        <w:pStyle w:val="EndnoteText"/>
      </w:pPr>
      <w:r>
        <w:rPr>
          <w:rStyle w:val="EndnoteReference"/>
        </w:rPr>
        <w:endnoteRef/>
      </w:r>
      <w:r>
        <w:t xml:space="preserve"> </w:t>
      </w:r>
      <w:r w:rsidRPr="00C46BD6">
        <w:rPr>
          <w:rFonts w:ascii="Calibri" w:hAnsi="Calibri" w:cs="Calibri"/>
        </w:rPr>
        <w:t>For example during the difficult arguments over Brexit, there were five months in late 2018 and early 2019 during which no opposition days were made available.</w:t>
      </w:r>
      <w:r>
        <w:rPr>
          <w:rFonts w:ascii="Calibri" w:hAnsi="Calibri" w:cs="Calibri"/>
        </w:rPr>
        <w:t xml:space="preserve"> See </w:t>
      </w:r>
      <w:r w:rsidRPr="00F45890">
        <w:rPr>
          <w:rFonts w:ascii="Calibri" w:hAnsi="Calibri" w:cs="Calibri"/>
        </w:rPr>
        <w:t xml:space="preserve">Meg Russell and Daniel Gover (2021) </w:t>
      </w:r>
      <w:r>
        <w:fldChar w:fldCharType="begin"/>
      </w:r>
      <w:r>
        <w:instrText xml:space="preserve"> HYPERLINK "https://www.ucl.ac.uk/social-historical-sciences/constitution-unit/constitution-unit-research-areas/uk-and-europe/brexit-parliament-and-constitution/taking-back-control-why-house-commons-should-govern-its-own-time" </w:instrText>
      </w:r>
      <w:r>
        <w:fldChar w:fldCharType="separate"/>
      </w:r>
      <w:r w:rsidRPr="00F45890">
        <w:rPr>
          <w:rStyle w:val="Hyperlink"/>
          <w:rFonts w:ascii="Calibri" w:hAnsi="Calibri" w:cs="Calibri"/>
          <w:i/>
          <w:iCs/>
        </w:rPr>
        <w:t>Taking Back Control: Why the House of Commons Should Govern its Own Time</w:t>
      </w:r>
      <w:r>
        <w:fldChar w:fldCharType="end"/>
      </w:r>
      <w:r w:rsidRPr="00F45890">
        <w:rPr>
          <w:rFonts w:ascii="Calibri" w:hAnsi="Calibri" w:cs="Calibri"/>
        </w:rPr>
        <w:t xml:space="preserve"> (London: Constitution Unit)</w:t>
      </w:r>
      <w:r>
        <w:rPr>
          <w:rFonts w:ascii="Calibri" w:hAnsi="Calibri" w:cs="Calibri"/>
        </w:rPr>
        <w:t>, p. 27.</w:t>
      </w:r>
    </w:p>
  </w:endnote>
  <w:endnote w:id="19">
    <w:p w:rsidR="00FC7422" w:rsidRPr="00F45890" w:rsidP="008E328B">
      <w:pPr>
        <w:pStyle w:val="EndnoteText"/>
        <w:rPr>
          <w:rFonts w:ascii="Calibri" w:hAnsi="Calibri" w:cs="Calibri"/>
        </w:rPr>
      </w:pPr>
      <w:r w:rsidRPr="00F45890">
        <w:rPr>
          <w:rStyle w:val="EndnoteReference"/>
          <w:rFonts w:ascii="Calibri" w:hAnsi="Calibri" w:cs="Calibri"/>
        </w:rPr>
        <w:endnoteRef/>
      </w:r>
      <w:r w:rsidRPr="00F45890">
        <w:rPr>
          <w:rFonts w:ascii="Calibri" w:hAnsi="Calibri" w:cs="Calibri"/>
        </w:rPr>
        <w:t xml:space="preserve"> E.g.</w:t>
      </w:r>
      <w:r>
        <w:rPr>
          <w:rFonts w:ascii="Calibri" w:hAnsi="Calibri" w:cs="Calibri"/>
        </w:rPr>
        <w:t xml:space="preserve"> Meg Russell and Daniel Gover (2021)</w:t>
      </w:r>
      <w:r w:rsidRPr="00F45890">
        <w:rPr>
          <w:rFonts w:ascii="Calibri" w:hAnsi="Calibri" w:cs="Calibri"/>
        </w:rPr>
        <w:t>, p. 59.</w:t>
      </w:r>
    </w:p>
  </w:endnote>
  <w:endnote w:id="20">
    <w:p w:rsidR="00FC7422" w:rsidRPr="004F6B59" w:rsidP="00F45890">
      <w:pPr>
        <w:pStyle w:val="EndnoteText"/>
        <w:rPr>
          <w:rFonts w:ascii="Calibri" w:hAnsi="Calibri" w:cs="Calibri"/>
          <w:lang w:val="en-US"/>
        </w:rPr>
      </w:pPr>
      <w:r w:rsidRPr="004F6B59">
        <w:rPr>
          <w:rStyle w:val="EndnoteReference"/>
          <w:rFonts w:ascii="Calibri" w:hAnsi="Calibri" w:cs="Calibri"/>
        </w:rPr>
        <w:endnoteRef/>
      </w:r>
      <w:r w:rsidRPr="004F6B59">
        <w:rPr>
          <w:rFonts w:ascii="Calibri" w:hAnsi="Calibri" w:cs="Calibri"/>
        </w:rPr>
        <w:t xml:space="preserve"> </w:t>
      </w:r>
      <w:r w:rsidRPr="004F6B59">
        <w:rPr>
          <w:rFonts w:ascii="Calibri" w:hAnsi="Calibri" w:cs="Calibri"/>
          <w:lang w:val="en-US"/>
        </w:rPr>
        <w:t>Richard Kelly (2026) ‘</w:t>
      </w:r>
      <w:r>
        <w:fldChar w:fldCharType="begin"/>
      </w:r>
      <w:r>
        <w:instrText xml:space="preserve"> HYPERLINK "https://commonslibrary.parliament.uk/research-briefings/cbp-10314/" </w:instrText>
      </w:r>
      <w:r>
        <w:fldChar w:fldCharType="separate"/>
      </w:r>
      <w:r w:rsidRPr="004F6B59">
        <w:rPr>
          <w:rStyle w:val="Hyperlink"/>
          <w:rFonts w:ascii="Calibri" w:hAnsi="Calibri" w:cs="Calibri"/>
          <w:lang w:val="en-US"/>
        </w:rPr>
        <w:t>2024 King’s Speech: progress of legislation</w:t>
      </w:r>
      <w:r>
        <w:fldChar w:fldCharType="end"/>
      </w:r>
      <w:r w:rsidRPr="004F6B59">
        <w:rPr>
          <w:rFonts w:ascii="Calibri" w:hAnsi="Calibri" w:cs="Calibri"/>
          <w:lang w:val="en-US"/>
        </w:rPr>
        <w:t>’, House of Commons Library Research Briefing, 29 April 2026.</w:t>
      </w:r>
    </w:p>
  </w:endnote>
  <w:endnote w:id="21">
    <w:p w:rsidR="00FC7422" w:rsidRPr="004F6B59" w:rsidP="008E328B">
      <w:pPr>
        <w:pStyle w:val="EndnoteText"/>
        <w:rPr>
          <w:rFonts w:ascii="Calibri" w:hAnsi="Calibri" w:cs="Calibri"/>
          <w:lang w:val="en-US"/>
        </w:rPr>
      </w:pPr>
      <w:r w:rsidRPr="004F6B59">
        <w:rPr>
          <w:rStyle w:val="EndnoteReference"/>
          <w:rFonts w:ascii="Calibri" w:hAnsi="Calibri" w:cs="Calibri"/>
        </w:rPr>
        <w:endnoteRef/>
      </w:r>
      <w:r w:rsidRPr="004F6B59">
        <w:rPr>
          <w:rFonts w:ascii="Calibri" w:hAnsi="Calibri" w:cs="Calibri"/>
        </w:rPr>
        <w:t xml:space="preserve"> </w:t>
      </w:r>
      <w:r w:rsidRPr="004F6B59">
        <w:rPr>
          <w:rFonts w:ascii="Calibri" w:hAnsi="Calibri" w:cs="Calibri"/>
          <w:lang w:val="en-US"/>
        </w:rPr>
        <w:t>The Diego Garcia Mili</w:t>
      </w:r>
      <w:r>
        <w:rPr>
          <w:rFonts w:ascii="Calibri" w:hAnsi="Calibri" w:cs="Calibri"/>
          <w:lang w:val="en-US"/>
        </w:rPr>
        <w:t>t</w:t>
      </w:r>
      <w:r w:rsidRPr="004F6B59">
        <w:rPr>
          <w:rFonts w:ascii="Calibri" w:hAnsi="Calibri" w:cs="Calibri"/>
          <w:lang w:val="en-US"/>
        </w:rPr>
        <w:t>ary Base and British Indian Ocean Territory Bill passed its Commons third reading on 20</w:t>
      </w:r>
      <w:r w:rsidRPr="00AF6737">
        <w:rPr>
          <w:rFonts w:ascii="Calibri" w:hAnsi="Calibri" w:cs="Calibri"/>
          <w:vertAlign w:val="superscript"/>
          <w:lang w:val="en-US"/>
        </w:rPr>
        <w:t>th</w:t>
      </w:r>
      <w:r>
        <w:rPr>
          <w:rFonts w:ascii="Calibri" w:hAnsi="Calibri" w:cs="Calibri"/>
          <w:lang w:val="en-US"/>
        </w:rPr>
        <w:t xml:space="preserve"> </w:t>
      </w:r>
      <w:r w:rsidRPr="004F6B59">
        <w:rPr>
          <w:rFonts w:ascii="Calibri" w:hAnsi="Calibri" w:cs="Calibri"/>
          <w:lang w:val="en-US"/>
        </w:rPr>
        <w:t xml:space="preserve">October 2025 and its Lords third reading on </w:t>
      </w:r>
      <w:r w:rsidRPr="004F6B59">
        <w:rPr>
          <w:rFonts w:ascii="Calibri" w:hAnsi="Calibri" w:cs="Calibri"/>
          <w:lang w:val="en-US"/>
        </w:rPr>
        <w:t>12</w:t>
      </w:r>
      <w:r w:rsidRPr="00AF6737">
        <w:rPr>
          <w:rFonts w:ascii="Calibri" w:hAnsi="Calibri" w:cs="Calibri"/>
          <w:vertAlign w:val="superscript"/>
          <w:lang w:val="en-US"/>
        </w:rPr>
        <w:t>th</w:t>
      </w:r>
      <w:r>
        <w:rPr>
          <w:rFonts w:ascii="Calibri" w:hAnsi="Calibri" w:cs="Calibri"/>
          <w:lang w:val="en-US"/>
        </w:rPr>
        <w:t xml:space="preserve"> </w:t>
      </w:r>
      <w:r w:rsidRPr="004F6B59">
        <w:rPr>
          <w:rFonts w:ascii="Calibri" w:hAnsi="Calibri" w:cs="Calibri"/>
          <w:lang w:val="en-US"/>
        </w:rPr>
        <w:t xml:space="preserve">January 2026, but didn’t complete ‘ping pong’ before the session’s end (see online bill record </w:t>
      </w:r>
      <w:r>
        <w:fldChar w:fldCharType="begin"/>
      </w:r>
      <w:r>
        <w:instrText xml:space="preserve"> HYPERLINK "https://bills.parliament.uk/bills/4004/stages" </w:instrText>
      </w:r>
      <w:r>
        <w:fldChar w:fldCharType="separate"/>
      </w:r>
      <w:r w:rsidRPr="004F6B59">
        <w:rPr>
          <w:rStyle w:val="Hyperlink"/>
          <w:rFonts w:ascii="Calibri" w:hAnsi="Calibri" w:cs="Calibri"/>
          <w:lang w:val="en-US"/>
        </w:rPr>
        <w:t>here</w:t>
      </w:r>
      <w:r>
        <w:fldChar w:fldCharType="end"/>
      </w:r>
      <w:r w:rsidRPr="004F6B59">
        <w:rPr>
          <w:rFonts w:ascii="Calibri" w:hAnsi="Calibri" w:cs="Calibri"/>
          <w:lang w:val="en-US"/>
        </w:rPr>
        <w:t>).</w:t>
      </w:r>
    </w:p>
  </w:endnote>
  <w:endnote w:id="22">
    <w:p w:rsidR="00FC7422" w:rsidRPr="004F6B59" w:rsidP="008E328B">
      <w:pPr>
        <w:pStyle w:val="EndnoteText"/>
        <w:rPr>
          <w:rFonts w:ascii="Calibri" w:hAnsi="Calibri" w:cs="Calibri"/>
          <w:lang w:val="en-US"/>
        </w:rPr>
      </w:pPr>
      <w:r w:rsidRPr="004F6B59">
        <w:rPr>
          <w:rStyle w:val="EndnoteReference"/>
          <w:rFonts w:ascii="Calibri" w:hAnsi="Calibri" w:cs="Calibri"/>
        </w:rPr>
        <w:endnoteRef/>
      </w:r>
      <w:r w:rsidRPr="004F6B59">
        <w:rPr>
          <w:rFonts w:ascii="Calibri" w:hAnsi="Calibri" w:cs="Calibri"/>
        </w:rPr>
        <w:t xml:space="preserve"> </w:t>
      </w:r>
      <w:r w:rsidRPr="004F6B59">
        <w:rPr>
          <w:rFonts w:ascii="Calibri" w:hAnsi="Calibri" w:cs="Calibri"/>
          <w:lang w:val="en-US"/>
        </w:rPr>
        <w:t xml:space="preserve">These were the </w:t>
      </w:r>
      <w:r>
        <w:fldChar w:fldCharType="begin"/>
      </w:r>
      <w:r>
        <w:instrText xml:space="preserve"> HYPERLINK "https://bills.parliament.uk/bills/4065/stages" </w:instrText>
      </w:r>
      <w:r>
        <w:fldChar w:fldCharType="separate"/>
      </w:r>
      <w:r w:rsidRPr="004F6B59">
        <w:rPr>
          <w:rStyle w:val="Hyperlink"/>
          <w:rFonts w:ascii="Calibri" w:hAnsi="Calibri" w:cs="Calibri"/>
          <w:lang w:val="en-US"/>
        </w:rPr>
        <w:t>Armed Forces Bill</w:t>
      </w:r>
      <w:r>
        <w:fldChar w:fldCharType="end"/>
      </w:r>
      <w:r w:rsidRPr="004F6B59">
        <w:rPr>
          <w:rFonts w:ascii="Calibri" w:hAnsi="Calibri" w:cs="Calibri"/>
          <w:lang w:val="en-US"/>
        </w:rPr>
        <w:t xml:space="preserve"> (first reading 15</w:t>
      </w:r>
      <w:r w:rsidRPr="004F6B59">
        <w:rPr>
          <w:rFonts w:ascii="Calibri" w:hAnsi="Calibri" w:cs="Calibri"/>
          <w:vertAlign w:val="superscript"/>
          <w:lang w:val="en-US"/>
        </w:rPr>
        <w:t>th</w:t>
      </w:r>
      <w:r w:rsidRPr="004F6B59">
        <w:rPr>
          <w:rFonts w:ascii="Calibri" w:hAnsi="Calibri" w:cs="Calibri"/>
          <w:lang w:val="en-US"/>
        </w:rPr>
        <w:t xml:space="preserve"> January 2026), </w:t>
      </w:r>
      <w:r>
        <w:fldChar w:fldCharType="begin"/>
      </w:r>
      <w:r>
        <w:instrText xml:space="preserve"> HYPERLINK "https://bills.parliament.uk/bills/4083/stages" </w:instrText>
      </w:r>
      <w:r>
        <w:fldChar w:fldCharType="separate"/>
      </w:r>
      <w:r w:rsidRPr="004F6B59">
        <w:rPr>
          <w:rStyle w:val="Hyperlink"/>
          <w:rFonts w:ascii="Calibri" w:hAnsi="Calibri" w:cs="Calibri"/>
          <w:lang w:val="en-US"/>
        </w:rPr>
        <w:t>Courts and Tribunals Bill</w:t>
      </w:r>
      <w:r>
        <w:fldChar w:fldCharType="end"/>
      </w:r>
      <w:r w:rsidRPr="004F6B59">
        <w:rPr>
          <w:rFonts w:ascii="Calibri" w:hAnsi="Calibri" w:cs="Calibri"/>
          <w:lang w:val="en-US"/>
        </w:rPr>
        <w:t xml:space="preserve"> (first reading 25</w:t>
      </w:r>
      <w:r w:rsidRPr="004F6B59">
        <w:rPr>
          <w:rFonts w:ascii="Calibri" w:hAnsi="Calibri" w:cs="Calibri"/>
          <w:vertAlign w:val="superscript"/>
          <w:lang w:val="en-US"/>
        </w:rPr>
        <w:t>th</w:t>
      </w:r>
      <w:r w:rsidRPr="004F6B59">
        <w:rPr>
          <w:rFonts w:ascii="Calibri" w:hAnsi="Calibri" w:cs="Calibri"/>
          <w:lang w:val="en-US"/>
        </w:rPr>
        <w:t xml:space="preserve"> February 2026), </w:t>
      </w:r>
      <w:r>
        <w:fldChar w:fldCharType="begin"/>
      </w:r>
      <w:r>
        <w:instrText xml:space="preserve"> HYPERLINK "https://bills.parliament.uk/bills/4035/stages" </w:instrText>
      </w:r>
      <w:r>
        <w:fldChar w:fldCharType="separate"/>
      </w:r>
      <w:r w:rsidRPr="004F6B59">
        <w:rPr>
          <w:rStyle w:val="Hyperlink"/>
          <w:rFonts w:ascii="Calibri" w:hAnsi="Calibri" w:cs="Calibri"/>
          <w:lang w:val="en-US"/>
        </w:rPr>
        <w:t>Cyber Security and Resilience (Network and Information Systems) Bill</w:t>
      </w:r>
      <w:r>
        <w:fldChar w:fldCharType="end"/>
      </w:r>
      <w:r w:rsidRPr="004F6B59">
        <w:rPr>
          <w:rFonts w:ascii="Calibri" w:hAnsi="Calibri" w:cs="Calibri"/>
          <w:lang w:val="en-US"/>
        </w:rPr>
        <w:t xml:space="preserve"> (first reading 12</w:t>
      </w:r>
      <w:r w:rsidRPr="004F6B59">
        <w:rPr>
          <w:rFonts w:ascii="Calibri" w:hAnsi="Calibri" w:cs="Calibri"/>
          <w:vertAlign w:val="superscript"/>
          <w:lang w:val="en-US"/>
        </w:rPr>
        <w:t>th</w:t>
      </w:r>
      <w:r w:rsidRPr="004F6B59">
        <w:rPr>
          <w:rFonts w:ascii="Calibri" w:hAnsi="Calibri" w:cs="Calibri"/>
          <w:lang w:val="en-US"/>
        </w:rPr>
        <w:t xml:space="preserve"> November 2025), </w:t>
      </w:r>
      <w:r>
        <w:fldChar w:fldCharType="begin"/>
      </w:r>
      <w:r>
        <w:instrText xml:space="preserve"> HYPERLINK "https://bills.parliament.uk/bills/4022/stages" </w:instrText>
      </w:r>
      <w:r>
        <w:fldChar w:fldCharType="separate"/>
      </w:r>
      <w:r w:rsidRPr="004F6B59">
        <w:rPr>
          <w:rStyle w:val="Hyperlink"/>
          <w:rFonts w:ascii="Calibri" w:hAnsi="Calibri" w:cs="Calibri"/>
          <w:lang w:val="en-US"/>
        </w:rPr>
        <w:t>Northern Ireland Troubles Bill</w:t>
      </w:r>
      <w:r>
        <w:fldChar w:fldCharType="end"/>
      </w:r>
      <w:r w:rsidRPr="004F6B59">
        <w:rPr>
          <w:rFonts w:ascii="Calibri" w:hAnsi="Calibri" w:cs="Calibri"/>
          <w:lang w:val="en-US"/>
        </w:rPr>
        <w:t xml:space="preserve"> (first reading 14</w:t>
      </w:r>
      <w:r w:rsidRPr="004F6B59">
        <w:rPr>
          <w:rFonts w:ascii="Calibri" w:hAnsi="Calibri" w:cs="Calibri"/>
          <w:vertAlign w:val="superscript"/>
          <w:lang w:val="en-US"/>
        </w:rPr>
        <w:t>th</w:t>
      </w:r>
      <w:r w:rsidRPr="004F6B59">
        <w:rPr>
          <w:rFonts w:ascii="Calibri" w:hAnsi="Calibri" w:cs="Calibri"/>
          <w:lang w:val="en-US"/>
        </w:rPr>
        <w:t xml:space="preserve"> October 2025), </w:t>
      </w:r>
      <w:r>
        <w:fldChar w:fldCharType="begin"/>
      </w:r>
      <w:r>
        <w:instrText xml:space="preserve"> HYPERLINK "https://bills.parliament.uk/bills/4019/stages" </w:instrText>
      </w:r>
      <w:r>
        <w:fldChar w:fldCharType="separate"/>
      </w:r>
      <w:r w:rsidRPr="004F6B59">
        <w:rPr>
          <w:rStyle w:val="Hyperlink"/>
          <w:rFonts w:ascii="Calibri" w:hAnsi="Calibri" w:cs="Calibri"/>
          <w:lang w:val="en-US"/>
        </w:rPr>
        <w:t>Public Office (Accountability) Bill</w:t>
      </w:r>
      <w:r>
        <w:fldChar w:fldCharType="end"/>
      </w:r>
      <w:r w:rsidRPr="004F6B59">
        <w:rPr>
          <w:rFonts w:ascii="Calibri" w:hAnsi="Calibri" w:cs="Calibri"/>
          <w:lang w:val="en-US"/>
        </w:rPr>
        <w:t xml:space="preserve"> (first reading 16</w:t>
      </w:r>
      <w:r w:rsidRPr="004F6B59">
        <w:rPr>
          <w:rFonts w:ascii="Calibri" w:hAnsi="Calibri" w:cs="Calibri"/>
          <w:vertAlign w:val="superscript"/>
          <w:lang w:val="en-US"/>
        </w:rPr>
        <w:t>th</w:t>
      </w:r>
      <w:r w:rsidRPr="004F6B59">
        <w:rPr>
          <w:rFonts w:ascii="Calibri" w:hAnsi="Calibri" w:cs="Calibri"/>
          <w:lang w:val="en-US"/>
        </w:rPr>
        <w:t xml:space="preserve"> September 2025), </w:t>
      </w:r>
      <w:r>
        <w:fldChar w:fldCharType="begin"/>
      </w:r>
      <w:r>
        <w:instrText xml:space="preserve"> HYPERLINK "https://bills.parliament.uk/bills/4030/stages" </w:instrText>
      </w:r>
      <w:r>
        <w:fldChar w:fldCharType="separate"/>
      </w:r>
      <w:r w:rsidRPr="004F6B59">
        <w:rPr>
          <w:rStyle w:val="Hyperlink"/>
          <w:rFonts w:ascii="Calibri" w:hAnsi="Calibri" w:cs="Calibri"/>
          <w:lang w:val="en-US"/>
        </w:rPr>
        <w:t>Railways Bill</w:t>
      </w:r>
      <w:r>
        <w:fldChar w:fldCharType="end"/>
      </w:r>
      <w:r w:rsidRPr="004F6B59">
        <w:rPr>
          <w:rFonts w:ascii="Calibri" w:hAnsi="Calibri" w:cs="Calibri"/>
          <w:lang w:val="en-US"/>
        </w:rPr>
        <w:t xml:space="preserve"> (first reading 5</w:t>
      </w:r>
      <w:r w:rsidRPr="004F6B59">
        <w:rPr>
          <w:rFonts w:ascii="Calibri" w:hAnsi="Calibri" w:cs="Calibri"/>
          <w:vertAlign w:val="superscript"/>
          <w:lang w:val="en-US"/>
        </w:rPr>
        <w:t>th</w:t>
      </w:r>
      <w:r w:rsidRPr="004F6B59">
        <w:rPr>
          <w:rFonts w:ascii="Calibri" w:hAnsi="Calibri" w:cs="Calibri"/>
          <w:lang w:val="en-US"/>
        </w:rPr>
        <w:t xml:space="preserve"> November 2025), and the </w:t>
      </w:r>
      <w:r>
        <w:fldChar w:fldCharType="begin"/>
      </w:r>
      <w:r>
        <w:instrText xml:space="preserve"> HYPERLINK "https://bills.parliament.uk/bills/4080/stages" </w:instrText>
      </w:r>
      <w:r>
        <w:fldChar w:fldCharType="separate"/>
      </w:r>
      <w:r w:rsidRPr="004F6B59">
        <w:rPr>
          <w:rStyle w:val="Hyperlink"/>
          <w:rFonts w:ascii="Calibri" w:hAnsi="Calibri" w:cs="Calibri"/>
          <w:lang w:val="en-US"/>
        </w:rPr>
        <w:t>Representation of the People Bill</w:t>
      </w:r>
      <w:r>
        <w:fldChar w:fldCharType="end"/>
      </w:r>
      <w:r w:rsidRPr="004F6B59">
        <w:rPr>
          <w:rFonts w:ascii="Calibri" w:hAnsi="Calibri" w:cs="Calibri"/>
          <w:lang w:val="en-US"/>
        </w:rPr>
        <w:t xml:space="preserve"> (first reading 12</w:t>
      </w:r>
      <w:r w:rsidRPr="004F6B59">
        <w:rPr>
          <w:rFonts w:ascii="Calibri" w:hAnsi="Calibri" w:cs="Calibri"/>
          <w:vertAlign w:val="superscript"/>
          <w:lang w:val="en-US"/>
        </w:rPr>
        <w:t>th</w:t>
      </w:r>
      <w:r w:rsidRPr="004F6B59">
        <w:rPr>
          <w:rFonts w:ascii="Calibri" w:hAnsi="Calibri" w:cs="Calibri"/>
          <w:lang w:val="en-US"/>
        </w:rPr>
        <w:t xml:space="preserve"> February 2026). The exception was the hybrid </w:t>
      </w:r>
      <w:r>
        <w:fldChar w:fldCharType="begin"/>
      </w:r>
      <w:r>
        <w:instrText xml:space="preserve"> HYPERLINK "https://bills.parliament.uk/bills/3094/stages" </w:instrText>
      </w:r>
      <w:r>
        <w:fldChar w:fldCharType="separate"/>
      </w:r>
      <w:r w:rsidRPr="004F6B59">
        <w:rPr>
          <w:rStyle w:val="Hyperlink"/>
          <w:rFonts w:ascii="Calibri" w:hAnsi="Calibri" w:cs="Calibri"/>
          <w:lang w:val="en-US"/>
        </w:rPr>
        <w:t>High Speed Rail (Crew – Manchester) Bill</w:t>
      </w:r>
      <w:r>
        <w:fldChar w:fldCharType="end"/>
      </w:r>
      <w:r w:rsidRPr="004F6B59">
        <w:rPr>
          <w:rFonts w:ascii="Calibri" w:hAnsi="Calibri" w:cs="Calibri"/>
          <w:lang w:val="en-US"/>
        </w:rPr>
        <w:t>, which had itself been revived from previous sessions.</w:t>
      </w:r>
    </w:p>
  </w:endnote>
  <w:endnote w:id="23">
    <w:p w:rsidR="00FC7422" w:rsidRPr="00F45890" w:rsidP="008E328B">
      <w:pPr>
        <w:pStyle w:val="EndnoteText"/>
        <w:rPr>
          <w:rFonts w:ascii="Calibri" w:hAnsi="Calibri" w:cs="Calibri"/>
          <w:lang w:val="en-US"/>
        </w:rPr>
      </w:pPr>
      <w:r w:rsidRPr="004F6B59">
        <w:rPr>
          <w:rStyle w:val="EndnoteReference"/>
          <w:rFonts w:ascii="Calibri" w:hAnsi="Calibri" w:cs="Calibri"/>
        </w:rPr>
        <w:endnoteRef/>
      </w:r>
      <w:r w:rsidRPr="004F6B59">
        <w:rPr>
          <w:rFonts w:ascii="Calibri" w:hAnsi="Calibri" w:cs="Calibri"/>
        </w:rPr>
        <w:t xml:space="preserve"> </w:t>
      </w:r>
      <w:r w:rsidRPr="00F45890">
        <w:rPr>
          <w:rFonts w:ascii="Calibri" w:hAnsi="Calibri" w:cs="Calibri"/>
        </w:rPr>
        <w:t>House of Commons Reform Committee (2009), paragraph 179.</w:t>
      </w:r>
    </w:p>
  </w:endnote>
  <w:endnote w:id="24">
    <w:p w:rsidR="00FC7422" w:rsidRPr="00F45890">
      <w:pPr>
        <w:pStyle w:val="EndnoteText"/>
        <w:rPr>
          <w:rFonts w:ascii="Calibri" w:hAnsi="Calibri" w:cs="Calibri"/>
        </w:rPr>
      </w:pPr>
      <w:r w:rsidRPr="00F45890">
        <w:rPr>
          <w:rStyle w:val="EndnoteReference"/>
          <w:rFonts w:ascii="Calibri" w:hAnsi="Calibri" w:cs="Calibri"/>
        </w:rPr>
        <w:endnoteRef/>
      </w:r>
      <w:r w:rsidRPr="00F45890">
        <w:rPr>
          <w:rFonts w:ascii="Calibri" w:hAnsi="Calibri" w:cs="Calibri"/>
        </w:rPr>
        <w:t xml:space="preserve"> Modernisation Committee (2025) ‘Next steps for the Modernisation Committee following the Call for Views’, February 2025. Available online </w:t>
      </w:r>
      <w:r>
        <w:fldChar w:fldCharType="begin"/>
      </w:r>
      <w:r>
        <w:instrText xml:space="preserve"> HYPERLINK "https://committees.parliament.uk/committee/736/modernisation-committee/news/205253/modernisation-committee-pushes-ahead-with-change-agenda/" </w:instrText>
      </w:r>
      <w:r>
        <w:fldChar w:fldCharType="separate"/>
      </w:r>
      <w:r w:rsidRPr="00F45890">
        <w:rPr>
          <w:rStyle w:val="Hyperlink"/>
          <w:rFonts w:ascii="Calibri" w:hAnsi="Calibri" w:cs="Calibri"/>
        </w:rPr>
        <w:t>here</w:t>
      </w:r>
      <w:r>
        <w:fldChar w:fldCharType="end"/>
      </w:r>
      <w:r w:rsidRPr="00F45890">
        <w:rPr>
          <w:rFonts w:ascii="Calibri" w:hAnsi="Calibri" w:cs="Calibri"/>
        </w:rPr>
        <w:t>.</w:t>
      </w:r>
    </w:p>
  </w:endnote>
  <w:endnote w:id="25">
    <w:p w:rsidR="00FC7422" w:rsidRPr="00F45890" w:rsidP="008E328B">
      <w:pPr>
        <w:pStyle w:val="EndnoteText"/>
        <w:rPr>
          <w:rFonts w:ascii="Calibri" w:hAnsi="Calibri" w:cs="Calibri"/>
        </w:rPr>
      </w:pPr>
      <w:r w:rsidRPr="00F45890">
        <w:rPr>
          <w:rStyle w:val="EndnoteReference"/>
          <w:rFonts w:ascii="Calibri" w:hAnsi="Calibri" w:cs="Calibri"/>
        </w:rPr>
        <w:endnoteRef/>
      </w:r>
      <w:r w:rsidRPr="00F45890">
        <w:rPr>
          <w:rFonts w:ascii="Calibri" w:hAnsi="Calibri" w:cs="Calibri"/>
        </w:rPr>
        <w:t xml:space="preserve"> Calculations based on data from: Emily Davis, Jayne Bosworth, Sarah Priddy and Claire Searle (2026) ‘</w:t>
      </w:r>
      <w:r>
        <w:fldChar w:fldCharType="begin"/>
      </w:r>
      <w:r>
        <w:instrText xml:space="preserve"> HYPERLINK "https://commonslibrary.parliament.uk/research-briefings/cbp-8344/" </w:instrText>
      </w:r>
      <w:r>
        <w:fldChar w:fldCharType="separate"/>
      </w:r>
      <w:r w:rsidRPr="00F45890">
        <w:rPr>
          <w:rStyle w:val="Hyperlink"/>
          <w:rFonts w:ascii="Calibri" w:hAnsi="Calibri" w:cs="Calibri"/>
        </w:rPr>
        <w:t>Urgent questions in the House of Commons since 1997’</w:t>
      </w:r>
      <w:r>
        <w:fldChar w:fldCharType="end"/>
      </w:r>
      <w:r w:rsidRPr="00F45890">
        <w:rPr>
          <w:rFonts w:ascii="Calibri" w:hAnsi="Calibri" w:cs="Calibri"/>
        </w:rPr>
        <w:t>, House of Commons Library Research Briefing, 5 May 2026.</w:t>
      </w:r>
    </w:p>
  </w:endnote>
  <w:endnote w:id="26">
    <w:p w:rsidR="00FC7422" w:rsidRPr="004F6B59" w:rsidP="008E328B">
      <w:pPr>
        <w:pStyle w:val="EndnoteText"/>
        <w:rPr>
          <w:rFonts w:ascii="Calibri" w:hAnsi="Calibri" w:cs="Calibri"/>
          <w:lang w:val="en-US"/>
        </w:rPr>
      </w:pPr>
      <w:r w:rsidRPr="004F6B59">
        <w:rPr>
          <w:rStyle w:val="EndnoteReference"/>
          <w:rFonts w:ascii="Calibri" w:hAnsi="Calibri" w:cs="Calibri"/>
        </w:rPr>
        <w:endnoteRef/>
      </w:r>
      <w:r w:rsidRPr="004F6B59">
        <w:rPr>
          <w:rFonts w:ascii="Calibri" w:hAnsi="Calibri" w:cs="Calibri"/>
        </w:rPr>
        <w:t xml:space="preserve"> </w:t>
      </w:r>
      <w:r w:rsidRPr="004F6B59">
        <w:rPr>
          <w:rFonts w:ascii="Calibri" w:hAnsi="Calibri" w:cs="Calibri"/>
          <w:lang w:val="en-US"/>
        </w:rPr>
        <w:t>The committee stage and third reading of the Biodiversity Beyond National Jurisdiction Bill. See HC Deb 17 November 2025, vol 775, c554.</w:t>
      </w:r>
    </w:p>
  </w:endnote>
  <w:endnote w:id="27">
    <w:p w:rsidR="00FC7422" w:rsidRPr="00F45890" w:rsidP="008E328B">
      <w:pPr>
        <w:pStyle w:val="EndnoteText"/>
        <w:rPr>
          <w:rFonts w:ascii="Calibri" w:hAnsi="Calibri" w:cs="Calibri"/>
          <w:lang w:val="en-US"/>
        </w:rPr>
      </w:pPr>
      <w:r w:rsidRPr="00F45890">
        <w:rPr>
          <w:rStyle w:val="EndnoteReference"/>
          <w:rFonts w:ascii="Calibri" w:hAnsi="Calibri" w:cs="Calibri"/>
        </w:rPr>
        <w:endnoteRef/>
      </w:r>
      <w:r w:rsidRPr="00F45890">
        <w:rPr>
          <w:rFonts w:ascii="Calibri" w:hAnsi="Calibri" w:cs="Calibri"/>
        </w:rPr>
        <w:t xml:space="preserve"> </w:t>
      </w:r>
      <w:r w:rsidRPr="004F6B59">
        <w:rPr>
          <w:rFonts w:ascii="Calibri" w:hAnsi="Calibri" w:cs="Calibri"/>
          <w:lang w:val="en-US"/>
        </w:rPr>
        <w:t>Backbench Business Committee (2025), paragraphs 40 and 48.</w:t>
      </w:r>
    </w:p>
  </w:endnote>
  <w:endnote w:id="28">
    <w:p w:rsidR="00FC7422" w:rsidP="008E328B">
      <w:pPr>
        <w:pStyle w:val="EndnoteText"/>
        <w:rPr>
          <w:rFonts w:ascii="Calibri" w:hAnsi="Calibri" w:cs="Calibri"/>
        </w:rPr>
      </w:pPr>
      <w:r w:rsidRPr="00F45890">
        <w:rPr>
          <w:rStyle w:val="EndnoteReference"/>
          <w:rFonts w:ascii="Calibri" w:hAnsi="Calibri" w:cs="Calibri"/>
        </w:rPr>
        <w:endnoteRef/>
      </w:r>
      <w:r w:rsidRPr="00F45890">
        <w:rPr>
          <w:rFonts w:ascii="Calibri" w:hAnsi="Calibri" w:cs="Calibri"/>
        </w:rPr>
        <w:t xml:space="preserve"> Backbench Business Committee (2026), p. 3.</w:t>
      </w:r>
    </w:p>
    <w:p w:rsidR="00881323" w:rsidP="008E328B">
      <w:pPr>
        <w:pStyle w:val="EndnoteText"/>
        <w:rPr>
          <w:rFonts w:ascii="Calibri" w:hAnsi="Calibri" w:cs="Calibri"/>
        </w:rPr>
      </w:pPr>
    </w:p>
    <w:p w:rsidR="00881323" w:rsidP="008E328B">
      <w:pPr>
        <w:pStyle w:val="EndnoteText"/>
        <w:rPr>
          <w:rFonts w:ascii="Calibri" w:hAnsi="Calibri" w:cs="Calibri"/>
        </w:rPr>
      </w:pPr>
    </w:p>
    <w:p w:rsidR="00881323" w:rsidP="00881323">
      <w:pPr>
        <w:jc w:val="right"/>
        <w:rPr>
          <w:rFonts w:ascii="Calibri" w:eastAsia="Aptos" w:hAnsi="Calibri" w:cs="Calibri"/>
          <w:b/>
          <w:bCs/>
          <w:i/>
          <w:iCs/>
          <w:sz w:val="22"/>
          <w:szCs w:val="22"/>
        </w:rPr>
      </w:pPr>
    </w:p>
    <w:p w:rsidR="00881323" w:rsidRPr="006E0133" w:rsidP="00881323">
      <w:pPr>
        <w:jc w:val="right"/>
        <w:rPr>
          <w:rFonts w:ascii="Calibri" w:eastAsia="Aptos" w:hAnsi="Calibri" w:cs="Calibri"/>
          <w:b/>
          <w:bCs/>
          <w:i/>
          <w:iCs/>
          <w:sz w:val="22"/>
          <w:szCs w:val="22"/>
        </w:rPr>
      </w:pPr>
      <w:r w:rsidRPr="006E0133">
        <w:rPr>
          <w:rFonts w:ascii="Calibri" w:eastAsia="Aptos" w:hAnsi="Calibri" w:cs="Calibri"/>
          <w:b/>
          <w:bCs/>
          <w:i/>
          <w:iCs/>
          <w:sz w:val="22"/>
          <w:szCs w:val="22"/>
        </w:rPr>
        <w:t>May 2026</w:t>
      </w:r>
    </w:p>
    <w:p w:rsidR="00881323" w:rsidRPr="00F45890" w:rsidP="008E328B">
      <w:pPr>
        <w:pStyle w:val="EndnoteText"/>
        <w:rPr>
          <w:rFonts w:ascii="Calibri" w:hAnsi="Calibri" w:cs="Calibri"/>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1A6590"/>
    <w:multiLevelType w:val="multilevel"/>
    <w:tmpl w:val="489CE41C"/>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Calibri" w:hAnsi="Calibri" w:cs="Calibri"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8CF1183"/>
    <w:multiLevelType w:val="hybridMultilevel"/>
    <w:tmpl w:val="15A4A6E8"/>
    <w:lvl w:ilvl="0">
      <w:start w:val="1"/>
      <w:numFmt w:val="bullet"/>
      <w:lvlText w:val=""/>
      <w:lvlJc w:val="left"/>
      <w:pPr>
        <w:ind w:left="1146" w:hanging="360"/>
      </w:pPr>
      <w:rPr>
        <w:rFonts w:ascii="Symbol" w:hAnsi="Symbol" w:hint="default"/>
      </w:rPr>
    </w:lvl>
    <w:lvl w:ilvl="1" w:tentative="1">
      <w:start w:val="1"/>
      <w:numFmt w:val="bullet"/>
      <w:lvlText w:val="o"/>
      <w:lvlJc w:val="left"/>
      <w:pPr>
        <w:ind w:left="1866" w:hanging="360"/>
      </w:pPr>
      <w:rPr>
        <w:rFonts w:ascii="Courier New" w:hAnsi="Courier New" w:cs="Courier New" w:hint="default"/>
      </w:rPr>
    </w:lvl>
    <w:lvl w:ilvl="2" w:tentative="1">
      <w:start w:val="1"/>
      <w:numFmt w:val="bullet"/>
      <w:lvlText w:val=""/>
      <w:lvlJc w:val="left"/>
      <w:pPr>
        <w:ind w:left="2586" w:hanging="360"/>
      </w:pPr>
      <w:rPr>
        <w:rFonts w:ascii="Wingdings" w:hAnsi="Wingdings" w:hint="default"/>
      </w:rPr>
    </w:lvl>
    <w:lvl w:ilvl="3" w:tentative="1">
      <w:start w:val="1"/>
      <w:numFmt w:val="bullet"/>
      <w:lvlText w:val=""/>
      <w:lvlJc w:val="left"/>
      <w:pPr>
        <w:ind w:left="3306" w:hanging="360"/>
      </w:pPr>
      <w:rPr>
        <w:rFonts w:ascii="Symbol" w:hAnsi="Symbol" w:hint="default"/>
      </w:rPr>
    </w:lvl>
    <w:lvl w:ilvl="4" w:tentative="1">
      <w:start w:val="1"/>
      <w:numFmt w:val="bullet"/>
      <w:lvlText w:val="o"/>
      <w:lvlJc w:val="left"/>
      <w:pPr>
        <w:ind w:left="4026" w:hanging="360"/>
      </w:pPr>
      <w:rPr>
        <w:rFonts w:ascii="Courier New" w:hAnsi="Courier New" w:cs="Courier New" w:hint="default"/>
      </w:rPr>
    </w:lvl>
    <w:lvl w:ilvl="5" w:tentative="1">
      <w:start w:val="1"/>
      <w:numFmt w:val="bullet"/>
      <w:lvlText w:val=""/>
      <w:lvlJc w:val="left"/>
      <w:pPr>
        <w:ind w:left="4746" w:hanging="360"/>
      </w:pPr>
      <w:rPr>
        <w:rFonts w:ascii="Wingdings" w:hAnsi="Wingdings" w:hint="default"/>
      </w:rPr>
    </w:lvl>
    <w:lvl w:ilvl="6" w:tentative="1">
      <w:start w:val="1"/>
      <w:numFmt w:val="bullet"/>
      <w:lvlText w:val=""/>
      <w:lvlJc w:val="left"/>
      <w:pPr>
        <w:ind w:left="5466" w:hanging="360"/>
      </w:pPr>
      <w:rPr>
        <w:rFonts w:ascii="Symbol" w:hAnsi="Symbol" w:hint="default"/>
      </w:rPr>
    </w:lvl>
    <w:lvl w:ilvl="7" w:tentative="1">
      <w:start w:val="1"/>
      <w:numFmt w:val="bullet"/>
      <w:lvlText w:val="o"/>
      <w:lvlJc w:val="left"/>
      <w:pPr>
        <w:ind w:left="6186" w:hanging="360"/>
      </w:pPr>
      <w:rPr>
        <w:rFonts w:ascii="Courier New" w:hAnsi="Courier New" w:cs="Courier New" w:hint="default"/>
      </w:rPr>
    </w:lvl>
    <w:lvl w:ilvl="8" w:tentative="1">
      <w:start w:val="1"/>
      <w:numFmt w:val="bullet"/>
      <w:lvlText w:val=""/>
      <w:lvlJc w:val="left"/>
      <w:pPr>
        <w:ind w:left="6906" w:hanging="360"/>
      </w:pPr>
      <w:rPr>
        <w:rFonts w:ascii="Wingdings" w:hAnsi="Wingdings" w:hint="default"/>
      </w:rPr>
    </w:lvl>
  </w:abstractNum>
  <w:abstractNum w:abstractNumId="2">
    <w:nsid w:val="12754C9C"/>
    <w:multiLevelType w:val="hybridMultilevel"/>
    <w:tmpl w:val="76F05F0C"/>
    <w:lvl w:ilvl="0">
      <w:start w:val="1"/>
      <w:numFmt w:val="bullet"/>
      <w:lvlText w:val=""/>
      <w:lvlJc w:val="left"/>
      <w:pPr>
        <w:ind w:left="1146" w:hanging="360"/>
      </w:pPr>
      <w:rPr>
        <w:rFonts w:ascii="Symbol" w:hAnsi="Symbol" w:hint="default"/>
      </w:rPr>
    </w:lvl>
    <w:lvl w:ilvl="1" w:tentative="1">
      <w:start w:val="1"/>
      <w:numFmt w:val="bullet"/>
      <w:lvlText w:val="o"/>
      <w:lvlJc w:val="left"/>
      <w:pPr>
        <w:ind w:left="1866" w:hanging="360"/>
      </w:pPr>
      <w:rPr>
        <w:rFonts w:ascii="Courier New" w:hAnsi="Courier New" w:cs="Courier New" w:hint="default"/>
      </w:rPr>
    </w:lvl>
    <w:lvl w:ilvl="2" w:tentative="1">
      <w:start w:val="1"/>
      <w:numFmt w:val="bullet"/>
      <w:lvlText w:val=""/>
      <w:lvlJc w:val="left"/>
      <w:pPr>
        <w:ind w:left="2586" w:hanging="360"/>
      </w:pPr>
      <w:rPr>
        <w:rFonts w:ascii="Wingdings" w:hAnsi="Wingdings" w:hint="default"/>
      </w:rPr>
    </w:lvl>
    <w:lvl w:ilvl="3" w:tentative="1">
      <w:start w:val="1"/>
      <w:numFmt w:val="bullet"/>
      <w:lvlText w:val=""/>
      <w:lvlJc w:val="left"/>
      <w:pPr>
        <w:ind w:left="3306" w:hanging="360"/>
      </w:pPr>
      <w:rPr>
        <w:rFonts w:ascii="Symbol" w:hAnsi="Symbol" w:hint="default"/>
      </w:rPr>
    </w:lvl>
    <w:lvl w:ilvl="4" w:tentative="1">
      <w:start w:val="1"/>
      <w:numFmt w:val="bullet"/>
      <w:lvlText w:val="o"/>
      <w:lvlJc w:val="left"/>
      <w:pPr>
        <w:ind w:left="4026" w:hanging="360"/>
      </w:pPr>
      <w:rPr>
        <w:rFonts w:ascii="Courier New" w:hAnsi="Courier New" w:cs="Courier New" w:hint="default"/>
      </w:rPr>
    </w:lvl>
    <w:lvl w:ilvl="5" w:tentative="1">
      <w:start w:val="1"/>
      <w:numFmt w:val="bullet"/>
      <w:lvlText w:val=""/>
      <w:lvlJc w:val="left"/>
      <w:pPr>
        <w:ind w:left="4746" w:hanging="360"/>
      </w:pPr>
      <w:rPr>
        <w:rFonts w:ascii="Wingdings" w:hAnsi="Wingdings" w:hint="default"/>
      </w:rPr>
    </w:lvl>
    <w:lvl w:ilvl="6" w:tentative="1">
      <w:start w:val="1"/>
      <w:numFmt w:val="bullet"/>
      <w:lvlText w:val=""/>
      <w:lvlJc w:val="left"/>
      <w:pPr>
        <w:ind w:left="5466" w:hanging="360"/>
      </w:pPr>
      <w:rPr>
        <w:rFonts w:ascii="Symbol" w:hAnsi="Symbol" w:hint="default"/>
      </w:rPr>
    </w:lvl>
    <w:lvl w:ilvl="7" w:tentative="1">
      <w:start w:val="1"/>
      <w:numFmt w:val="bullet"/>
      <w:lvlText w:val="o"/>
      <w:lvlJc w:val="left"/>
      <w:pPr>
        <w:ind w:left="6186" w:hanging="360"/>
      </w:pPr>
      <w:rPr>
        <w:rFonts w:ascii="Courier New" w:hAnsi="Courier New" w:cs="Courier New" w:hint="default"/>
      </w:rPr>
    </w:lvl>
    <w:lvl w:ilvl="8" w:tentative="1">
      <w:start w:val="1"/>
      <w:numFmt w:val="bullet"/>
      <w:lvlText w:val=""/>
      <w:lvlJc w:val="left"/>
      <w:pPr>
        <w:ind w:left="6906" w:hanging="360"/>
      </w:pPr>
      <w:rPr>
        <w:rFonts w:ascii="Wingdings" w:hAnsi="Wingdings" w:hint="default"/>
      </w:rPr>
    </w:lvl>
  </w:abstractNum>
  <w:abstractNum w:abstractNumId="3">
    <w:nsid w:val="16BA1129"/>
    <w:multiLevelType w:val="multilevel"/>
    <w:tmpl w:val="E9BEAE8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0965D88"/>
    <w:multiLevelType w:val="hybridMultilevel"/>
    <w:tmpl w:val="0546C5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2B2562A2"/>
    <w:multiLevelType w:val="hybridMultilevel"/>
    <w:tmpl w:val="21FC1B5E"/>
    <w:lvl w:ilvl="0">
      <w:start w:val="7"/>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4462DD3"/>
    <w:multiLevelType w:val="multilevel"/>
    <w:tmpl w:val="EEE0A5D6"/>
    <w:lvl w:ilvl="0">
      <w:start w:val="2"/>
      <w:numFmt w:val="decimal"/>
      <w:lvlText w:val="%1."/>
      <w:lvlJc w:val="left"/>
      <w:pPr>
        <w:ind w:left="360" w:hanging="360"/>
      </w:pPr>
      <w:rPr>
        <w:rFonts w:hint="default"/>
      </w:rPr>
    </w:lvl>
    <w:lvl w:ilvl="1">
      <w:start w:val="1"/>
      <w:numFmt w:val="decimal"/>
      <w:lvlText w:val="%1.%2."/>
      <w:lvlJc w:val="left"/>
      <w:pPr>
        <w:ind w:left="2345" w:hanging="360"/>
      </w:pPr>
      <w:rPr>
        <w:rFonts w:ascii="Calibri" w:hAnsi="Calibri" w:cs="Calibri"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BA43A58"/>
    <w:multiLevelType w:val="multilevel"/>
    <w:tmpl w:val="09126A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444D0023"/>
    <w:multiLevelType w:val="multilevel"/>
    <w:tmpl w:val="D5FA7E3E"/>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Calibri" w:hAnsi="Calibri" w:cs="Calibri"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454B200E"/>
    <w:multiLevelType w:val="hybridMultilevel"/>
    <w:tmpl w:val="5C06ED3E"/>
    <w:lvl w:ilvl="0">
      <w:start w:val="1"/>
      <w:numFmt w:val="bullet"/>
      <w:lvlText w:val=""/>
      <w:lvlJc w:val="left"/>
      <w:pPr>
        <w:ind w:left="720" w:hanging="360"/>
      </w:pPr>
      <w:rPr>
        <w:rFonts w:ascii="Symbol" w:hAnsi="Symbol" w:hint="default"/>
        <w:i w:val="0"/>
        <w:iCs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6B852B0"/>
    <w:multiLevelType w:val="hybridMultilevel"/>
    <w:tmpl w:val="ED3EE3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51027B23"/>
    <w:multiLevelType w:val="hybridMultilevel"/>
    <w:tmpl w:val="970889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538B49A8"/>
    <w:multiLevelType w:val="multilevel"/>
    <w:tmpl w:val="EEDAE03A"/>
    <w:lvl w:ilvl="0">
      <w:start w:val="1"/>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58F6251A"/>
    <w:multiLevelType w:val="multilevel"/>
    <w:tmpl w:val="D0AC01A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595E4344"/>
    <w:multiLevelType w:val="multilevel"/>
    <w:tmpl w:val="6816896E"/>
    <w:lvl w:ilvl="0">
      <w:start w:val="3"/>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5">
    <w:nsid w:val="5D2E7D35"/>
    <w:multiLevelType w:val="multilevel"/>
    <w:tmpl w:val="4888D8F2"/>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D9322C9"/>
    <w:multiLevelType w:val="multilevel"/>
    <w:tmpl w:val="6816896E"/>
    <w:lvl w:ilvl="0">
      <w:start w:val="3"/>
      <w:numFmt w:val="decimal"/>
      <w:lvlText w:val="%1."/>
      <w:lvlJc w:val="left"/>
      <w:pPr>
        <w:ind w:left="360" w:hanging="360"/>
      </w:pPr>
      <w:rPr>
        <w:rFonts w:hint="default"/>
        <w:i w:val="0"/>
      </w:rPr>
    </w:lvl>
    <w:lvl w:ilvl="1">
      <w:start w:val="1"/>
      <w:numFmt w:val="decimal"/>
      <w:lvlText w:val="%1.%2."/>
      <w:lvlJc w:val="left"/>
      <w:pPr>
        <w:ind w:left="3054"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7">
    <w:nsid w:val="5EB03D82"/>
    <w:multiLevelType w:val="multilevel"/>
    <w:tmpl w:val="B310F498"/>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658F6E8F"/>
    <w:multiLevelType w:val="multilevel"/>
    <w:tmpl w:val="DD50F612"/>
    <w:lvl w:ilvl="0">
      <w:start w:val="7"/>
      <w:numFmt w:val="decimal"/>
      <w:lvlText w:val="%1."/>
      <w:lvlJc w:val="left"/>
      <w:pPr>
        <w:ind w:left="360" w:hanging="360"/>
      </w:pPr>
      <w:rPr>
        <w:rFonts w:hint="default"/>
      </w:rPr>
    </w:lvl>
    <w:lvl w:ilvl="1">
      <w:start w:val="1"/>
      <w:numFmt w:val="decimal"/>
      <w:lvlText w:val="%1.%2."/>
      <w:lvlJc w:val="left"/>
      <w:pPr>
        <w:ind w:left="360" w:hanging="360"/>
      </w:pPr>
      <w:rPr>
        <w:rFonts w:ascii="Calibri" w:hAnsi="Calibri" w:cs="Calibri"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6A6F7250"/>
    <w:multiLevelType w:val="hybridMultilevel"/>
    <w:tmpl w:val="7EF8681A"/>
    <w:lvl w:ilvl="0">
      <w:start w:val="1"/>
      <w:numFmt w:val="decimal"/>
      <w:lvlText w:val="%1."/>
      <w:lvlJc w:val="left"/>
      <w:pPr>
        <w:ind w:left="720" w:hanging="360"/>
      </w:pPr>
      <w:rPr>
        <w:rFonts w:hint="default"/>
        <w:i w:val="0"/>
        <w:iCs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B38147C"/>
    <w:multiLevelType w:val="multilevel"/>
    <w:tmpl w:val="150E0320"/>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nsid w:val="6F9877AF"/>
    <w:multiLevelType w:val="hybridMultilevel"/>
    <w:tmpl w:val="A16AF0B0"/>
    <w:lvl w:ilvl="0">
      <w:start w:val="1"/>
      <w:numFmt w:val="bullet"/>
      <w:lvlText w:val=""/>
      <w:lvlJc w:val="left"/>
      <w:pPr>
        <w:ind w:left="1146" w:hanging="360"/>
      </w:pPr>
      <w:rPr>
        <w:rFonts w:ascii="Symbol" w:hAnsi="Symbol" w:hint="default"/>
      </w:rPr>
    </w:lvl>
    <w:lvl w:ilvl="1" w:tentative="1">
      <w:start w:val="1"/>
      <w:numFmt w:val="bullet"/>
      <w:lvlText w:val="o"/>
      <w:lvlJc w:val="left"/>
      <w:pPr>
        <w:ind w:left="1866" w:hanging="360"/>
      </w:pPr>
      <w:rPr>
        <w:rFonts w:ascii="Courier New" w:hAnsi="Courier New" w:cs="Courier New" w:hint="default"/>
      </w:rPr>
    </w:lvl>
    <w:lvl w:ilvl="2" w:tentative="1">
      <w:start w:val="1"/>
      <w:numFmt w:val="bullet"/>
      <w:lvlText w:val=""/>
      <w:lvlJc w:val="left"/>
      <w:pPr>
        <w:ind w:left="2586" w:hanging="360"/>
      </w:pPr>
      <w:rPr>
        <w:rFonts w:ascii="Wingdings" w:hAnsi="Wingdings" w:hint="default"/>
      </w:rPr>
    </w:lvl>
    <w:lvl w:ilvl="3" w:tentative="1">
      <w:start w:val="1"/>
      <w:numFmt w:val="bullet"/>
      <w:lvlText w:val=""/>
      <w:lvlJc w:val="left"/>
      <w:pPr>
        <w:ind w:left="3306" w:hanging="360"/>
      </w:pPr>
      <w:rPr>
        <w:rFonts w:ascii="Symbol" w:hAnsi="Symbol" w:hint="default"/>
      </w:rPr>
    </w:lvl>
    <w:lvl w:ilvl="4" w:tentative="1">
      <w:start w:val="1"/>
      <w:numFmt w:val="bullet"/>
      <w:lvlText w:val="o"/>
      <w:lvlJc w:val="left"/>
      <w:pPr>
        <w:ind w:left="4026" w:hanging="360"/>
      </w:pPr>
      <w:rPr>
        <w:rFonts w:ascii="Courier New" w:hAnsi="Courier New" w:cs="Courier New" w:hint="default"/>
      </w:rPr>
    </w:lvl>
    <w:lvl w:ilvl="5" w:tentative="1">
      <w:start w:val="1"/>
      <w:numFmt w:val="bullet"/>
      <w:lvlText w:val=""/>
      <w:lvlJc w:val="left"/>
      <w:pPr>
        <w:ind w:left="4746" w:hanging="360"/>
      </w:pPr>
      <w:rPr>
        <w:rFonts w:ascii="Wingdings" w:hAnsi="Wingdings" w:hint="default"/>
      </w:rPr>
    </w:lvl>
    <w:lvl w:ilvl="6" w:tentative="1">
      <w:start w:val="1"/>
      <w:numFmt w:val="bullet"/>
      <w:lvlText w:val=""/>
      <w:lvlJc w:val="left"/>
      <w:pPr>
        <w:ind w:left="5466" w:hanging="360"/>
      </w:pPr>
      <w:rPr>
        <w:rFonts w:ascii="Symbol" w:hAnsi="Symbol" w:hint="default"/>
      </w:rPr>
    </w:lvl>
    <w:lvl w:ilvl="7" w:tentative="1">
      <w:start w:val="1"/>
      <w:numFmt w:val="bullet"/>
      <w:lvlText w:val="o"/>
      <w:lvlJc w:val="left"/>
      <w:pPr>
        <w:ind w:left="6186" w:hanging="360"/>
      </w:pPr>
      <w:rPr>
        <w:rFonts w:ascii="Courier New" w:hAnsi="Courier New" w:cs="Courier New" w:hint="default"/>
      </w:rPr>
    </w:lvl>
    <w:lvl w:ilvl="8" w:tentative="1">
      <w:start w:val="1"/>
      <w:numFmt w:val="bullet"/>
      <w:lvlText w:val=""/>
      <w:lvlJc w:val="left"/>
      <w:pPr>
        <w:ind w:left="6906" w:hanging="360"/>
      </w:pPr>
      <w:rPr>
        <w:rFonts w:ascii="Wingdings" w:hAnsi="Wingdings" w:hint="default"/>
      </w:rPr>
    </w:lvl>
  </w:abstractNum>
  <w:abstractNum w:abstractNumId="22">
    <w:nsid w:val="77694B23"/>
    <w:multiLevelType w:val="hybridMultilevel"/>
    <w:tmpl w:val="697EA7E8"/>
    <w:lvl w:ilvl="0">
      <w:start w:val="1"/>
      <w:numFmt w:val="bullet"/>
      <w:lvlText w:val=""/>
      <w:lvlJc w:val="left"/>
      <w:pPr>
        <w:ind w:left="1146" w:hanging="360"/>
      </w:pPr>
      <w:rPr>
        <w:rFonts w:ascii="Symbol" w:hAnsi="Symbol" w:hint="default"/>
      </w:rPr>
    </w:lvl>
    <w:lvl w:ilvl="1" w:tentative="1">
      <w:start w:val="1"/>
      <w:numFmt w:val="bullet"/>
      <w:lvlText w:val="o"/>
      <w:lvlJc w:val="left"/>
      <w:pPr>
        <w:ind w:left="1866" w:hanging="360"/>
      </w:pPr>
      <w:rPr>
        <w:rFonts w:ascii="Courier New" w:hAnsi="Courier New" w:cs="Courier New" w:hint="default"/>
      </w:rPr>
    </w:lvl>
    <w:lvl w:ilvl="2" w:tentative="1">
      <w:start w:val="1"/>
      <w:numFmt w:val="bullet"/>
      <w:lvlText w:val=""/>
      <w:lvlJc w:val="left"/>
      <w:pPr>
        <w:ind w:left="2586" w:hanging="360"/>
      </w:pPr>
      <w:rPr>
        <w:rFonts w:ascii="Wingdings" w:hAnsi="Wingdings" w:hint="default"/>
      </w:rPr>
    </w:lvl>
    <w:lvl w:ilvl="3" w:tentative="1">
      <w:start w:val="1"/>
      <w:numFmt w:val="bullet"/>
      <w:lvlText w:val=""/>
      <w:lvlJc w:val="left"/>
      <w:pPr>
        <w:ind w:left="3306" w:hanging="360"/>
      </w:pPr>
      <w:rPr>
        <w:rFonts w:ascii="Symbol" w:hAnsi="Symbol" w:hint="default"/>
      </w:rPr>
    </w:lvl>
    <w:lvl w:ilvl="4" w:tentative="1">
      <w:start w:val="1"/>
      <w:numFmt w:val="bullet"/>
      <w:lvlText w:val="o"/>
      <w:lvlJc w:val="left"/>
      <w:pPr>
        <w:ind w:left="4026" w:hanging="360"/>
      </w:pPr>
      <w:rPr>
        <w:rFonts w:ascii="Courier New" w:hAnsi="Courier New" w:cs="Courier New" w:hint="default"/>
      </w:rPr>
    </w:lvl>
    <w:lvl w:ilvl="5" w:tentative="1">
      <w:start w:val="1"/>
      <w:numFmt w:val="bullet"/>
      <w:lvlText w:val=""/>
      <w:lvlJc w:val="left"/>
      <w:pPr>
        <w:ind w:left="4746" w:hanging="360"/>
      </w:pPr>
      <w:rPr>
        <w:rFonts w:ascii="Wingdings" w:hAnsi="Wingdings" w:hint="default"/>
      </w:rPr>
    </w:lvl>
    <w:lvl w:ilvl="6" w:tentative="1">
      <w:start w:val="1"/>
      <w:numFmt w:val="bullet"/>
      <w:lvlText w:val=""/>
      <w:lvlJc w:val="left"/>
      <w:pPr>
        <w:ind w:left="5466" w:hanging="360"/>
      </w:pPr>
      <w:rPr>
        <w:rFonts w:ascii="Symbol" w:hAnsi="Symbol" w:hint="default"/>
      </w:rPr>
    </w:lvl>
    <w:lvl w:ilvl="7" w:tentative="1">
      <w:start w:val="1"/>
      <w:numFmt w:val="bullet"/>
      <w:lvlText w:val="o"/>
      <w:lvlJc w:val="left"/>
      <w:pPr>
        <w:ind w:left="6186" w:hanging="360"/>
      </w:pPr>
      <w:rPr>
        <w:rFonts w:ascii="Courier New" w:hAnsi="Courier New" w:cs="Courier New" w:hint="default"/>
      </w:rPr>
    </w:lvl>
    <w:lvl w:ilvl="8" w:tentative="1">
      <w:start w:val="1"/>
      <w:numFmt w:val="bullet"/>
      <w:lvlText w:val=""/>
      <w:lvlJc w:val="left"/>
      <w:pPr>
        <w:ind w:left="6906" w:hanging="360"/>
      </w:pPr>
      <w:rPr>
        <w:rFonts w:ascii="Wingdings" w:hAnsi="Wingdings" w:hint="default"/>
      </w:rPr>
    </w:lvl>
  </w:abstractNum>
  <w:abstractNum w:abstractNumId="23">
    <w:nsid w:val="7EA42023"/>
    <w:multiLevelType w:val="hybridMultilevel"/>
    <w:tmpl w:val="33C0D210"/>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4"/>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10"/>
  </w:num>
  <w:num w:numId="5">
    <w:abstractNumId w:val="15"/>
  </w:num>
  <w:num w:numId="6">
    <w:abstractNumId w:val="7"/>
  </w:num>
  <w:num w:numId="7">
    <w:abstractNumId w:val="20"/>
  </w:num>
  <w:num w:numId="8">
    <w:abstractNumId w:val="11"/>
  </w:num>
  <w:num w:numId="9">
    <w:abstractNumId w:val="12"/>
  </w:num>
  <w:num w:numId="10">
    <w:abstractNumId w:val="6"/>
  </w:num>
  <w:num w:numId="11">
    <w:abstractNumId w:val="22"/>
  </w:num>
  <w:num w:numId="12">
    <w:abstractNumId w:val="9"/>
  </w:num>
  <w:num w:numId="13">
    <w:abstractNumId w:val="13"/>
  </w:num>
  <w:num w:numId="14">
    <w:abstractNumId w:val="2"/>
  </w:num>
  <w:num w:numId="15">
    <w:abstractNumId w:val="1"/>
  </w:num>
  <w:num w:numId="16">
    <w:abstractNumId w:val="17"/>
  </w:num>
  <w:num w:numId="17">
    <w:abstractNumId w:val="16"/>
  </w:num>
  <w:num w:numId="18">
    <w:abstractNumId w:val="14"/>
  </w:num>
  <w:num w:numId="19">
    <w:abstractNumId w:val="8"/>
  </w:num>
  <w:num w:numId="20">
    <w:abstractNumId w:val="5"/>
  </w:num>
  <w:num w:numId="21">
    <w:abstractNumId w:val="21"/>
  </w:num>
  <w:num w:numId="22">
    <w:abstractNumId w:val="3"/>
  </w:num>
  <w:num w:numId="23">
    <w:abstractNumId w:val="0"/>
  </w:num>
  <w:num w:numId="24">
    <w:abstractNumId w:val="23"/>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proofState w:spelling="clean" w:grammar="clean"/>
  <w:doNotTrackMoves/>
  <w:defaultTabStop w:val="720"/>
  <w:characterSpacingControl w:val="doNotCompress"/>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928E520A-D644-4945-9CE9-17D4B2123CD5}"/>
    <w:docVar w:name="dgnword-eventsink" w:val="2115480176448"/>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4373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73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73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73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73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73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73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73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73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73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73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73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73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73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73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73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73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7306"/>
    <w:rPr>
      <w:rFonts w:eastAsiaTheme="majorEastAsia" w:cstheme="majorBidi"/>
      <w:color w:val="272727" w:themeColor="text1" w:themeTint="D8"/>
    </w:rPr>
  </w:style>
  <w:style w:type="paragraph" w:styleId="Title">
    <w:name w:val="Title"/>
    <w:basedOn w:val="Normal"/>
    <w:next w:val="Normal"/>
    <w:link w:val="TitleChar"/>
    <w:uiPriority w:val="10"/>
    <w:qFormat/>
    <w:rsid w:val="004373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73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73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73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7306"/>
    <w:pPr>
      <w:spacing w:before="160"/>
      <w:jc w:val="center"/>
    </w:pPr>
    <w:rPr>
      <w:i/>
      <w:iCs/>
      <w:color w:val="404040" w:themeColor="text1" w:themeTint="BF"/>
    </w:rPr>
  </w:style>
  <w:style w:type="character" w:customStyle="1" w:styleId="QuoteChar">
    <w:name w:val="Quote Char"/>
    <w:basedOn w:val="DefaultParagraphFont"/>
    <w:link w:val="Quote"/>
    <w:uiPriority w:val="29"/>
    <w:rsid w:val="00437306"/>
    <w:rPr>
      <w:i/>
      <w:iCs/>
      <w:color w:val="404040" w:themeColor="text1" w:themeTint="BF"/>
    </w:rPr>
  </w:style>
  <w:style w:type="paragraph" w:styleId="ListParagraph">
    <w:name w:val="List Paragraph"/>
    <w:basedOn w:val="Normal"/>
    <w:uiPriority w:val="34"/>
    <w:qFormat/>
    <w:rsid w:val="00437306"/>
    <w:pPr>
      <w:ind w:left="720"/>
      <w:contextualSpacing/>
    </w:pPr>
  </w:style>
  <w:style w:type="character" w:styleId="IntenseEmphasis">
    <w:name w:val="Intense Emphasis"/>
    <w:basedOn w:val="DefaultParagraphFont"/>
    <w:uiPriority w:val="21"/>
    <w:qFormat/>
    <w:rsid w:val="00437306"/>
    <w:rPr>
      <w:i/>
      <w:iCs/>
      <w:color w:val="0F4761" w:themeColor="accent1" w:themeShade="BF"/>
    </w:rPr>
  </w:style>
  <w:style w:type="paragraph" w:styleId="IntenseQuote">
    <w:name w:val="Intense Quote"/>
    <w:basedOn w:val="Normal"/>
    <w:next w:val="Normal"/>
    <w:link w:val="IntenseQuoteChar"/>
    <w:uiPriority w:val="30"/>
    <w:qFormat/>
    <w:rsid w:val="004373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7306"/>
    <w:rPr>
      <w:i/>
      <w:iCs/>
      <w:color w:val="0F4761" w:themeColor="accent1" w:themeShade="BF"/>
    </w:rPr>
  </w:style>
  <w:style w:type="character" w:styleId="IntenseReference">
    <w:name w:val="Intense Reference"/>
    <w:basedOn w:val="DefaultParagraphFont"/>
    <w:uiPriority w:val="32"/>
    <w:qFormat/>
    <w:rsid w:val="00437306"/>
    <w:rPr>
      <w:b/>
      <w:bCs/>
      <w:smallCaps/>
      <w:color w:val="0F4761" w:themeColor="accent1" w:themeShade="BF"/>
      <w:spacing w:val="5"/>
    </w:rPr>
  </w:style>
  <w:style w:type="character" w:styleId="Hyperlink">
    <w:name w:val="Hyperlink"/>
    <w:basedOn w:val="DefaultParagraphFont"/>
    <w:uiPriority w:val="99"/>
    <w:unhideWhenUsed/>
    <w:rsid w:val="00103E03"/>
    <w:rPr>
      <w:color w:val="467886" w:themeColor="hyperlink"/>
      <w:u w:val="single"/>
    </w:rPr>
  </w:style>
  <w:style w:type="character" w:customStyle="1" w:styleId="UnresolvedMention1">
    <w:name w:val="Unresolved Mention1"/>
    <w:basedOn w:val="DefaultParagraphFont"/>
    <w:uiPriority w:val="99"/>
    <w:semiHidden/>
    <w:unhideWhenUsed/>
    <w:rsid w:val="00103E03"/>
    <w:rPr>
      <w:color w:val="605E5C"/>
      <w:shd w:val="clear" w:color="auto" w:fill="E1DFDD"/>
    </w:rPr>
  </w:style>
  <w:style w:type="character" w:styleId="CommentReference">
    <w:name w:val="annotation reference"/>
    <w:basedOn w:val="DefaultParagraphFont"/>
    <w:uiPriority w:val="99"/>
    <w:semiHidden/>
    <w:unhideWhenUsed/>
    <w:rsid w:val="00BE502C"/>
    <w:rPr>
      <w:sz w:val="16"/>
      <w:szCs w:val="16"/>
    </w:rPr>
  </w:style>
  <w:style w:type="paragraph" w:styleId="CommentText">
    <w:name w:val="annotation text"/>
    <w:basedOn w:val="Normal"/>
    <w:link w:val="CommentTextChar"/>
    <w:uiPriority w:val="99"/>
    <w:unhideWhenUsed/>
    <w:rsid w:val="00BE502C"/>
    <w:pPr>
      <w:spacing w:line="240" w:lineRule="auto"/>
    </w:pPr>
    <w:rPr>
      <w:sz w:val="20"/>
      <w:szCs w:val="20"/>
    </w:rPr>
  </w:style>
  <w:style w:type="character" w:customStyle="1" w:styleId="CommentTextChar">
    <w:name w:val="Comment Text Char"/>
    <w:basedOn w:val="DefaultParagraphFont"/>
    <w:link w:val="CommentText"/>
    <w:uiPriority w:val="99"/>
    <w:rsid w:val="00BE502C"/>
    <w:rPr>
      <w:sz w:val="20"/>
      <w:szCs w:val="20"/>
    </w:rPr>
  </w:style>
  <w:style w:type="paragraph" w:styleId="CommentSubject">
    <w:name w:val="annotation subject"/>
    <w:basedOn w:val="CommentText"/>
    <w:next w:val="CommentText"/>
    <w:link w:val="CommentSubjectChar"/>
    <w:uiPriority w:val="99"/>
    <w:semiHidden/>
    <w:unhideWhenUsed/>
    <w:rsid w:val="00BE502C"/>
    <w:rPr>
      <w:b/>
      <w:bCs/>
    </w:rPr>
  </w:style>
  <w:style w:type="character" w:customStyle="1" w:styleId="CommentSubjectChar">
    <w:name w:val="Comment Subject Char"/>
    <w:basedOn w:val="CommentTextChar"/>
    <w:link w:val="CommentSubject"/>
    <w:uiPriority w:val="99"/>
    <w:semiHidden/>
    <w:rsid w:val="00BE502C"/>
    <w:rPr>
      <w:b/>
      <w:bCs/>
      <w:sz w:val="20"/>
      <w:szCs w:val="20"/>
    </w:rPr>
  </w:style>
  <w:style w:type="paragraph" w:styleId="FootnoteText">
    <w:name w:val="footnote text"/>
    <w:basedOn w:val="Normal"/>
    <w:link w:val="FootnoteTextChar"/>
    <w:uiPriority w:val="99"/>
    <w:semiHidden/>
    <w:unhideWhenUsed/>
    <w:rsid w:val="00EC0F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FF2"/>
    <w:rPr>
      <w:sz w:val="20"/>
      <w:szCs w:val="20"/>
    </w:rPr>
  </w:style>
  <w:style w:type="character" w:styleId="FootnoteReference">
    <w:name w:val="footnote reference"/>
    <w:basedOn w:val="DefaultParagraphFont"/>
    <w:uiPriority w:val="99"/>
    <w:semiHidden/>
    <w:unhideWhenUsed/>
    <w:rsid w:val="00EC0FF2"/>
    <w:rPr>
      <w:vertAlign w:val="superscript"/>
    </w:rPr>
  </w:style>
  <w:style w:type="character" w:styleId="FollowedHyperlink">
    <w:name w:val="FollowedHyperlink"/>
    <w:basedOn w:val="DefaultParagraphFont"/>
    <w:uiPriority w:val="99"/>
    <w:semiHidden/>
    <w:unhideWhenUsed/>
    <w:rsid w:val="0006224A"/>
    <w:rPr>
      <w:color w:val="96607D" w:themeColor="followedHyperlink"/>
      <w:u w:val="single"/>
    </w:rPr>
  </w:style>
  <w:style w:type="paragraph" w:styleId="Revision">
    <w:name w:val="Revision"/>
    <w:hidden/>
    <w:uiPriority w:val="99"/>
    <w:semiHidden/>
    <w:rsid w:val="005C04C1"/>
    <w:pPr>
      <w:spacing w:after="0" w:line="240" w:lineRule="auto"/>
    </w:pPr>
  </w:style>
  <w:style w:type="paragraph" w:styleId="EndnoteText">
    <w:name w:val="endnote text"/>
    <w:basedOn w:val="Normal"/>
    <w:link w:val="EndnoteTextChar"/>
    <w:uiPriority w:val="99"/>
    <w:semiHidden/>
    <w:unhideWhenUsed/>
    <w:rsid w:val="0046653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66534"/>
    <w:rPr>
      <w:sz w:val="20"/>
      <w:szCs w:val="20"/>
    </w:rPr>
  </w:style>
  <w:style w:type="character" w:styleId="EndnoteReference">
    <w:name w:val="endnote reference"/>
    <w:basedOn w:val="DefaultParagraphFont"/>
    <w:uiPriority w:val="99"/>
    <w:semiHidden/>
    <w:unhideWhenUsed/>
    <w:rsid w:val="00466534"/>
    <w:rPr>
      <w:vertAlign w:val="superscript"/>
    </w:rPr>
  </w:style>
  <w:style w:type="paragraph" w:styleId="Header">
    <w:name w:val="header"/>
    <w:basedOn w:val="Normal"/>
    <w:link w:val="HeaderChar"/>
    <w:uiPriority w:val="99"/>
    <w:unhideWhenUsed/>
    <w:rsid w:val="004665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6534"/>
  </w:style>
  <w:style w:type="paragraph" w:styleId="Footer">
    <w:name w:val="footer"/>
    <w:basedOn w:val="Normal"/>
    <w:link w:val="FooterChar"/>
    <w:uiPriority w:val="99"/>
    <w:unhideWhenUsed/>
    <w:rsid w:val="004665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6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endnotes" Target="end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473BF-6529-40B0-BA58-0C5F69317D96}">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BBB0017</dc:title>
  <cp:revision>0</cp:revision>
</cp:coreProperties>
</file>