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6747" w:rsidRPr="00920853" w:rsidP="00920853">
      <w:pPr>
        <w:pStyle w:val="NormalWeb"/>
        <w:spacing w:before="0" w:beforeAutospacing="0" w:after="0" w:afterAutospacing="0"/>
        <w:jc w:val="center"/>
        <w:rPr>
          <w:rFonts w:ascii="Calibri" w:hAnsi="Calibri" w:cs="Calibri"/>
          <w:b/>
          <w:bCs/>
          <w:noProof/>
        </w:rPr>
      </w:pPr>
      <w:r w:rsidRPr="00920853">
        <w:rPr>
          <w:rFonts w:ascii="Calibri" w:hAnsi="Calibri" w:cs="Calibri"/>
          <w:b/>
          <w:bCs/>
          <w:noProof/>
        </w:rPr>
        <w:t>WRITTEN EVIDENCE SUBMITTED B</w:t>
      </w:r>
      <w:r w:rsidR="00310D19">
        <w:rPr>
          <w:rFonts w:ascii="Calibri" w:hAnsi="Calibri" w:cs="Calibri"/>
          <w:b/>
          <w:bCs/>
          <w:noProof/>
        </w:rPr>
        <w:t>Y</w:t>
      </w:r>
      <w:r w:rsidRPr="00920853">
        <w:rPr>
          <w:rFonts w:ascii="Calibri" w:hAnsi="Calibri" w:cs="Calibri"/>
          <w:b/>
          <w:bCs/>
          <w:noProof/>
        </w:rPr>
        <w:t xml:space="preserve"> PRIVACY INTERNATIONAL</w:t>
      </w:r>
    </w:p>
    <w:p w:rsidR="00920853" w:rsidRPr="00920853" w:rsidP="00920853">
      <w:pPr>
        <w:pStyle w:val="NormalWeb"/>
        <w:spacing w:before="0" w:beforeAutospacing="0" w:after="0" w:afterAutospacing="0"/>
        <w:jc w:val="center"/>
        <w:rPr>
          <w:rFonts w:ascii="Calibri" w:hAnsi="Calibri" w:cs="Calibri"/>
          <w:b/>
          <w:bCs/>
          <w:noProof/>
        </w:rPr>
      </w:pPr>
    </w:p>
    <w:p w:rsidR="00920853" w:rsidRPr="00920853" w:rsidP="00920853">
      <w:pPr>
        <w:pStyle w:val="NormalWeb"/>
        <w:spacing w:before="0" w:beforeAutospacing="0" w:after="0" w:afterAutospacing="0"/>
        <w:jc w:val="center"/>
        <w:rPr>
          <w:rStyle w:val="Strong"/>
          <w:rFonts w:ascii="Calibri" w:hAnsi="Calibri" w:eastAsiaTheme="majorEastAsia" w:cs="Calibri"/>
          <w:b w:val="0"/>
          <w:bCs w:val="0"/>
          <w:sz w:val="22"/>
          <w:szCs w:val="22"/>
        </w:rPr>
      </w:pPr>
      <w:r w:rsidRPr="00920853">
        <w:rPr>
          <w:rFonts w:ascii="Calibri" w:hAnsi="Calibri" w:cs="Calibri"/>
          <w:b/>
          <w:bCs/>
          <w:noProof/>
        </w:rPr>
        <w:t>(SSP0036)</w:t>
      </w:r>
    </w:p>
    <w:p w:rsidR="00EB6747" w:rsidP="00965E67">
      <w:pPr>
        <w:pStyle w:val="NormalWeb"/>
        <w:spacing w:before="0" w:beforeAutospacing="0" w:after="0" w:afterAutospacing="0"/>
        <w:rPr>
          <w:rStyle w:val="Strong"/>
          <w:rFonts w:ascii="Gilroy" w:hAnsi="Gilroy" w:eastAsiaTheme="majorEastAsia" w:cs="Arial"/>
          <w:sz w:val="22"/>
          <w:szCs w:val="22"/>
        </w:rPr>
      </w:pPr>
    </w:p>
    <w:p w:rsidR="00EB6747" w:rsidP="00965E67">
      <w:pPr>
        <w:pStyle w:val="NormalWeb"/>
        <w:spacing w:before="0" w:beforeAutospacing="0" w:after="0" w:afterAutospacing="0"/>
        <w:rPr>
          <w:rStyle w:val="Strong"/>
          <w:rFonts w:ascii="Gilroy" w:hAnsi="Gilroy" w:eastAsiaTheme="majorEastAsia" w:cs="Arial"/>
          <w:sz w:val="22"/>
          <w:szCs w:val="22"/>
        </w:rPr>
      </w:pPr>
    </w:p>
    <w:p w:rsidR="00EB6747" w:rsidP="00965E67">
      <w:pPr>
        <w:pStyle w:val="NormalWeb"/>
        <w:spacing w:before="0" w:beforeAutospacing="0" w:after="0" w:afterAutospacing="0"/>
        <w:rPr>
          <w:rStyle w:val="Strong"/>
          <w:rFonts w:ascii="Gilroy" w:hAnsi="Gilroy" w:eastAsiaTheme="majorEastAsia" w:cs="Arial"/>
          <w:sz w:val="22"/>
          <w:szCs w:val="22"/>
        </w:rPr>
      </w:pPr>
    </w:p>
    <w:p w:rsidR="00EB6747" w:rsidP="00965E67">
      <w:pPr>
        <w:pStyle w:val="NormalWeb"/>
        <w:spacing w:before="0" w:beforeAutospacing="0" w:after="0" w:afterAutospacing="0"/>
        <w:rPr>
          <w:rStyle w:val="Strong"/>
          <w:rFonts w:ascii="Gilroy" w:hAnsi="Gilroy" w:eastAsiaTheme="majorEastAsia" w:cs="Arial"/>
          <w:sz w:val="22"/>
          <w:szCs w:val="22"/>
        </w:rPr>
      </w:pPr>
    </w:p>
    <w:p w:rsidR="00EB6747" w:rsidRPr="00EE36AE" w:rsidP="00920853">
      <w:pPr>
        <w:spacing w:after="0"/>
        <w:rPr>
          <w:rFonts w:ascii="Gilroy" w:hAnsi="Gilroy"/>
          <w:b/>
          <w:bCs/>
          <w:sz w:val="22"/>
          <w:szCs w:val="22"/>
          <w:u w:val="single"/>
        </w:rPr>
      </w:pPr>
    </w:p>
    <w:p w:rsidR="00EB6747" w:rsidRPr="00EE36AE" w:rsidP="00EE36AE">
      <w:pPr>
        <w:spacing w:after="0"/>
        <w:rPr>
          <w:rFonts w:ascii="Gilroy" w:hAnsi="Gilroy"/>
          <w:sz w:val="22"/>
          <w:szCs w:val="22"/>
        </w:rPr>
      </w:pPr>
    </w:p>
    <w:p w:rsidR="00EB6747" w:rsidRPr="00EE36AE" w:rsidP="00EE36AE">
      <w:pPr>
        <w:spacing w:after="0"/>
        <w:rPr>
          <w:rStyle w:val="Strong"/>
          <w:rFonts w:ascii="Gilroy" w:hAnsi="Gilroy" w:cs="Arial"/>
          <w:b w:val="0"/>
          <w:bCs w:val="0"/>
          <w:sz w:val="22"/>
          <w:szCs w:val="22"/>
        </w:rPr>
      </w:pPr>
      <w:r w:rsidRPr="00EE36AE">
        <w:rPr>
          <w:rFonts w:ascii="Gilroy" w:hAnsi="Gilroy"/>
          <w:b/>
          <w:bCs/>
          <w:sz w:val="22"/>
          <w:szCs w:val="22"/>
        </w:rPr>
        <w:t>Introduction</w:t>
      </w:r>
    </w:p>
    <w:p w:rsidR="00EB6747" w:rsidRPr="00EE36AE" w:rsidP="00EE36AE">
      <w:pPr>
        <w:spacing w:after="0"/>
        <w:rPr>
          <w:rStyle w:val="Strong"/>
          <w:rFonts w:ascii="Gilroy" w:hAnsi="Gilroy" w:eastAsiaTheme="majorEastAsia" w:cs="Arial"/>
          <w:b w:val="0"/>
          <w:bCs w:val="0"/>
          <w:sz w:val="22"/>
          <w:szCs w:val="22"/>
        </w:rPr>
      </w:pPr>
    </w:p>
    <w:p w:rsidR="00EB6747" w:rsidRPr="00EE36AE" w:rsidP="00EE36AE">
      <w:pPr>
        <w:spacing w:after="0"/>
        <w:rPr>
          <w:rFonts w:ascii="Gilroy" w:hAnsi="Gilroy"/>
          <w:sz w:val="22"/>
          <w:szCs w:val="22"/>
        </w:rPr>
      </w:pPr>
      <w:r w:rsidRPr="00EE36AE">
        <w:rPr>
          <w:rFonts w:ascii="Gilroy" w:hAnsi="Gilroy"/>
          <w:sz w:val="22"/>
          <w:szCs w:val="22"/>
        </w:rPr>
        <w:t>Privacy International (“PI”) is a registered charity (no 1147471), that works globally at the intersection of modern technologies and rights.</w:t>
      </w:r>
      <w:r>
        <w:rPr>
          <w:rStyle w:val="FootnoteReference"/>
          <w:rFonts w:ascii="Gilroy" w:hAnsi="Gilroy"/>
          <w:sz w:val="22"/>
          <w:szCs w:val="22"/>
        </w:rPr>
        <w:footnoteReference w:id="2"/>
      </w:r>
      <w:r w:rsidRPr="00EE36AE">
        <w:rPr>
          <w:rFonts w:ascii="Gilroy" w:hAnsi="Gilroy"/>
          <w:sz w:val="22"/>
          <w:szCs w:val="22"/>
        </w:rPr>
        <w:t xml:space="preserve"> Established in 1990, PI undertakes research, litigation and advocacy to build a better future where technologies, laws and policies contain modern safeguards to protect people and their data from exploitation. </w:t>
      </w:r>
    </w:p>
    <w:p w:rsidR="00EB6747" w:rsidRPr="00EE36AE" w:rsidP="00EE36AE">
      <w:pPr>
        <w:spacing w:after="0"/>
        <w:rPr>
          <w:rFonts w:ascii="Gilroy" w:hAnsi="Gilroy"/>
          <w:sz w:val="22"/>
          <w:szCs w:val="22"/>
        </w:rPr>
      </w:pPr>
    </w:p>
    <w:p w:rsidR="00EB6747" w:rsidRPr="00EE36AE" w:rsidP="00EE36AE">
      <w:pPr>
        <w:spacing w:after="0"/>
        <w:rPr>
          <w:rFonts w:ascii="Gilroy" w:hAnsi="Gilroy"/>
          <w:sz w:val="22"/>
          <w:szCs w:val="22"/>
        </w:rPr>
      </w:pPr>
      <w:r w:rsidRPr="00EE36AE">
        <w:rPr>
          <w:rFonts w:ascii="Gilroy" w:hAnsi="Gilroy"/>
          <w:sz w:val="22"/>
          <w:szCs w:val="22"/>
        </w:rPr>
        <w:t xml:space="preserve">PI has long documented the </w:t>
      </w:r>
      <w:r w:rsidRPr="00EE36AE">
        <w:rPr>
          <w:rFonts w:ascii="Gilroy" w:hAnsi="Gilroy"/>
          <w:sz w:val="22"/>
          <w:szCs w:val="22"/>
        </w:rPr>
        <w:t>types</w:t>
      </w:r>
      <w:r w:rsidRPr="00EE36AE">
        <w:rPr>
          <w:rFonts w:ascii="Gilroy" w:hAnsi="Gilroy"/>
          <w:sz w:val="22"/>
          <w:szCs w:val="22"/>
        </w:rPr>
        <w:t xml:space="preserve"> of surveillance technologies </w:t>
      </w:r>
      <w:r w:rsidRPr="00EE36AE">
        <w:rPr>
          <w:rFonts w:ascii="Gilroy" w:hAnsi="Gilroy"/>
          <w:sz w:val="22"/>
          <w:szCs w:val="22"/>
        </w:rPr>
        <w:t xml:space="preserve">that are </w:t>
      </w:r>
      <w:r w:rsidRPr="00EE36AE">
        <w:rPr>
          <w:rFonts w:ascii="Gilroy" w:hAnsi="Gilroy"/>
          <w:sz w:val="22"/>
          <w:szCs w:val="22"/>
        </w:rPr>
        <w:t xml:space="preserve">being deployed </w:t>
      </w:r>
      <w:r w:rsidRPr="00EE36AE">
        <w:rPr>
          <w:rFonts w:ascii="Gilroy" w:hAnsi="Gilroy"/>
          <w:sz w:val="22"/>
          <w:szCs w:val="22"/>
        </w:rPr>
        <w:t>for</w:t>
      </w:r>
      <w:r w:rsidRPr="00EE36AE">
        <w:rPr>
          <w:rFonts w:ascii="Gilroy" w:hAnsi="Gilroy"/>
          <w:sz w:val="22"/>
          <w:szCs w:val="22"/>
        </w:rPr>
        <w:t xml:space="preserve"> the </w:t>
      </w:r>
      <w:r w:rsidRPr="00EE36AE">
        <w:rPr>
          <w:rFonts w:ascii="Gilroy" w:hAnsi="Gilroy"/>
          <w:sz w:val="22"/>
          <w:szCs w:val="22"/>
        </w:rPr>
        <w:t xml:space="preserve">surveillance of </w:t>
      </w:r>
      <w:r w:rsidRPr="00EE36AE">
        <w:rPr>
          <w:rFonts w:ascii="Gilroy" w:hAnsi="Gilroy"/>
          <w:sz w:val="22"/>
          <w:szCs w:val="22"/>
        </w:rPr>
        <w:t>protest</w:t>
      </w:r>
      <w:r w:rsidRPr="00EE36AE">
        <w:rPr>
          <w:rFonts w:ascii="Gilroy" w:hAnsi="Gilroy"/>
          <w:sz w:val="22"/>
          <w:szCs w:val="22"/>
        </w:rPr>
        <w:t>or</w:t>
      </w:r>
      <w:r w:rsidRPr="00EE36AE">
        <w:rPr>
          <w:rFonts w:ascii="Gilroy" w:hAnsi="Gilroy"/>
          <w:sz w:val="22"/>
          <w:szCs w:val="22"/>
        </w:rPr>
        <w:t>s</w:t>
      </w:r>
      <w:r w:rsidRPr="00EE36AE">
        <w:rPr>
          <w:rFonts w:ascii="Gilroy" w:hAnsi="Gilroy"/>
          <w:sz w:val="22"/>
          <w:szCs w:val="22"/>
        </w:rPr>
        <w:t xml:space="preserve"> and their impact on human rights</w:t>
      </w:r>
      <w:r w:rsidRPr="00EE36AE">
        <w:rPr>
          <w:rFonts w:ascii="Gilroy" w:hAnsi="Gilroy"/>
          <w:sz w:val="22"/>
          <w:szCs w:val="22"/>
        </w:rPr>
        <w:t xml:space="preserve">. </w:t>
      </w:r>
      <w:r w:rsidRPr="00EE36AE">
        <w:rPr>
          <w:rFonts w:ascii="Gilroy" w:hAnsi="Gilroy"/>
          <w:sz w:val="22"/>
          <w:szCs w:val="22"/>
        </w:rPr>
        <w:t xml:space="preserve">PI welcomes the Joint Committee’s inquiry </w:t>
      </w:r>
      <w:r w:rsidRPr="00EE36AE">
        <w:rPr>
          <w:rFonts w:ascii="Gilroy" w:hAnsi="Gilroy"/>
          <w:sz w:val="22"/>
          <w:szCs w:val="22"/>
        </w:rPr>
        <w:t>to examine recent changes to laws relating to protest and the policing of protests in the UK.</w:t>
      </w:r>
      <w:r w:rsidRPr="00EE36AE">
        <w:rPr>
          <w:rFonts w:ascii="Gilroy" w:hAnsi="Gilroy"/>
          <w:sz w:val="22"/>
          <w:szCs w:val="22"/>
        </w:rPr>
        <w:t xml:space="preserve"> Our submission addresses </w:t>
      </w:r>
      <w:r w:rsidRPr="00EE36AE">
        <w:rPr>
          <w:rFonts w:ascii="Gilroy" w:hAnsi="Gilroy"/>
          <w:sz w:val="22"/>
          <w:szCs w:val="22"/>
        </w:rPr>
        <w:t xml:space="preserve">questions </w:t>
      </w:r>
      <w:r w:rsidRPr="00EE36AE">
        <w:rPr>
          <w:rFonts w:ascii="Gilroy" w:hAnsi="Gilroy"/>
          <w:sz w:val="22"/>
          <w:szCs w:val="22"/>
        </w:rPr>
        <w:t>10</w:t>
      </w:r>
      <w:r w:rsidRPr="00EE36AE">
        <w:rPr>
          <w:rFonts w:ascii="Gilroy" w:hAnsi="Gilroy"/>
          <w:sz w:val="22"/>
          <w:szCs w:val="22"/>
        </w:rPr>
        <w:t>,</w:t>
      </w:r>
      <w:r w:rsidRPr="00EE36AE">
        <w:rPr>
          <w:rFonts w:ascii="Gilroy" w:hAnsi="Gilroy"/>
          <w:sz w:val="22"/>
          <w:szCs w:val="22"/>
        </w:rPr>
        <w:t xml:space="preserve"> 11 </w:t>
      </w:r>
      <w:r w:rsidRPr="00EE36AE">
        <w:rPr>
          <w:rFonts w:ascii="Gilroy" w:hAnsi="Gilroy"/>
          <w:sz w:val="22"/>
          <w:szCs w:val="22"/>
        </w:rPr>
        <w:t xml:space="preserve">and 13 </w:t>
      </w:r>
      <w:r w:rsidRPr="00EE36AE">
        <w:rPr>
          <w:rFonts w:ascii="Gilroy" w:hAnsi="Gilroy"/>
          <w:sz w:val="22"/>
          <w:szCs w:val="22"/>
        </w:rPr>
        <w:t xml:space="preserve">of the inquiry </w:t>
      </w:r>
      <w:r w:rsidRPr="00EE36AE">
        <w:rPr>
          <w:rFonts w:ascii="Gilroy" w:hAnsi="Gilroy"/>
          <w:sz w:val="22"/>
          <w:szCs w:val="22"/>
        </w:rPr>
        <w:t>relat</w:t>
      </w:r>
      <w:r w:rsidRPr="00EE36AE">
        <w:rPr>
          <w:rFonts w:ascii="Gilroy" w:hAnsi="Gilroy"/>
          <w:sz w:val="22"/>
          <w:szCs w:val="22"/>
        </w:rPr>
        <w:t>ed</w:t>
      </w:r>
      <w:r w:rsidRPr="00EE36AE">
        <w:rPr>
          <w:rFonts w:ascii="Gilroy" w:hAnsi="Gilroy"/>
          <w:sz w:val="22"/>
          <w:szCs w:val="22"/>
        </w:rPr>
        <w:t xml:space="preserve"> to surveillance</w:t>
      </w:r>
      <w:r w:rsidRPr="00EE36AE">
        <w:rPr>
          <w:rFonts w:ascii="Gilroy" w:hAnsi="Gilroy"/>
          <w:sz w:val="22"/>
          <w:szCs w:val="22"/>
        </w:rPr>
        <w:t xml:space="preserve"> </w:t>
      </w:r>
      <w:r w:rsidRPr="00EE36AE">
        <w:rPr>
          <w:rFonts w:ascii="Gilroy" w:hAnsi="Gilroy"/>
          <w:sz w:val="22"/>
          <w:szCs w:val="22"/>
        </w:rPr>
        <w:t>and data</w:t>
      </w:r>
      <w:r w:rsidRPr="00EE36AE">
        <w:rPr>
          <w:rFonts w:ascii="Gilroy" w:hAnsi="Gilroy"/>
          <w:sz w:val="22"/>
          <w:szCs w:val="22"/>
        </w:rPr>
        <w:t xml:space="preserve">. </w:t>
      </w:r>
    </w:p>
    <w:p w:rsidR="00EB6747" w:rsidRPr="00EE36AE" w:rsidP="00EE36AE">
      <w:pPr>
        <w:spacing w:after="0"/>
        <w:rPr>
          <w:rStyle w:val="Strong"/>
          <w:rFonts w:ascii="Gilroy" w:hAnsi="Gilroy" w:eastAsiaTheme="majorEastAsia" w:cs="Arial"/>
          <w:b w:val="0"/>
          <w:bCs w:val="0"/>
          <w:sz w:val="22"/>
          <w:szCs w:val="22"/>
        </w:rPr>
      </w:pPr>
    </w:p>
    <w:p w:rsidR="00EB6747" w:rsidRPr="00EE36AE" w:rsidP="00EE36AE">
      <w:pPr>
        <w:spacing w:after="0"/>
        <w:rPr>
          <w:rFonts w:ascii="Gilroy" w:hAnsi="Gilroy" w:cs="Cambria"/>
          <w:b/>
          <w:bCs/>
          <w:sz w:val="22"/>
          <w:szCs w:val="22"/>
        </w:rPr>
      </w:pPr>
      <w:r w:rsidRPr="00EE36AE">
        <w:rPr>
          <w:rStyle w:val="Strong"/>
          <w:rFonts w:ascii="Gilroy" w:hAnsi="Gilroy" w:eastAsiaTheme="majorEastAsia" w:cs="Arial"/>
          <w:sz w:val="22"/>
          <w:szCs w:val="22"/>
        </w:rPr>
        <w:t>Surveillance</w:t>
      </w:r>
      <w:r w:rsidRPr="00EE36AE">
        <w:rPr>
          <w:rFonts w:ascii="Cambria" w:hAnsi="Cambria" w:cs="Cambria"/>
          <w:sz w:val="22"/>
          <w:szCs w:val="22"/>
        </w:rPr>
        <w:t> </w:t>
      </w:r>
      <w:r w:rsidRPr="00EE36AE">
        <w:rPr>
          <w:rFonts w:ascii="Gilroy" w:hAnsi="Gilroy" w:cs="Cambria"/>
          <w:b/>
          <w:bCs/>
          <w:sz w:val="22"/>
          <w:szCs w:val="22"/>
        </w:rPr>
        <w:t xml:space="preserve">of protestors </w:t>
      </w:r>
    </w:p>
    <w:p w:rsidR="00EB6747" w:rsidRPr="00EE36AE" w:rsidP="00EE36AE">
      <w:pPr>
        <w:spacing w:after="0"/>
        <w:rPr>
          <w:rFonts w:ascii="Gilroy" w:hAnsi="Gilroy"/>
          <w:sz w:val="22"/>
          <w:szCs w:val="22"/>
        </w:rPr>
      </w:pPr>
    </w:p>
    <w:p w:rsidR="00EB6747" w:rsidRPr="00EE36AE" w:rsidP="00EE36AE">
      <w:pPr>
        <w:spacing w:after="0"/>
        <w:rPr>
          <w:rFonts w:ascii="Gilroy" w:hAnsi="Gilroy" w:cs="Cambria"/>
          <w:i/>
          <w:iCs/>
          <w:sz w:val="22"/>
          <w:szCs w:val="22"/>
        </w:rPr>
      </w:pPr>
      <w:r w:rsidRPr="00EE36AE">
        <w:rPr>
          <w:rFonts w:ascii="Gilroy" w:hAnsi="Gilroy"/>
          <w:i/>
          <w:iCs/>
          <w:sz w:val="22"/>
          <w:szCs w:val="22"/>
        </w:rPr>
        <w:t>10) How important is police surveillance of protestors in ensuring public safety? How does it affect engagement in protest and</w:t>
      </w:r>
      <w:r w:rsidRPr="00EE36AE">
        <w:rPr>
          <w:rFonts w:ascii="Cambria" w:hAnsi="Cambria" w:cs="Cambria"/>
          <w:i/>
          <w:iCs/>
          <w:sz w:val="22"/>
          <w:szCs w:val="22"/>
        </w:rPr>
        <w:t> </w:t>
      </w:r>
      <w:r w:rsidRPr="00EE36AE">
        <w:rPr>
          <w:rFonts w:ascii="Gilroy" w:hAnsi="Gilroy"/>
          <w:i/>
          <w:iCs/>
          <w:sz w:val="22"/>
          <w:szCs w:val="22"/>
        </w:rPr>
        <w:t>comply with</w:t>
      </w:r>
      <w:r w:rsidRPr="00EE36AE">
        <w:rPr>
          <w:rFonts w:ascii="Cambria" w:hAnsi="Cambria" w:cs="Cambria"/>
          <w:i/>
          <w:iCs/>
          <w:sz w:val="22"/>
          <w:szCs w:val="22"/>
        </w:rPr>
        <w:t> </w:t>
      </w:r>
      <w:r w:rsidRPr="00EE36AE">
        <w:rPr>
          <w:rFonts w:ascii="Gilroy" w:hAnsi="Gilroy"/>
          <w:i/>
          <w:iCs/>
          <w:sz w:val="22"/>
          <w:szCs w:val="22"/>
        </w:rPr>
        <w:t>the right to respect for private life?</w:t>
      </w:r>
      <w:r w:rsidRPr="00EE36AE">
        <w:rPr>
          <w:rFonts w:ascii="Cambria" w:hAnsi="Cambria" w:cs="Cambria"/>
          <w:i/>
          <w:iCs/>
          <w:sz w:val="22"/>
          <w:szCs w:val="22"/>
        </w:rPr>
        <w:t> </w:t>
      </w:r>
    </w:p>
    <w:p w:rsidR="00EB6747" w:rsidRPr="00EE36AE" w:rsidP="00EE36AE">
      <w:pPr>
        <w:spacing w:after="0"/>
        <w:rPr>
          <w:rFonts w:ascii="Gilroy" w:hAnsi="Gilroy" w:cs="Cambria"/>
          <w:i/>
          <w:iCs/>
          <w:sz w:val="22"/>
          <w:szCs w:val="22"/>
        </w:rPr>
      </w:pPr>
    </w:p>
    <w:p w:rsidR="00EB6747" w:rsidRPr="00EE36AE" w:rsidP="00EE36AE">
      <w:pPr>
        <w:spacing w:after="0"/>
        <w:rPr>
          <w:rFonts w:ascii="Gilroy" w:hAnsi="Gilroy"/>
          <w:sz w:val="22"/>
          <w:szCs w:val="22"/>
        </w:rPr>
      </w:pPr>
      <w:r w:rsidRPr="00EE36AE">
        <w:rPr>
          <w:rFonts w:ascii="Gilroy" w:hAnsi="Gilroy" w:cs="Cambria"/>
          <w:sz w:val="22"/>
          <w:szCs w:val="22"/>
        </w:rPr>
        <w:t xml:space="preserve">PI has been monitoring </w:t>
      </w:r>
      <w:r w:rsidRPr="00EE36AE">
        <w:rPr>
          <w:rFonts w:ascii="Gilroy" w:hAnsi="Gilroy" w:cs="Cambria"/>
          <w:sz w:val="22"/>
          <w:szCs w:val="22"/>
        </w:rPr>
        <w:t xml:space="preserve">a growing ecosystem of new technologies and digital tools that </w:t>
      </w:r>
      <w:r w:rsidRPr="00EE36AE">
        <w:rPr>
          <w:rFonts w:ascii="Gilroy" w:hAnsi="Gilroy" w:cs="Cambria"/>
          <w:sz w:val="22"/>
          <w:szCs w:val="22"/>
        </w:rPr>
        <w:t xml:space="preserve">UK </w:t>
      </w:r>
      <w:r w:rsidRPr="00EE36AE">
        <w:rPr>
          <w:rFonts w:ascii="Gilroy" w:hAnsi="Gilroy" w:cs="Cambria"/>
          <w:sz w:val="22"/>
          <w:szCs w:val="22"/>
        </w:rPr>
        <w:t>police</w:t>
      </w:r>
      <w:r w:rsidRPr="00EE36AE">
        <w:rPr>
          <w:rFonts w:ascii="Gilroy" w:hAnsi="Gilroy" w:cs="Cambria"/>
          <w:sz w:val="22"/>
          <w:szCs w:val="22"/>
        </w:rPr>
        <w:t xml:space="preserve"> have access to</w:t>
      </w:r>
      <w:r w:rsidRPr="00EE36AE">
        <w:rPr>
          <w:rFonts w:ascii="Gilroy" w:hAnsi="Gilroy" w:cs="Cambria"/>
          <w:sz w:val="22"/>
          <w:szCs w:val="22"/>
        </w:rPr>
        <w:t xml:space="preserve"> for surveillance purposes</w:t>
      </w:r>
      <w:r w:rsidRPr="00EE36AE">
        <w:rPr>
          <w:rFonts w:ascii="Gilroy" w:hAnsi="Gilroy" w:cs="Cambria"/>
          <w:sz w:val="22"/>
          <w:szCs w:val="22"/>
        </w:rPr>
        <w:t>,</w:t>
      </w:r>
      <w:r w:rsidRPr="00EE36AE">
        <w:rPr>
          <w:rFonts w:ascii="Gilroy" w:hAnsi="Gilroy" w:cs="Cambria"/>
          <w:sz w:val="22"/>
          <w:szCs w:val="22"/>
        </w:rPr>
        <w:t xml:space="preserve"> and</w:t>
      </w:r>
      <w:r w:rsidRPr="00EE36AE">
        <w:rPr>
          <w:rFonts w:ascii="Gilroy" w:hAnsi="Gilroy" w:cs="Cambria"/>
          <w:sz w:val="22"/>
          <w:szCs w:val="22"/>
        </w:rPr>
        <w:t xml:space="preserve"> either</w:t>
      </w:r>
      <w:r w:rsidRPr="00EE36AE">
        <w:rPr>
          <w:rFonts w:ascii="Gilroy" w:hAnsi="Gilroy" w:cs="Cambria"/>
          <w:sz w:val="22"/>
          <w:szCs w:val="22"/>
        </w:rPr>
        <w:t xml:space="preserve"> have</w:t>
      </w:r>
      <w:r w:rsidRPr="00EE36AE">
        <w:rPr>
          <w:rFonts w:ascii="Gilroy" w:hAnsi="Gilroy" w:cs="Cambria"/>
          <w:sz w:val="22"/>
          <w:szCs w:val="22"/>
        </w:rPr>
        <w:t xml:space="preserve"> already</w:t>
      </w:r>
      <w:r w:rsidRPr="00EE36AE">
        <w:rPr>
          <w:rFonts w:ascii="Gilroy" w:hAnsi="Gilroy" w:cs="Cambria"/>
          <w:sz w:val="22"/>
          <w:szCs w:val="22"/>
        </w:rPr>
        <w:t>,</w:t>
      </w:r>
      <w:r w:rsidRPr="00EE36AE">
        <w:rPr>
          <w:rFonts w:ascii="Gilroy" w:hAnsi="Gilroy" w:cs="Cambria"/>
          <w:sz w:val="22"/>
          <w:szCs w:val="22"/>
        </w:rPr>
        <w:t xml:space="preserve"> or could</w:t>
      </w:r>
      <w:r w:rsidRPr="00EE36AE">
        <w:rPr>
          <w:rFonts w:ascii="Gilroy" w:hAnsi="Gilroy" w:cs="Cambria"/>
          <w:sz w:val="22"/>
          <w:szCs w:val="22"/>
        </w:rPr>
        <w:t xml:space="preserve"> us</w:t>
      </w:r>
      <w:r w:rsidRPr="00EE36AE">
        <w:rPr>
          <w:rFonts w:ascii="Gilroy" w:hAnsi="Gilroy" w:cs="Cambria"/>
          <w:sz w:val="22"/>
          <w:szCs w:val="22"/>
        </w:rPr>
        <w:t>e</w:t>
      </w:r>
      <w:r w:rsidRPr="00EE36AE">
        <w:rPr>
          <w:rFonts w:ascii="Gilroy" w:hAnsi="Gilroy" w:cs="Cambria"/>
          <w:sz w:val="22"/>
          <w:szCs w:val="22"/>
        </w:rPr>
        <w:t xml:space="preserve"> </w:t>
      </w:r>
      <w:r w:rsidRPr="00EE36AE">
        <w:rPr>
          <w:rFonts w:ascii="Gilroy" w:hAnsi="Gilroy" w:cs="Cambria"/>
          <w:sz w:val="22"/>
          <w:szCs w:val="22"/>
        </w:rPr>
        <w:t xml:space="preserve">in future </w:t>
      </w:r>
      <w:r w:rsidRPr="00EE36AE">
        <w:rPr>
          <w:rFonts w:ascii="Gilroy" w:hAnsi="Gilroy" w:cs="Cambria"/>
          <w:sz w:val="22"/>
          <w:szCs w:val="22"/>
        </w:rPr>
        <w:t>for</w:t>
      </w:r>
      <w:r w:rsidRPr="00EE36AE">
        <w:rPr>
          <w:rFonts w:ascii="Gilroy" w:hAnsi="Gilroy" w:cs="Cambria"/>
          <w:sz w:val="22"/>
          <w:szCs w:val="22"/>
        </w:rPr>
        <w:t xml:space="preserve"> the</w:t>
      </w:r>
      <w:r w:rsidRPr="00EE36AE">
        <w:rPr>
          <w:rFonts w:ascii="Gilroy" w:hAnsi="Gilroy" w:cs="Cambria"/>
          <w:sz w:val="22"/>
          <w:szCs w:val="22"/>
        </w:rPr>
        <w:t xml:space="preserve"> surveil</w:t>
      </w:r>
      <w:r w:rsidRPr="00EE36AE">
        <w:rPr>
          <w:rFonts w:ascii="Gilroy" w:hAnsi="Gilroy" w:cs="Cambria"/>
          <w:sz w:val="22"/>
          <w:szCs w:val="22"/>
        </w:rPr>
        <w:t xml:space="preserve">lance of </w:t>
      </w:r>
      <w:r w:rsidRPr="00EE36AE">
        <w:rPr>
          <w:rFonts w:ascii="Gilroy" w:hAnsi="Gilroy" w:cs="Cambria"/>
          <w:sz w:val="22"/>
          <w:szCs w:val="22"/>
        </w:rPr>
        <w:t>protestors.</w:t>
      </w:r>
      <w:r>
        <w:rPr>
          <w:rStyle w:val="FootnoteReference"/>
          <w:rFonts w:ascii="Gilroy" w:hAnsi="Gilroy" w:cs="Cambria"/>
          <w:sz w:val="22"/>
          <w:szCs w:val="22"/>
        </w:rPr>
        <w:footnoteReference w:id="3"/>
      </w:r>
      <w:r w:rsidRPr="00EE36AE">
        <w:rPr>
          <w:rFonts w:ascii="Gilroy" w:hAnsi="Gilroy" w:cs="Cambria"/>
          <w:sz w:val="22"/>
          <w:szCs w:val="22"/>
        </w:rPr>
        <w:t xml:space="preserve"> </w:t>
      </w:r>
      <w:r w:rsidRPr="00EE36AE">
        <w:rPr>
          <w:rFonts w:ascii="Gilroy" w:hAnsi="Gilroy"/>
          <w:sz w:val="22"/>
          <w:szCs w:val="22"/>
        </w:rPr>
        <w:t>While these technologies are presented as measures to maintain public order, they often come at the expense of individual rights</w:t>
      </w:r>
      <w:r w:rsidRPr="00EE36AE">
        <w:rPr>
          <w:rFonts w:ascii="Gilroy" w:hAnsi="Gilroy"/>
          <w:sz w:val="22"/>
          <w:szCs w:val="22"/>
        </w:rPr>
        <w:t xml:space="preserve"> under the European Convention on Human Rights (ECHR).</w:t>
      </w:r>
      <w:r>
        <w:rPr>
          <w:rStyle w:val="FootnoteReference"/>
          <w:rFonts w:ascii="Gilroy" w:hAnsi="Gilroy" w:cs="Arial"/>
          <w:sz w:val="22"/>
          <w:szCs w:val="22"/>
        </w:rPr>
        <w:footnoteReference w:id="4"/>
      </w:r>
      <w:r w:rsidRPr="00EE36AE">
        <w:rPr>
          <w:rFonts w:ascii="Gilroy" w:hAnsi="Gilroy"/>
          <w:sz w:val="22"/>
          <w:szCs w:val="22"/>
        </w:rPr>
        <w:t xml:space="preserve"> Protest surveillance technologies directly interfere with the right to privacy as they involve the acquisition, processing, generation, analysis, use, retention or storage of information about people engaging in protests just for participating in protests, usually without any regard to whether they are suspected of wrongdoing.</w:t>
      </w:r>
      <w:r>
        <w:rPr>
          <w:rStyle w:val="FootnoteReference"/>
          <w:rFonts w:ascii="Gilroy" w:hAnsi="Gilroy"/>
          <w:sz w:val="22"/>
          <w:szCs w:val="22"/>
        </w:rPr>
        <w:footnoteReference w:id="5"/>
      </w:r>
      <w:r w:rsidRPr="00EE36AE">
        <w:rPr>
          <w:rFonts w:ascii="Gilroy" w:hAnsi="Gilroy"/>
          <w:sz w:val="22"/>
          <w:szCs w:val="22"/>
        </w:rPr>
        <w:t xml:space="preserve"> </w:t>
      </w:r>
      <w:r w:rsidRPr="00EE36AE">
        <w:rPr>
          <w:rFonts w:ascii="Gilroy" w:hAnsi="Gilroy" w:cs="Cambria"/>
          <w:sz w:val="22"/>
          <w:szCs w:val="22"/>
        </w:rPr>
        <w:t>T</w:t>
      </w:r>
      <w:r w:rsidRPr="00EE36AE">
        <w:rPr>
          <w:rFonts w:ascii="Gilroy" w:hAnsi="Gilroy"/>
          <w:sz w:val="22"/>
          <w:szCs w:val="22"/>
        </w:rPr>
        <w:t>he deployment of these intrusive surveillance technologies is often in secret, usually without a clear legal basis and without adequate safeguards and oversight mechanisms. The resulting data</w:t>
      </w:r>
      <w:r w:rsidRPr="00EE36AE">
        <w:rPr>
          <w:rFonts w:ascii="Gilroy" w:hAnsi="Gilroy"/>
          <w:sz w:val="22"/>
          <w:szCs w:val="22"/>
        </w:rPr>
        <w:t xml:space="preserve"> may</w:t>
      </w:r>
      <w:r w:rsidRPr="00EE36AE">
        <w:rPr>
          <w:rFonts w:ascii="Gilroy" w:hAnsi="Gilroy"/>
          <w:sz w:val="22"/>
          <w:szCs w:val="22"/>
        </w:rPr>
        <w:t xml:space="preserve"> also be used in court against those participating in peaceful protests, with implications for the right to a fair trial.</w:t>
      </w:r>
      <w:r>
        <w:rPr>
          <w:rStyle w:val="FootnoteReference"/>
          <w:rFonts w:ascii="Gilroy" w:hAnsi="Gilroy" w:cs="Arial"/>
          <w:sz w:val="22"/>
          <w:szCs w:val="22"/>
        </w:rPr>
        <w:footnoteReference w:id="6"/>
      </w:r>
      <w:r w:rsidRPr="00EE36AE">
        <w:rPr>
          <w:rFonts w:ascii="Gilroy" w:hAnsi="Gilroy"/>
          <w:sz w:val="22"/>
          <w:szCs w:val="22"/>
        </w:rPr>
        <w:t xml:space="preserve"> The normalisation of mass protest </w:t>
      </w:r>
      <w:r w:rsidRPr="00EE36AE">
        <w:rPr>
          <w:rFonts w:ascii="Gilroy" w:hAnsi="Gilroy"/>
          <w:sz w:val="22"/>
          <w:szCs w:val="22"/>
        </w:rPr>
        <w:t>surveillance enables significant power imbalances and hinders people’s autonomy and dignity</w:t>
      </w:r>
      <w:r w:rsidRPr="00EE36AE">
        <w:rPr>
          <w:rFonts w:ascii="Gilroy" w:hAnsi="Gilroy"/>
          <w:sz w:val="22"/>
          <w:szCs w:val="22"/>
        </w:rPr>
        <w:t>,</w:t>
      </w:r>
      <w:r w:rsidRPr="00EE36AE">
        <w:rPr>
          <w:rFonts w:ascii="Gilroy" w:hAnsi="Gilroy"/>
          <w:sz w:val="22"/>
          <w:szCs w:val="22"/>
        </w:rPr>
        <w:t xml:space="preserve"> with the potential to create an atmosphere of fear around speaking out creating a chilling effect.</w:t>
      </w:r>
      <w:r>
        <w:rPr>
          <w:rStyle w:val="FootnoteReference"/>
          <w:rFonts w:ascii="Gilroy" w:hAnsi="Gilroy"/>
          <w:sz w:val="22"/>
          <w:szCs w:val="22"/>
        </w:rPr>
        <w:footnoteReference w:id="7"/>
      </w:r>
      <w:r w:rsidRPr="00EE36AE">
        <w:rPr>
          <w:rFonts w:ascii="Gilroy" w:hAnsi="Gilroy"/>
          <w:sz w:val="22"/>
          <w:szCs w:val="22"/>
        </w:rPr>
        <w:t xml:space="preserve">  </w:t>
      </w:r>
    </w:p>
    <w:p w:rsidR="00EB6747" w:rsidRPr="00EE36AE" w:rsidP="00EE36AE">
      <w:pPr>
        <w:spacing w:after="0"/>
        <w:rPr>
          <w:rFonts w:ascii="Gilroy" w:eastAsia="Times New Roman" w:hAnsi="Gilroy"/>
          <w:kern w:val="0"/>
          <w:sz w:val="22"/>
          <w:szCs w:val="22"/>
          <w:lang w:eastAsia="en-GB"/>
        </w:rPr>
      </w:pPr>
    </w:p>
    <w:p w:rsidR="00EB6747" w:rsidRPr="00EE36AE" w:rsidP="00EE36AE">
      <w:pPr>
        <w:spacing w:after="0"/>
        <w:rPr>
          <w:rFonts w:ascii="Gilroy" w:hAnsi="Gilroy"/>
          <w:sz w:val="22"/>
          <w:szCs w:val="22"/>
        </w:rPr>
      </w:pPr>
      <w:r w:rsidRPr="00EE36AE">
        <w:rPr>
          <w:rFonts w:ascii="Gilroy" w:hAnsi="Gilroy" w:cs="Cambria"/>
          <w:sz w:val="22"/>
          <w:szCs w:val="22"/>
        </w:rPr>
        <w:t>PI has been monitoring the ra</w:t>
      </w:r>
      <w:r w:rsidRPr="00EE36AE">
        <w:rPr>
          <w:rFonts w:ascii="Gilroy" w:hAnsi="Gilroy" w:cs="Cambria"/>
          <w:sz w:val="22"/>
          <w:szCs w:val="22"/>
        </w:rPr>
        <w:t>n</w:t>
      </w:r>
      <w:r w:rsidRPr="00EE36AE">
        <w:rPr>
          <w:rFonts w:ascii="Gilroy" w:hAnsi="Gilroy" w:cs="Cambria"/>
          <w:sz w:val="22"/>
          <w:szCs w:val="22"/>
        </w:rPr>
        <w:t>ge of digital and tech surveill</w:t>
      </w:r>
      <w:r w:rsidRPr="00EE36AE">
        <w:rPr>
          <w:rFonts w:ascii="Gilroy" w:hAnsi="Gilroy" w:cs="Cambria"/>
          <w:sz w:val="22"/>
          <w:szCs w:val="22"/>
        </w:rPr>
        <w:t>a</w:t>
      </w:r>
      <w:r w:rsidRPr="00EE36AE">
        <w:rPr>
          <w:rFonts w:ascii="Gilroy" w:hAnsi="Gilroy" w:cs="Cambria"/>
          <w:sz w:val="22"/>
          <w:szCs w:val="22"/>
        </w:rPr>
        <w:t xml:space="preserve">nce capabilities </w:t>
      </w:r>
      <w:r w:rsidRPr="00EE36AE">
        <w:rPr>
          <w:rFonts w:ascii="Gilroy" w:hAnsi="Gilroy" w:cs="Cambria"/>
          <w:sz w:val="22"/>
          <w:szCs w:val="22"/>
        </w:rPr>
        <w:t>t</w:t>
      </w:r>
      <w:r w:rsidRPr="00EE36AE">
        <w:rPr>
          <w:rFonts w:ascii="Gilroy" w:hAnsi="Gilroy" w:cs="Cambria"/>
          <w:sz w:val="22"/>
          <w:szCs w:val="22"/>
        </w:rPr>
        <w:t xml:space="preserve">hat </w:t>
      </w:r>
      <w:r w:rsidRPr="00EE36AE">
        <w:rPr>
          <w:rFonts w:ascii="Gilroy" w:hAnsi="Gilroy" w:cs="Cambria"/>
          <w:sz w:val="22"/>
          <w:szCs w:val="22"/>
        </w:rPr>
        <w:t>are being used globally</w:t>
      </w:r>
      <w:r w:rsidRPr="00EE36AE">
        <w:rPr>
          <w:rStyle w:val="FootnoteReference"/>
          <w:rFonts w:ascii="Gilroy" w:hAnsi="Gilroy" w:cs="Cambria"/>
          <w:sz w:val="22"/>
          <w:szCs w:val="22"/>
        </w:rPr>
        <w:t xml:space="preserve"> </w:t>
      </w:r>
      <w:r w:rsidRPr="00EE36AE">
        <w:rPr>
          <w:rFonts w:ascii="Gilroy" w:hAnsi="Gilroy" w:cs="Cambria"/>
          <w:sz w:val="22"/>
          <w:szCs w:val="22"/>
        </w:rPr>
        <w:t xml:space="preserve">and in that the </w:t>
      </w:r>
      <w:r w:rsidRPr="00EE36AE">
        <w:rPr>
          <w:rFonts w:ascii="Gilroy" w:hAnsi="Gilroy" w:cs="Cambria"/>
          <w:sz w:val="22"/>
          <w:szCs w:val="22"/>
        </w:rPr>
        <w:t xml:space="preserve">UK </w:t>
      </w:r>
      <w:r w:rsidRPr="00EE36AE">
        <w:rPr>
          <w:rFonts w:ascii="Gilroy" w:hAnsi="Gilroy" w:cs="Cambria"/>
          <w:sz w:val="22"/>
          <w:szCs w:val="22"/>
        </w:rPr>
        <w:t xml:space="preserve">police </w:t>
      </w:r>
      <w:r w:rsidRPr="00EE36AE">
        <w:rPr>
          <w:rFonts w:ascii="Gilroy" w:hAnsi="Gilroy" w:cs="Cambria"/>
          <w:sz w:val="22"/>
          <w:szCs w:val="22"/>
        </w:rPr>
        <w:t>may use for</w:t>
      </w:r>
      <w:r w:rsidRPr="00EE36AE">
        <w:rPr>
          <w:rFonts w:ascii="Gilroy" w:hAnsi="Gilroy" w:cs="Cambria"/>
          <w:sz w:val="22"/>
          <w:szCs w:val="22"/>
        </w:rPr>
        <w:t xml:space="preserve"> the</w:t>
      </w:r>
      <w:r w:rsidRPr="00EE36AE">
        <w:rPr>
          <w:rFonts w:ascii="Gilroy" w:hAnsi="Gilroy" w:cs="Cambria"/>
          <w:sz w:val="22"/>
          <w:szCs w:val="22"/>
        </w:rPr>
        <w:t xml:space="preserve"> </w:t>
      </w:r>
      <w:r w:rsidRPr="00EE36AE">
        <w:rPr>
          <w:rFonts w:ascii="Gilroy" w:hAnsi="Gilroy" w:cs="Cambria"/>
          <w:sz w:val="22"/>
          <w:szCs w:val="22"/>
        </w:rPr>
        <w:t>surveillance of protestors.</w:t>
      </w:r>
      <w:r>
        <w:rPr>
          <w:rStyle w:val="FootnoteReference"/>
          <w:rFonts w:ascii="Gilroy" w:hAnsi="Gilroy" w:cs="Cambria"/>
          <w:sz w:val="22"/>
          <w:szCs w:val="22"/>
        </w:rPr>
        <w:footnoteReference w:id="8"/>
      </w:r>
      <w:r w:rsidRPr="00EE36AE">
        <w:rPr>
          <w:rFonts w:ascii="Gilroy" w:hAnsi="Gilroy" w:cs="Cambria"/>
          <w:sz w:val="22"/>
          <w:szCs w:val="22"/>
        </w:rPr>
        <w:t xml:space="preserve"> </w:t>
      </w:r>
      <w:r w:rsidRPr="00EE36AE">
        <w:rPr>
          <w:rFonts w:ascii="Gilroy" w:hAnsi="Gilroy" w:cs="Cambria"/>
          <w:sz w:val="22"/>
          <w:szCs w:val="22"/>
        </w:rPr>
        <w:t xml:space="preserve">Some of these </w:t>
      </w:r>
      <w:r w:rsidRPr="00EE36AE">
        <w:rPr>
          <w:rFonts w:ascii="Gilroy" w:hAnsi="Gilroy" w:cs="Cambria"/>
          <w:sz w:val="22"/>
          <w:szCs w:val="22"/>
        </w:rPr>
        <w:t xml:space="preserve">technologies include </w:t>
      </w:r>
      <w:r w:rsidRPr="00EE36AE">
        <w:rPr>
          <w:rFonts w:ascii="Gilroy" w:hAnsi="Gilroy" w:cs="Cambria"/>
          <w:sz w:val="22"/>
          <w:szCs w:val="22"/>
        </w:rPr>
        <w:t xml:space="preserve">body worn cameras, </w:t>
      </w:r>
      <w:r w:rsidRPr="00EE36AE">
        <w:rPr>
          <w:rFonts w:ascii="Gilroy" w:hAnsi="Gilroy"/>
          <w:sz w:val="22"/>
          <w:szCs w:val="22"/>
        </w:rPr>
        <w:t>facial recognition technology</w:t>
      </w:r>
      <w:r w:rsidRPr="00EE36AE">
        <w:rPr>
          <w:rFonts w:ascii="Gilroy" w:hAnsi="Gilroy"/>
          <w:sz w:val="22"/>
          <w:szCs w:val="22"/>
        </w:rPr>
        <w:t xml:space="preserve"> (FRT)</w:t>
      </w:r>
      <w:r w:rsidRPr="00EE36AE">
        <w:rPr>
          <w:rFonts w:ascii="Gilroy" w:hAnsi="Gilroy"/>
          <w:sz w:val="22"/>
          <w:szCs w:val="22"/>
        </w:rPr>
        <w:t>, IMSI catchers</w:t>
      </w:r>
      <w:r w:rsidRPr="00EE36AE">
        <w:rPr>
          <w:rFonts w:ascii="Gilroy" w:hAnsi="Gilroy"/>
          <w:sz w:val="22"/>
          <w:szCs w:val="22"/>
        </w:rPr>
        <w:t>,</w:t>
      </w:r>
      <w:r w:rsidRPr="00EE36AE">
        <w:rPr>
          <w:rFonts w:ascii="Gilroy" w:hAnsi="Gilroy"/>
          <w:sz w:val="22"/>
          <w:szCs w:val="22"/>
        </w:rPr>
        <w:t xml:space="preserve"> mobile phone data extraction tools</w:t>
      </w:r>
      <w:r w:rsidRPr="00EE36AE">
        <w:rPr>
          <w:rFonts w:ascii="Gilroy" w:hAnsi="Gilroy"/>
          <w:sz w:val="22"/>
          <w:szCs w:val="22"/>
        </w:rPr>
        <w:t xml:space="preserve"> (MPE) and social media intelligence monitoring (SOCMINT</w:t>
      </w:r>
      <w:r w:rsidRPr="00EE36AE">
        <w:rPr>
          <w:rFonts w:ascii="Gilroy" w:hAnsi="Gilroy"/>
          <w:sz w:val="22"/>
          <w:szCs w:val="22"/>
        </w:rPr>
        <w:t>)</w:t>
      </w:r>
      <w:r w:rsidRPr="00EE36AE">
        <w:rPr>
          <w:rFonts w:ascii="Gilroy" w:hAnsi="Gilroy"/>
          <w:sz w:val="22"/>
          <w:szCs w:val="22"/>
        </w:rPr>
        <w:t>.</w:t>
      </w:r>
      <w:r>
        <w:rPr>
          <w:rStyle w:val="FootnoteReference"/>
          <w:rFonts w:ascii="Gilroy" w:hAnsi="Gilroy"/>
          <w:sz w:val="22"/>
          <w:szCs w:val="22"/>
        </w:rPr>
        <w:footnoteReference w:id="9"/>
      </w:r>
      <w:r w:rsidRPr="00EE36AE">
        <w:rPr>
          <w:rFonts w:ascii="Gilroy" w:hAnsi="Gilroy"/>
          <w:sz w:val="22"/>
          <w:szCs w:val="22"/>
        </w:rPr>
        <w:t xml:space="preserve"> </w:t>
      </w:r>
      <w:r w:rsidRPr="00EE36AE">
        <w:rPr>
          <w:rFonts w:ascii="Gilroy" w:hAnsi="Gilroy"/>
          <w:sz w:val="22"/>
          <w:szCs w:val="22"/>
        </w:rPr>
        <w:t>We outline some examples below</w:t>
      </w:r>
      <w:r w:rsidRPr="00EE36AE">
        <w:rPr>
          <w:rFonts w:ascii="Gilroy" w:hAnsi="Gilroy"/>
          <w:sz w:val="22"/>
          <w:szCs w:val="22"/>
        </w:rPr>
        <w:t xml:space="preserve"> however, given the lack of transparency around </w:t>
      </w:r>
      <w:r w:rsidRPr="00EE36AE">
        <w:rPr>
          <w:rFonts w:ascii="Gilroy" w:hAnsi="Gilroy"/>
          <w:sz w:val="22"/>
          <w:szCs w:val="22"/>
        </w:rPr>
        <w:t>the police’s deployment of</w:t>
      </w:r>
      <w:r w:rsidRPr="00EE36AE">
        <w:rPr>
          <w:rFonts w:ascii="Gilroy" w:hAnsi="Gilroy"/>
          <w:sz w:val="22"/>
          <w:szCs w:val="22"/>
        </w:rPr>
        <w:t xml:space="preserve"> these technologies what is </w:t>
      </w:r>
      <w:r w:rsidRPr="00EE36AE">
        <w:rPr>
          <w:rFonts w:ascii="Gilroy" w:hAnsi="Gilroy"/>
          <w:sz w:val="22"/>
          <w:szCs w:val="22"/>
        </w:rPr>
        <w:t xml:space="preserve">in </w:t>
      </w:r>
      <w:r w:rsidRPr="00EE36AE">
        <w:rPr>
          <w:rFonts w:ascii="Gilroy" w:hAnsi="Gilroy"/>
          <w:sz w:val="22"/>
          <w:szCs w:val="22"/>
        </w:rPr>
        <w:t xml:space="preserve">the public domain </w:t>
      </w:r>
      <w:r w:rsidRPr="00EE36AE">
        <w:rPr>
          <w:rFonts w:ascii="Gilroy" w:hAnsi="Gilroy"/>
          <w:sz w:val="22"/>
          <w:szCs w:val="22"/>
        </w:rPr>
        <w:t>remains</w:t>
      </w:r>
      <w:r w:rsidRPr="00EE36AE">
        <w:rPr>
          <w:rFonts w:ascii="Gilroy" w:hAnsi="Gilroy"/>
          <w:sz w:val="22"/>
          <w:szCs w:val="22"/>
        </w:rPr>
        <w:t xml:space="preserve"> limited. </w:t>
      </w:r>
    </w:p>
    <w:p w:rsidR="00EB6747" w:rsidRPr="00EE36AE" w:rsidP="00EE36AE">
      <w:pPr>
        <w:spacing w:after="0"/>
        <w:rPr>
          <w:rFonts w:ascii="Gilroy" w:hAnsi="Gilroy"/>
          <w:sz w:val="22"/>
          <w:szCs w:val="22"/>
        </w:rPr>
      </w:pPr>
    </w:p>
    <w:p w:rsidR="00EB6747" w:rsidRPr="00EE36AE" w:rsidP="00EE36AE">
      <w:pPr>
        <w:spacing w:after="0"/>
        <w:rPr>
          <w:rFonts w:ascii="Gilroy" w:hAnsi="Gilroy"/>
          <w:sz w:val="22"/>
          <w:szCs w:val="22"/>
        </w:rPr>
      </w:pPr>
      <w:r w:rsidRPr="00EE36AE">
        <w:rPr>
          <w:rStyle w:val="Strong"/>
          <w:rFonts w:ascii="Gilroy" w:hAnsi="Gilroy"/>
          <w:b w:val="0"/>
          <w:bCs w:val="0"/>
          <w:sz w:val="22"/>
          <w:szCs w:val="22"/>
        </w:rPr>
        <w:t>Social media intelligence</w:t>
      </w:r>
      <w:r w:rsidRPr="00EE36AE">
        <w:rPr>
          <w:rFonts w:ascii="Gilroy" w:hAnsi="Gilroy"/>
          <w:sz w:val="22"/>
          <w:szCs w:val="22"/>
        </w:rPr>
        <w:t xml:space="preserve"> (SOCMINT) refers to the techniques and technologies that are used to monitor social media networking sites, such as Facebook or Twitter.</w:t>
      </w:r>
      <w:r>
        <w:rPr>
          <w:rStyle w:val="FootnoteReference"/>
          <w:rFonts w:ascii="Gilroy" w:hAnsi="Gilroy"/>
          <w:sz w:val="22"/>
          <w:szCs w:val="22"/>
        </w:rPr>
        <w:footnoteReference w:id="10"/>
      </w:r>
      <w:r w:rsidRPr="00EE36AE">
        <w:rPr>
          <w:rFonts w:ascii="Gilroy" w:hAnsi="Gilroy"/>
          <w:sz w:val="22"/>
          <w:szCs w:val="22"/>
        </w:rPr>
        <w:t xml:space="preserve"> SOCMINT </w:t>
      </w:r>
      <w:r w:rsidRPr="00EE36AE">
        <w:rPr>
          <w:rFonts w:ascii="Gilroy" w:hAnsi="Gilroy"/>
          <w:sz w:val="22"/>
          <w:szCs w:val="22"/>
        </w:rPr>
        <w:t>can</w:t>
      </w:r>
      <w:r w:rsidRPr="00EE36AE">
        <w:rPr>
          <w:rFonts w:ascii="Gilroy" w:hAnsi="Gilroy"/>
          <w:sz w:val="22"/>
          <w:szCs w:val="22"/>
        </w:rPr>
        <w:t xml:space="preserve"> </w:t>
      </w:r>
      <w:r w:rsidRPr="00EE36AE">
        <w:rPr>
          <w:rFonts w:ascii="Gilroy" w:hAnsi="Gilroy"/>
          <w:sz w:val="22"/>
          <w:szCs w:val="22"/>
        </w:rPr>
        <w:t xml:space="preserve">be used to </w:t>
      </w:r>
      <w:r w:rsidRPr="00EE36AE">
        <w:rPr>
          <w:rFonts w:ascii="Gilroy" w:hAnsi="Gilroy"/>
          <w:sz w:val="22"/>
          <w:szCs w:val="22"/>
        </w:rPr>
        <w:t>create digital dossiers on individuals before determining their relevance or role in a particular protest has even been determined.</w:t>
      </w:r>
      <w:r w:rsidRPr="00EE36AE">
        <w:rPr>
          <w:rFonts w:ascii="Gilroy" w:hAnsi="Gilroy"/>
          <w:sz w:val="22"/>
          <w:szCs w:val="22"/>
        </w:rPr>
        <w:t xml:space="preserve"> For example, i</w:t>
      </w:r>
      <w:r w:rsidRPr="00EE36AE">
        <w:rPr>
          <w:rFonts w:ascii="Gilroy" w:hAnsi="Gilroy"/>
          <w:sz w:val="22"/>
          <w:szCs w:val="22"/>
        </w:rPr>
        <w:t xml:space="preserve">n </w:t>
      </w:r>
      <w:r w:rsidRPr="00EE36AE">
        <w:rPr>
          <w:rFonts w:ascii="Gilroy" w:hAnsi="Gilroy"/>
          <w:sz w:val="22"/>
          <w:szCs w:val="22"/>
        </w:rPr>
        <w:t>2019 it was reported that</w:t>
      </w:r>
      <w:r w:rsidRPr="00EE36AE">
        <w:rPr>
          <w:rFonts w:ascii="Gilroy" w:hAnsi="Gilroy"/>
          <w:sz w:val="22"/>
          <w:szCs w:val="22"/>
        </w:rPr>
        <w:t xml:space="preserve"> London’s Metropolitan P</w:t>
      </w:r>
      <w:r w:rsidRPr="00EE36AE">
        <w:rPr>
          <w:rFonts w:ascii="Gilroy" w:hAnsi="Gilroy"/>
          <w:sz w:val="22"/>
          <w:szCs w:val="22"/>
        </w:rPr>
        <w:t>olice</w:t>
      </w:r>
      <w:r w:rsidRPr="00EE36AE">
        <w:rPr>
          <w:rFonts w:ascii="Gilroy" w:hAnsi="Gilroy"/>
          <w:sz w:val="22"/>
          <w:szCs w:val="22"/>
        </w:rPr>
        <w:t xml:space="preserve"> Service</w:t>
      </w:r>
      <w:r w:rsidRPr="00EE36AE">
        <w:rPr>
          <w:rFonts w:ascii="Gilroy" w:hAnsi="Gilroy"/>
          <w:sz w:val="22"/>
          <w:szCs w:val="22"/>
        </w:rPr>
        <w:t xml:space="preserve"> monitored around 9000 activists using data scraped from social media platforms.</w:t>
      </w:r>
      <w:r>
        <w:rPr>
          <w:rStyle w:val="FootnoteReference"/>
          <w:rFonts w:ascii="Gilroy" w:hAnsi="Gilroy" w:cs="Arial"/>
          <w:sz w:val="22"/>
          <w:szCs w:val="22"/>
        </w:rPr>
        <w:footnoteReference w:id="11"/>
      </w:r>
      <w:r w:rsidRPr="00EE36AE">
        <w:rPr>
          <w:rFonts w:ascii="Gilroy" w:hAnsi="Gilroy"/>
          <w:sz w:val="22"/>
          <w:szCs w:val="22"/>
        </w:rPr>
        <w:t xml:space="preserve"> </w:t>
      </w:r>
      <w:r w:rsidRPr="00EE36AE">
        <w:rPr>
          <w:rFonts w:ascii="Gilroy" w:hAnsi="Gilroy"/>
          <w:sz w:val="22"/>
          <w:szCs w:val="22"/>
        </w:rPr>
        <w:t>These s</w:t>
      </w:r>
      <w:r w:rsidRPr="00EE36AE">
        <w:rPr>
          <w:rFonts w:ascii="Gilroy" w:hAnsi="Gilroy"/>
          <w:sz w:val="22"/>
          <w:szCs w:val="22"/>
        </w:rPr>
        <w:t>ecret dossiers were compiled on each activist, despite many of them having no criminal background.</w:t>
      </w:r>
      <w:r>
        <w:rPr>
          <w:rStyle w:val="FootnoteReference"/>
          <w:rFonts w:ascii="Gilroy" w:hAnsi="Gilroy" w:cs="Arial"/>
          <w:sz w:val="22"/>
          <w:szCs w:val="22"/>
        </w:rPr>
        <w:footnoteReference w:id="12"/>
      </w:r>
      <w:r w:rsidRPr="00EE36AE">
        <w:rPr>
          <w:rFonts w:ascii="Gilroy" w:hAnsi="Gilroy"/>
          <w:sz w:val="22"/>
          <w:szCs w:val="22"/>
        </w:rPr>
        <w:t xml:space="preserve"> </w:t>
      </w:r>
      <w:r w:rsidRPr="00EE36AE">
        <w:rPr>
          <w:rFonts w:ascii="Gilroy" w:hAnsi="Gilroy"/>
          <w:sz w:val="22"/>
          <w:szCs w:val="22"/>
        </w:rPr>
        <w:t xml:space="preserve">The collection and use of SOCMINT can raise significant human rights concerns, </w:t>
      </w:r>
      <w:r w:rsidRPr="00EE36AE">
        <w:rPr>
          <w:rFonts w:ascii="Gilroy" w:hAnsi="Gilroy"/>
          <w:sz w:val="22"/>
          <w:szCs w:val="22"/>
        </w:rPr>
        <w:t xml:space="preserve"> </w:t>
      </w:r>
      <w:r w:rsidRPr="00EE36AE">
        <w:rPr>
          <w:rFonts w:ascii="Gilroy" w:hAnsi="Gilroy"/>
          <w:sz w:val="22"/>
          <w:szCs w:val="22"/>
        </w:rPr>
        <w:t>especially where it is done without sufficient</w:t>
      </w:r>
      <w:r w:rsidRPr="00EE36AE">
        <w:rPr>
          <w:rFonts w:ascii="Gilroy" w:hAnsi="Gilroy"/>
          <w:sz w:val="22"/>
          <w:szCs w:val="22"/>
        </w:rPr>
        <w:t xml:space="preserve"> transparency</w:t>
      </w:r>
      <w:r w:rsidRPr="00EE36AE">
        <w:rPr>
          <w:rFonts w:ascii="Gilroy" w:hAnsi="Gilroy"/>
          <w:sz w:val="22"/>
          <w:szCs w:val="22"/>
        </w:rPr>
        <w:t>, authorisation, reasonable suspicion</w:t>
      </w:r>
      <w:r w:rsidRPr="00EE36AE">
        <w:rPr>
          <w:rFonts w:ascii="Gilroy" w:hAnsi="Gilroy"/>
          <w:sz w:val="22"/>
          <w:szCs w:val="22"/>
        </w:rPr>
        <w:t xml:space="preserve"> and other safeguards.</w:t>
      </w:r>
      <w:r>
        <w:rPr>
          <w:rStyle w:val="FootnoteReference"/>
          <w:rFonts w:ascii="Gilroy" w:hAnsi="Gilroy" w:cs="Arial"/>
          <w:sz w:val="22"/>
          <w:szCs w:val="22"/>
        </w:rPr>
        <w:footnoteReference w:id="13"/>
      </w:r>
    </w:p>
    <w:p w:rsidR="00EB6747" w:rsidRPr="00EE36AE" w:rsidP="00EE36AE">
      <w:pPr>
        <w:spacing w:after="0"/>
        <w:rPr>
          <w:rFonts w:ascii="Gilroy" w:hAnsi="Gilroy"/>
          <w:sz w:val="22"/>
          <w:szCs w:val="22"/>
        </w:rPr>
      </w:pPr>
      <w:r w:rsidRPr="00EE36AE">
        <w:rPr>
          <w:rFonts w:ascii="Gilroy" w:hAnsi="Gilroy"/>
          <w:sz w:val="22"/>
          <w:szCs w:val="22"/>
        </w:rPr>
        <w:t>An ‘IMSI catcher’</w:t>
      </w:r>
      <w:r w:rsidRPr="00EE36AE">
        <w:rPr>
          <w:rFonts w:ascii="Gilroy" w:hAnsi="Gilroy"/>
          <w:sz w:val="22"/>
          <w:szCs w:val="22"/>
        </w:rPr>
        <w:t>, also known as a stingray,</w:t>
      </w:r>
      <w:r w:rsidRPr="00EE36AE">
        <w:rPr>
          <w:rFonts w:ascii="Gilroy" w:hAnsi="Gilroy"/>
          <w:sz w:val="22"/>
          <w:szCs w:val="22"/>
        </w:rPr>
        <w:t xml:space="preserve"> is a device that locates and then tracks all mobile phones that are connected to a phone network in its vicinity, by ‘catching’ the unique number that is connected to </w:t>
      </w:r>
      <w:r w:rsidRPr="00EE36AE">
        <w:rPr>
          <w:rFonts w:ascii="Gilroy" w:hAnsi="Gilroy"/>
          <w:sz w:val="22"/>
          <w:szCs w:val="22"/>
        </w:rPr>
        <w:t xml:space="preserve">a </w:t>
      </w:r>
      <w:r w:rsidRPr="00EE36AE">
        <w:rPr>
          <w:rFonts w:ascii="Gilroy" w:hAnsi="Gilroy"/>
          <w:sz w:val="22"/>
          <w:szCs w:val="22"/>
        </w:rPr>
        <w:t>SIM card.</w:t>
      </w:r>
      <w:r>
        <w:rPr>
          <w:rStyle w:val="FootnoteReference"/>
          <w:rFonts w:ascii="Gilroy" w:hAnsi="Gilroy"/>
          <w:sz w:val="22"/>
          <w:szCs w:val="22"/>
        </w:rPr>
        <w:footnoteReference w:id="14"/>
      </w:r>
      <w:r w:rsidRPr="00EE36AE">
        <w:rPr>
          <w:rFonts w:ascii="Gilroy" w:hAnsi="Gilroy"/>
          <w:sz w:val="22"/>
          <w:szCs w:val="22"/>
        </w:rPr>
        <w:t xml:space="preserve"> </w:t>
      </w:r>
      <w:r w:rsidRPr="00EE36AE">
        <w:rPr>
          <w:rFonts w:ascii="Gilroy" w:hAnsi="Gilroy"/>
          <w:sz w:val="22"/>
          <w:szCs w:val="22"/>
        </w:rPr>
        <w:t xml:space="preserve"> IMSI catchers</w:t>
      </w:r>
      <w:r w:rsidRPr="00EE36AE">
        <w:rPr>
          <w:rFonts w:ascii="Gilroy" w:hAnsi="Gilroy"/>
          <w:sz w:val="22"/>
          <w:szCs w:val="22"/>
        </w:rPr>
        <w:t xml:space="preserve"> </w:t>
      </w:r>
      <w:r w:rsidRPr="00EE36AE">
        <w:rPr>
          <w:rFonts w:ascii="Gilroy" w:hAnsi="Gilroy"/>
          <w:sz w:val="22"/>
          <w:szCs w:val="22"/>
        </w:rPr>
        <w:t>function by mimicking nearby mobile cell towers, enabling them to intercept communications and location data transmitted by personal devices.</w:t>
      </w:r>
      <w:r>
        <w:rPr>
          <w:rStyle w:val="FootnoteReference"/>
          <w:rFonts w:ascii="Gilroy" w:hAnsi="Gilroy"/>
          <w:sz w:val="22"/>
          <w:szCs w:val="22"/>
        </w:rPr>
        <w:footnoteReference w:id="15"/>
      </w:r>
      <w:r w:rsidRPr="00EE36AE">
        <w:rPr>
          <w:rFonts w:ascii="Gilroy" w:hAnsi="Gilroy"/>
          <w:sz w:val="22"/>
          <w:szCs w:val="22"/>
        </w:rPr>
        <w:t xml:space="preserve"> </w:t>
      </w:r>
      <w:r w:rsidRPr="00EE36AE">
        <w:rPr>
          <w:rFonts w:ascii="Gilroy" w:hAnsi="Gilroy"/>
          <w:sz w:val="22"/>
          <w:szCs w:val="22"/>
        </w:rPr>
        <w:t>IMSI catchers are</w:t>
      </w:r>
      <w:r w:rsidRPr="00EE36AE">
        <w:rPr>
          <w:rFonts w:ascii="Gilroy" w:hAnsi="Gilroy"/>
          <w:sz w:val="22"/>
          <w:szCs w:val="22"/>
        </w:rPr>
        <w:t xml:space="preserve"> </w:t>
      </w:r>
      <w:r w:rsidRPr="00EE36AE">
        <w:rPr>
          <w:rFonts w:ascii="Gilroy" w:hAnsi="Gilroy"/>
          <w:sz w:val="22"/>
          <w:szCs w:val="22"/>
        </w:rPr>
        <w:t>increasingly being used</w:t>
      </w:r>
      <w:r w:rsidRPr="00EE36AE">
        <w:rPr>
          <w:rFonts w:ascii="Gilroy" w:hAnsi="Gilroy"/>
          <w:sz w:val="22"/>
          <w:szCs w:val="22"/>
        </w:rPr>
        <w:t xml:space="preserve"> as</w:t>
      </w:r>
      <w:r w:rsidRPr="00EE36AE">
        <w:rPr>
          <w:rFonts w:ascii="Gilroy" w:hAnsi="Gilroy"/>
          <w:sz w:val="22"/>
          <w:szCs w:val="22"/>
        </w:rPr>
        <w:t xml:space="preserve"> </w:t>
      </w:r>
      <w:r w:rsidRPr="00EE36AE">
        <w:rPr>
          <w:rFonts w:ascii="Gilroy" w:hAnsi="Gilroy"/>
          <w:sz w:val="22"/>
          <w:szCs w:val="22"/>
        </w:rPr>
        <w:t>surveillance tool</w:t>
      </w:r>
      <w:r w:rsidRPr="00EE36AE">
        <w:rPr>
          <w:rFonts w:ascii="Gilroy" w:hAnsi="Gilroy"/>
          <w:sz w:val="22"/>
          <w:szCs w:val="22"/>
        </w:rPr>
        <w:t>s</w:t>
      </w:r>
      <w:r w:rsidRPr="00EE36AE">
        <w:rPr>
          <w:rFonts w:ascii="Gilroy" w:hAnsi="Gilroy"/>
          <w:sz w:val="22"/>
          <w:szCs w:val="22"/>
        </w:rPr>
        <w:t xml:space="preserve"> during protests, permitting polic</w:t>
      </w:r>
      <w:r w:rsidRPr="00EE36AE">
        <w:rPr>
          <w:rFonts w:ascii="Gilroy" w:hAnsi="Gilroy"/>
          <w:sz w:val="22"/>
          <w:szCs w:val="22"/>
        </w:rPr>
        <w:t xml:space="preserve">e </w:t>
      </w:r>
      <w:r w:rsidRPr="00EE36AE">
        <w:rPr>
          <w:rFonts w:ascii="Gilroy" w:hAnsi="Gilroy"/>
          <w:sz w:val="22"/>
          <w:szCs w:val="22"/>
        </w:rPr>
        <w:t>to record everyone who attended and interfere with their communications.</w:t>
      </w:r>
      <w:r>
        <w:rPr>
          <w:rStyle w:val="FootnoteReference"/>
          <w:rFonts w:ascii="Gilroy" w:hAnsi="Gilroy"/>
          <w:sz w:val="22"/>
          <w:szCs w:val="22"/>
        </w:rPr>
        <w:footnoteReference w:id="16"/>
      </w:r>
      <w:r w:rsidRPr="00EE36AE">
        <w:rPr>
          <w:rFonts w:ascii="Gilroy" w:hAnsi="Gilroy"/>
          <w:sz w:val="22"/>
          <w:szCs w:val="22"/>
        </w:rPr>
        <w:t xml:space="preserve"> </w:t>
      </w:r>
      <w:r w:rsidRPr="00EE36AE">
        <w:rPr>
          <w:rFonts w:ascii="Gilroy" w:hAnsi="Gilroy"/>
          <w:sz w:val="22"/>
          <w:szCs w:val="22"/>
        </w:rPr>
        <w:t>Several news outlets have reported on the deployment of</w:t>
      </w:r>
      <w:r w:rsidRPr="00EE36AE">
        <w:rPr>
          <w:rFonts w:ascii="Gilroy" w:hAnsi="Gilroy"/>
          <w:sz w:val="22"/>
          <w:szCs w:val="22"/>
        </w:rPr>
        <w:t xml:space="preserve"> IMSI catchers</w:t>
      </w:r>
      <w:r w:rsidRPr="00EE36AE">
        <w:rPr>
          <w:rFonts w:ascii="Gilroy" w:hAnsi="Gilroy"/>
          <w:sz w:val="22"/>
          <w:szCs w:val="22"/>
        </w:rPr>
        <w:t xml:space="preserve"> by</w:t>
      </w:r>
      <w:r w:rsidRPr="00EE36AE">
        <w:rPr>
          <w:rFonts w:ascii="Gilroy" w:hAnsi="Gilroy"/>
          <w:sz w:val="22"/>
          <w:szCs w:val="22"/>
        </w:rPr>
        <w:t xml:space="preserve"> UK </w:t>
      </w:r>
      <w:r w:rsidRPr="00EE36AE">
        <w:rPr>
          <w:rFonts w:ascii="Gilroy" w:hAnsi="Gilroy"/>
          <w:sz w:val="22"/>
          <w:szCs w:val="22"/>
        </w:rPr>
        <w:t>police</w:t>
      </w:r>
      <w:r w:rsidRPr="00EE36AE">
        <w:rPr>
          <w:rFonts w:ascii="Gilroy" w:hAnsi="Gilroy"/>
          <w:sz w:val="22"/>
          <w:szCs w:val="22"/>
        </w:rPr>
        <w:t>.</w:t>
      </w:r>
      <w:r>
        <w:rPr>
          <w:rStyle w:val="FootnoteReference"/>
          <w:rFonts w:ascii="Gilroy" w:hAnsi="Gilroy"/>
          <w:sz w:val="22"/>
          <w:szCs w:val="22"/>
        </w:rPr>
        <w:footnoteReference w:id="17"/>
      </w:r>
      <w:r w:rsidRPr="00EE36AE">
        <w:rPr>
          <w:rFonts w:ascii="Gilroy" w:hAnsi="Gilroy"/>
          <w:sz w:val="22"/>
          <w:szCs w:val="22"/>
        </w:rPr>
        <w:t xml:space="preserve"> </w:t>
      </w:r>
      <w:r w:rsidRPr="00EE36AE">
        <w:rPr>
          <w:rFonts w:ascii="Gilroy" w:hAnsi="Gilroy"/>
          <w:sz w:val="22"/>
          <w:szCs w:val="22"/>
        </w:rPr>
        <w:t xml:space="preserve">PI previously submitted evidence to the </w:t>
      </w:r>
      <w:r w:rsidRPr="00EE36AE">
        <w:rPr>
          <w:rFonts w:ascii="Gilroy" w:hAnsi="Gilroy"/>
          <w:sz w:val="22"/>
          <w:szCs w:val="22"/>
        </w:rPr>
        <w:t>Information Rights Tribunal information</w:t>
      </w:r>
      <w:r w:rsidRPr="00EE36AE">
        <w:rPr>
          <w:rFonts w:ascii="Gilroy" w:hAnsi="Gilroy"/>
          <w:sz w:val="22"/>
          <w:szCs w:val="22"/>
        </w:rPr>
        <w:t xml:space="preserve"> regarding UK</w:t>
      </w:r>
      <w:r w:rsidRPr="00EE36AE">
        <w:rPr>
          <w:rFonts w:ascii="Gilroy" w:hAnsi="Gilroy"/>
          <w:sz w:val="22"/>
          <w:szCs w:val="22"/>
        </w:rPr>
        <w:t xml:space="preserve"> public authorities that have confirmed the purchase and/or use of IMSI catchers.</w:t>
      </w:r>
      <w:r>
        <w:rPr>
          <w:rStyle w:val="FootnoteReference"/>
          <w:rFonts w:ascii="Gilroy" w:hAnsi="Gilroy"/>
          <w:sz w:val="22"/>
          <w:szCs w:val="22"/>
        </w:rPr>
        <w:footnoteReference w:id="18"/>
      </w:r>
      <w:r w:rsidRPr="00EE36AE">
        <w:rPr>
          <w:rFonts w:ascii="Gilroy" w:hAnsi="Gilroy"/>
          <w:sz w:val="22"/>
          <w:szCs w:val="22"/>
        </w:rPr>
        <w:t xml:space="preserve"> </w:t>
      </w:r>
      <w:r w:rsidRPr="00EE36AE">
        <w:rPr>
          <w:rFonts w:ascii="Gilroy" w:hAnsi="Gilroy"/>
          <w:sz w:val="22"/>
          <w:szCs w:val="22"/>
        </w:rPr>
        <w:t>IMSI catchers can facilitate indiscriminate surveillance of protestors, seriously implicating their privacy rights as well as potentially chilling their rights to freedom of expression and assembly.</w:t>
      </w:r>
      <w:r>
        <w:rPr>
          <w:rStyle w:val="FootnoteReference"/>
          <w:rFonts w:ascii="Gilroy" w:hAnsi="Gilroy"/>
          <w:sz w:val="22"/>
          <w:szCs w:val="22"/>
        </w:rPr>
        <w:footnoteReference w:id="19"/>
      </w:r>
    </w:p>
    <w:p w:rsidR="00EB6747" w:rsidRPr="00EE36AE" w:rsidP="00EE36AE">
      <w:pPr>
        <w:spacing w:after="0"/>
        <w:rPr>
          <w:rStyle w:val="Strong"/>
          <w:rFonts w:ascii="Gilroy" w:hAnsi="Gilroy"/>
          <w:b w:val="0"/>
          <w:bCs w:val="0"/>
          <w:sz w:val="22"/>
          <w:szCs w:val="22"/>
        </w:rPr>
      </w:pPr>
      <w:r w:rsidRPr="00EE36AE">
        <w:rPr>
          <w:rStyle w:val="Strong"/>
          <w:rFonts w:ascii="Gilroy" w:hAnsi="Gilroy" w:eastAsiaTheme="majorEastAsia"/>
          <w:b w:val="0"/>
          <w:bCs w:val="0"/>
          <w:sz w:val="22"/>
          <w:szCs w:val="22"/>
        </w:rPr>
        <w:t>PI has developed a</w:t>
      </w:r>
      <w:r w:rsidRPr="00EE36AE">
        <w:rPr>
          <w:rStyle w:val="Strong"/>
          <w:rFonts w:ascii="Gilroy" w:hAnsi="Gilroy"/>
          <w:b w:val="0"/>
          <w:bCs w:val="0"/>
          <w:sz w:val="22"/>
          <w:szCs w:val="22"/>
        </w:rPr>
        <w:t xml:space="preserve"> 'Free to Protest</w:t>
      </w:r>
      <w:r w:rsidRPr="00EE36AE">
        <w:rPr>
          <w:rStyle w:val="Strong"/>
          <w:rFonts w:ascii="Gilroy" w:hAnsi="Gilroy" w:eastAsiaTheme="majorEastAsia"/>
          <w:b w:val="0"/>
          <w:bCs w:val="0"/>
          <w:sz w:val="22"/>
          <w:szCs w:val="22"/>
        </w:rPr>
        <w:t xml:space="preserve"> UK</w:t>
      </w:r>
      <w:r w:rsidRPr="00EE36AE">
        <w:rPr>
          <w:rStyle w:val="Strong"/>
          <w:rFonts w:ascii="Gilroy" w:hAnsi="Gilroy"/>
          <w:b w:val="0"/>
          <w:bCs w:val="0"/>
          <w:sz w:val="22"/>
          <w:szCs w:val="22"/>
        </w:rPr>
        <w:t>'</w:t>
      </w:r>
      <w:r>
        <w:rPr>
          <w:rStyle w:val="FootnoteReference"/>
          <w:rFonts w:ascii="Gilroy" w:hAnsi="Gilroy"/>
          <w:sz w:val="22"/>
          <w:szCs w:val="22"/>
        </w:rPr>
        <w:footnoteReference w:id="20"/>
      </w:r>
      <w:r w:rsidRPr="00EE36AE">
        <w:rPr>
          <w:rStyle w:val="Strong"/>
          <w:rFonts w:ascii="Gilroy" w:hAnsi="Gilroy"/>
          <w:b w:val="0"/>
          <w:bCs w:val="0"/>
          <w:sz w:val="22"/>
          <w:szCs w:val="22"/>
        </w:rPr>
        <w:t xml:space="preserve"> guide</w:t>
      </w:r>
      <w:r w:rsidRPr="00EE36AE">
        <w:rPr>
          <w:rStyle w:val="Strong"/>
          <w:rFonts w:ascii="Gilroy" w:hAnsi="Gilroy" w:eastAsiaTheme="majorEastAsia"/>
          <w:b w:val="0"/>
          <w:bCs w:val="0"/>
          <w:sz w:val="22"/>
          <w:szCs w:val="22"/>
        </w:rPr>
        <w:t xml:space="preserve"> which</w:t>
      </w:r>
      <w:r w:rsidRPr="00EE36AE">
        <w:rPr>
          <w:rStyle w:val="Strong"/>
          <w:rFonts w:ascii="Gilroy" w:hAnsi="Gilroy"/>
          <w:b w:val="0"/>
          <w:bCs w:val="0"/>
          <w:sz w:val="22"/>
          <w:szCs w:val="22"/>
        </w:rPr>
        <w:t xml:space="preserve"> provide</w:t>
      </w:r>
      <w:r w:rsidRPr="00EE36AE">
        <w:rPr>
          <w:rStyle w:val="Strong"/>
          <w:rFonts w:ascii="Gilroy" w:hAnsi="Gilroy" w:eastAsiaTheme="majorEastAsia"/>
          <w:b w:val="0"/>
          <w:bCs w:val="0"/>
          <w:sz w:val="22"/>
          <w:szCs w:val="22"/>
        </w:rPr>
        <w:t>s</w:t>
      </w:r>
      <w:r w:rsidRPr="00EE36AE">
        <w:rPr>
          <w:rStyle w:val="Strong"/>
          <w:rFonts w:ascii="Gilroy" w:hAnsi="Gilroy"/>
          <w:b w:val="0"/>
          <w:bCs w:val="0"/>
          <w:sz w:val="22"/>
          <w:szCs w:val="22"/>
        </w:rPr>
        <w:t xml:space="preserve"> information about the</w:t>
      </w:r>
      <w:r w:rsidRPr="00EE36AE">
        <w:rPr>
          <w:rStyle w:val="Strong"/>
          <w:rFonts w:ascii="Gilroy" w:hAnsi="Gilroy"/>
          <w:b w:val="0"/>
          <w:bCs w:val="0"/>
          <w:sz w:val="22"/>
          <w:szCs w:val="22"/>
        </w:rPr>
        <w:t xml:space="preserve"> full </w:t>
      </w:r>
      <w:r w:rsidRPr="00EE36AE">
        <w:rPr>
          <w:rStyle w:val="Strong"/>
          <w:rFonts w:ascii="Gilroy" w:hAnsi="Gilroy"/>
          <w:b w:val="0"/>
          <w:bCs w:val="0"/>
          <w:sz w:val="22"/>
          <w:szCs w:val="22"/>
        </w:rPr>
        <w:t xml:space="preserve">range </w:t>
      </w:r>
      <w:r w:rsidRPr="00EE36AE">
        <w:rPr>
          <w:rStyle w:val="Strong"/>
          <w:rFonts w:ascii="Gilroy" w:hAnsi="Gilroy"/>
          <w:b w:val="0"/>
          <w:bCs w:val="0"/>
          <w:sz w:val="22"/>
          <w:szCs w:val="22"/>
        </w:rPr>
        <w:t>of</w:t>
      </w:r>
      <w:r w:rsidRPr="00EE36AE">
        <w:rPr>
          <w:rStyle w:val="Strong"/>
          <w:rFonts w:ascii="Gilroy" w:hAnsi="Gilroy"/>
          <w:b w:val="0"/>
          <w:bCs w:val="0"/>
          <w:sz w:val="22"/>
          <w:szCs w:val="22"/>
        </w:rPr>
        <w:t xml:space="preserve"> surveillance capabilities that UK police forces </w:t>
      </w:r>
      <w:r w:rsidRPr="00EE36AE">
        <w:rPr>
          <w:rStyle w:val="Strong"/>
          <w:rFonts w:ascii="Gilroy" w:hAnsi="Gilroy"/>
          <w:b w:val="0"/>
          <w:bCs w:val="0"/>
          <w:sz w:val="22"/>
          <w:szCs w:val="22"/>
        </w:rPr>
        <w:t xml:space="preserve">may </w:t>
      </w:r>
      <w:r w:rsidRPr="00EE36AE">
        <w:rPr>
          <w:rStyle w:val="Strong"/>
          <w:rFonts w:ascii="Gilroy" w:hAnsi="Gilroy"/>
          <w:b w:val="0"/>
          <w:bCs w:val="0"/>
          <w:sz w:val="22"/>
          <w:szCs w:val="22"/>
        </w:rPr>
        <w:t xml:space="preserve">have including other technologies not covered above such as body worn cameras, </w:t>
      </w:r>
      <w:r w:rsidRPr="00EE36AE">
        <w:rPr>
          <w:rStyle w:val="Strong"/>
          <w:rFonts w:ascii="Gilroy" w:hAnsi="Gilroy" w:eastAsiaTheme="majorEastAsia"/>
          <w:b w:val="0"/>
          <w:bCs w:val="0"/>
          <w:sz w:val="22"/>
          <w:szCs w:val="22"/>
        </w:rPr>
        <w:t>mobile phone extraction</w:t>
      </w:r>
      <w:r w:rsidRPr="00EE36AE">
        <w:rPr>
          <w:rStyle w:val="Strong"/>
          <w:rFonts w:ascii="Gilroy" w:hAnsi="Gilroy" w:eastAsiaTheme="majorEastAsia"/>
          <w:b w:val="0"/>
          <w:bCs w:val="0"/>
          <w:sz w:val="22"/>
          <w:szCs w:val="22"/>
        </w:rPr>
        <w:t xml:space="preserve"> and </w:t>
      </w:r>
      <w:r w:rsidRPr="00EE36AE">
        <w:rPr>
          <w:rStyle w:val="Strong"/>
          <w:rFonts w:ascii="Gilroy" w:hAnsi="Gilroy" w:eastAsiaTheme="majorEastAsia"/>
          <w:b w:val="0"/>
          <w:bCs w:val="0"/>
          <w:sz w:val="22"/>
          <w:szCs w:val="22"/>
        </w:rPr>
        <w:t>hacking</w:t>
      </w:r>
      <w:r w:rsidRPr="00EE36AE">
        <w:rPr>
          <w:rStyle w:val="Strong"/>
          <w:rFonts w:ascii="Gilroy" w:hAnsi="Gilroy" w:eastAsiaTheme="majorEastAsia"/>
          <w:b w:val="0"/>
          <w:bCs w:val="0"/>
          <w:sz w:val="22"/>
          <w:szCs w:val="22"/>
        </w:rPr>
        <w:t xml:space="preserve"> tools</w:t>
      </w:r>
      <w:r w:rsidRPr="00EE36AE">
        <w:rPr>
          <w:rStyle w:val="Strong"/>
          <w:rFonts w:ascii="Gilroy" w:hAnsi="Gilroy" w:eastAsiaTheme="majorEastAsia"/>
          <w:b w:val="0"/>
          <w:bCs w:val="0"/>
          <w:sz w:val="22"/>
          <w:szCs w:val="22"/>
        </w:rPr>
        <w:t xml:space="preserve"> and drones. </w:t>
      </w:r>
      <w:r w:rsidRPr="00EE36AE">
        <w:rPr>
          <w:rStyle w:val="Strong"/>
          <w:rFonts w:ascii="Gilroy" w:hAnsi="Gilroy"/>
          <w:b w:val="0"/>
          <w:bCs w:val="0"/>
          <w:sz w:val="22"/>
          <w:szCs w:val="22"/>
        </w:rPr>
        <w:t>Relatedly, PI has analysed the human rights implications of deploying many of these technologies against protestors, both before</w:t>
      </w:r>
      <w:r w:rsidRPr="00EE36AE">
        <w:rPr>
          <w:rStyle w:val="Strong"/>
          <w:rFonts w:ascii="Gilroy" w:hAnsi="Gilroy"/>
          <w:b w:val="0"/>
          <w:bCs w:val="0"/>
          <w:sz w:val="22"/>
          <w:szCs w:val="22"/>
        </w:rPr>
        <w:t>,</w:t>
      </w:r>
      <w:r w:rsidRPr="00EE36AE">
        <w:rPr>
          <w:rStyle w:val="Strong"/>
          <w:rFonts w:ascii="Gilroy" w:hAnsi="Gilroy"/>
          <w:b w:val="0"/>
          <w:bCs w:val="0"/>
          <w:sz w:val="22"/>
          <w:szCs w:val="22"/>
        </w:rPr>
        <w:t xml:space="preserve"> during a</w:t>
      </w:r>
      <w:r w:rsidRPr="00EE36AE">
        <w:rPr>
          <w:rStyle w:val="Strong"/>
          <w:rFonts w:ascii="Gilroy" w:hAnsi="Gilroy"/>
          <w:b w:val="0"/>
          <w:bCs w:val="0"/>
          <w:sz w:val="22"/>
          <w:szCs w:val="22"/>
        </w:rPr>
        <w:t>nd</w:t>
      </w:r>
      <w:r w:rsidRPr="00EE36AE">
        <w:rPr>
          <w:rStyle w:val="Strong"/>
          <w:rFonts w:ascii="Gilroy" w:hAnsi="Gilroy"/>
          <w:b w:val="0"/>
          <w:bCs w:val="0"/>
          <w:sz w:val="22"/>
          <w:szCs w:val="22"/>
        </w:rPr>
        <w:t xml:space="preserve"> afte</w:t>
      </w:r>
      <w:r w:rsidRPr="00EE36AE">
        <w:rPr>
          <w:rStyle w:val="Strong"/>
          <w:rFonts w:ascii="Gilroy" w:hAnsi="Gilroy"/>
          <w:b w:val="0"/>
          <w:bCs w:val="0"/>
          <w:sz w:val="22"/>
          <w:szCs w:val="22"/>
        </w:rPr>
        <w:t>r protests</w:t>
      </w:r>
      <w:r w:rsidRPr="00EE36AE">
        <w:rPr>
          <w:rStyle w:val="Strong"/>
          <w:rFonts w:ascii="Gilroy" w:hAnsi="Gilroy"/>
          <w:b w:val="0"/>
          <w:bCs w:val="0"/>
          <w:sz w:val="22"/>
          <w:szCs w:val="22"/>
        </w:rPr>
        <w:t>, including if protestors face criminal prosecution.</w:t>
      </w:r>
      <w:r>
        <w:rPr>
          <w:rStyle w:val="FootnoteReference"/>
          <w:rFonts w:ascii="Gilroy" w:hAnsi="Gilroy"/>
          <w:sz w:val="22"/>
          <w:szCs w:val="22"/>
        </w:rPr>
        <w:footnoteReference w:id="21"/>
      </w:r>
      <w:r w:rsidRPr="00EE36AE">
        <w:rPr>
          <w:rStyle w:val="Strong"/>
          <w:rFonts w:ascii="Gilroy" w:hAnsi="Gilroy"/>
          <w:b w:val="0"/>
          <w:bCs w:val="0"/>
          <w:sz w:val="22"/>
          <w:szCs w:val="22"/>
        </w:rPr>
        <w:t xml:space="preserve"> These analyses provide further explanation of the serious human rights concerns raised by protest surveillance.</w:t>
      </w:r>
    </w:p>
    <w:p w:rsidR="00EB6747" w:rsidRPr="00EE36AE" w:rsidP="00EE36AE">
      <w:pPr>
        <w:spacing w:after="0"/>
        <w:rPr>
          <w:rFonts w:ascii="Gilroy" w:hAnsi="Gilroy"/>
          <w:sz w:val="22"/>
          <w:szCs w:val="22"/>
        </w:rPr>
      </w:pPr>
    </w:p>
    <w:p w:rsidR="00EB6747" w:rsidRPr="00EE36AE" w:rsidP="00EE36AE">
      <w:pPr>
        <w:spacing w:after="0"/>
        <w:rPr>
          <w:rFonts w:ascii="Gilroy" w:hAnsi="Gilroy"/>
          <w:i/>
          <w:iCs/>
          <w:sz w:val="22"/>
          <w:szCs w:val="22"/>
        </w:rPr>
      </w:pPr>
      <w:r w:rsidRPr="00EE36AE">
        <w:rPr>
          <w:rFonts w:ascii="Gilroy" w:hAnsi="Gilroy"/>
          <w:i/>
          <w:iCs/>
          <w:sz w:val="22"/>
          <w:szCs w:val="22"/>
        </w:rPr>
        <w:t>Q 11. The Government is currently consulting on “a new legal framework for law enforcement use of biometrics, facial recognition and similar technologies”.</w:t>
      </w:r>
      <w:r w:rsidRPr="00EE36AE">
        <w:rPr>
          <w:rFonts w:ascii="Cambria" w:hAnsi="Cambria" w:cs="Cambria"/>
          <w:i/>
          <w:iCs/>
          <w:sz w:val="22"/>
          <w:szCs w:val="22"/>
        </w:rPr>
        <w:t> </w:t>
      </w:r>
      <w:r w:rsidRPr="00EE36AE">
        <w:rPr>
          <w:rFonts w:ascii="Gilroy" w:hAnsi="Gilroy"/>
          <w:i/>
          <w:iCs/>
          <w:sz w:val="22"/>
          <w:szCs w:val="22"/>
        </w:rPr>
        <w:t>Does the use of these technologies in respect of protest raise distinct human rights concerns and how best can they be addressed?</w:t>
      </w:r>
      <w:r w:rsidRPr="00EE36AE">
        <w:rPr>
          <w:rFonts w:ascii="Cambria" w:hAnsi="Cambria" w:cs="Cambria"/>
          <w:i/>
          <w:iCs/>
          <w:sz w:val="22"/>
          <w:szCs w:val="22"/>
        </w:rPr>
        <w:t> </w:t>
      </w:r>
    </w:p>
    <w:p w:rsidR="00EB6747" w:rsidRPr="00EE36AE" w:rsidP="00EE36AE">
      <w:pPr>
        <w:spacing w:after="0"/>
        <w:rPr>
          <w:rFonts w:ascii="Gilroy" w:hAnsi="Gilroy" w:cs="Cambria"/>
          <w:sz w:val="22"/>
          <w:szCs w:val="22"/>
        </w:rPr>
      </w:pPr>
    </w:p>
    <w:p w:rsidR="00EB6747" w:rsidRPr="00EE36AE" w:rsidP="00EE36AE">
      <w:pPr>
        <w:spacing w:after="0"/>
        <w:rPr>
          <w:rFonts w:ascii="Gilroy" w:hAnsi="Gilroy" w:cs="Cambria"/>
          <w:sz w:val="22"/>
          <w:szCs w:val="22"/>
        </w:rPr>
      </w:pPr>
      <w:r w:rsidRPr="00EE36AE">
        <w:rPr>
          <w:rFonts w:ascii="Gilroy" w:hAnsi="Gilroy" w:cs="Cambria"/>
          <w:sz w:val="22"/>
          <w:szCs w:val="22"/>
        </w:rPr>
        <w:t xml:space="preserve">PI responded to the </w:t>
      </w:r>
      <w:r w:rsidRPr="00EE36AE">
        <w:rPr>
          <w:rFonts w:ascii="Gilroy" w:hAnsi="Gilroy" w:cs="Cambria"/>
          <w:sz w:val="22"/>
          <w:szCs w:val="22"/>
        </w:rPr>
        <w:t xml:space="preserve">government’s </w:t>
      </w:r>
      <w:r w:rsidRPr="00EE36AE">
        <w:rPr>
          <w:rFonts w:ascii="Gilroy" w:hAnsi="Gilroy" w:cs="Cambria"/>
          <w:sz w:val="22"/>
          <w:szCs w:val="22"/>
        </w:rPr>
        <w:t xml:space="preserve">consultation </w:t>
      </w:r>
      <w:r w:rsidRPr="00EE36AE">
        <w:rPr>
          <w:rFonts w:ascii="Gilroy" w:hAnsi="Gilroy" w:cs="Cambria"/>
          <w:sz w:val="22"/>
          <w:szCs w:val="22"/>
        </w:rPr>
        <w:t xml:space="preserve">on a new legal </w:t>
      </w:r>
      <w:r w:rsidRPr="00EE36AE">
        <w:rPr>
          <w:rFonts w:ascii="Gilroy" w:hAnsi="Gilroy" w:cs="Cambria"/>
          <w:sz w:val="22"/>
          <w:szCs w:val="22"/>
        </w:rPr>
        <w:t>framework for law enforcement</w:t>
      </w:r>
      <w:r w:rsidRPr="00EE36AE">
        <w:rPr>
          <w:rFonts w:ascii="Gilroy" w:hAnsi="Gilroy" w:cs="Cambria"/>
          <w:sz w:val="22"/>
          <w:szCs w:val="22"/>
        </w:rPr>
        <w:t xml:space="preserve"> </w:t>
      </w:r>
      <w:r w:rsidRPr="00EE36AE">
        <w:rPr>
          <w:rFonts w:ascii="Gilroy" w:hAnsi="Gilroy" w:cs="Cambria"/>
          <w:sz w:val="22"/>
          <w:szCs w:val="22"/>
        </w:rPr>
        <w:t>within which we</w:t>
      </w:r>
      <w:r w:rsidRPr="00EE36AE">
        <w:rPr>
          <w:rFonts w:ascii="Gilroy" w:hAnsi="Gilroy" w:cs="Cambria"/>
          <w:sz w:val="22"/>
          <w:szCs w:val="22"/>
        </w:rPr>
        <w:t xml:space="preserve"> </w:t>
      </w:r>
      <w:r w:rsidRPr="00EE36AE">
        <w:rPr>
          <w:rFonts w:ascii="Gilroy" w:hAnsi="Gilroy" w:cs="Cambria"/>
          <w:sz w:val="22"/>
          <w:szCs w:val="22"/>
        </w:rPr>
        <w:t xml:space="preserve">recommend that </w:t>
      </w:r>
      <w:r w:rsidRPr="00EE36AE">
        <w:rPr>
          <w:rFonts w:ascii="Gilroy" w:hAnsi="Gilroy" w:cs="Cambria"/>
          <w:sz w:val="22"/>
          <w:szCs w:val="22"/>
        </w:rPr>
        <w:t xml:space="preserve">there should be </w:t>
      </w:r>
      <w:r w:rsidRPr="00EE36AE">
        <w:rPr>
          <w:rFonts w:ascii="Gilroy" w:hAnsi="Gilroy" w:cs="Cambria"/>
          <w:sz w:val="22"/>
          <w:szCs w:val="22"/>
        </w:rPr>
        <w:t xml:space="preserve">restrictions </w:t>
      </w:r>
      <w:r w:rsidRPr="00EE36AE">
        <w:rPr>
          <w:rFonts w:ascii="Gilroy" w:hAnsi="Gilroy" w:cs="Cambria"/>
          <w:sz w:val="22"/>
          <w:szCs w:val="22"/>
        </w:rPr>
        <w:t xml:space="preserve">on the </w:t>
      </w:r>
      <w:r w:rsidRPr="00EE36AE">
        <w:rPr>
          <w:rFonts w:ascii="Gilroy" w:hAnsi="Gilroy" w:cs="Cambria"/>
          <w:sz w:val="22"/>
          <w:szCs w:val="22"/>
        </w:rPr>
        <w:t xml:space="preserve">use </w:t>
      </w:r>
      <w:r w:rsidRPr="00EE36AE">
        <w:rPr>
          <w:rFonts w:ascii="Gilroy" w:hAnsi="Gilroy" w:cs="Cambria"/>
          <w:sz w:val="22"/>
          <w:szCs w:val="22"/>
        </w:rPr>
        <w:t xml:space="preserve">of </w:t>
      </w:r>
      <w:r w:rsidRPr="00EE36AE">
        <w:rPr>
          <w:rFonts w:ascii="Gilroy" w:hAnsi="Gilroy" w:cs="Cambria"/>
          <w:sz w:val="22"/>
          <w:szCs w:val="22"/>
        </w:rPr>
        <w:t xml:space="preserve">FRT and other biometric technologies at protests. </w:t>
      </w:r>
      <w:r w:rsidRPr="00EE36AE">
        <w:rPr>
          <w:rFonts w:ascii="Gilroy" w:hAnsi="Gilroy" w:cs="Cambria"/>
          <w:sz w:val="22"/>
          <w:szCs w:val="22"/>
        </w:rPr>
        <w:t>We maintain that FRT</w:t>
      </w:r>
      <w:r w:rsidRPr="00EE36AE">
        <w:rPr>
          <w:rFonts w:ascii="Gilroy" w:hAnsi="Gilroy" w:cs="Cambria"/>
          <w:sz w:val="22"/>
          <w:szCs w:val="22"/>
        </w:rPr>
        <w:t xml:space="preserve"> and biometric technologies</w:t>
      </w:r>
      <w:r w:rsidRPr="00EE36AE">
        <w:rPr>
          <w:rFonts w:ascii="Gilroy" w:hAnsi="Gilroy" w:cs="Cambria"/>
          <w:sz w:val="22"/>
          <w:szCs w:val="22"/>
        </w:rPr>
        <w:t xml:space="preserve"> should not </w:t>
      </w:r>
      <w:r w:rsidRPr="00EE36AE">
        <w:rPr>
          <w:rFonts w:ascii="Gilroy" w:hAnsi="Gilroy" w:cs="Cambria"/>
          <w:sz w:val="22"/>
          <w:szCs w:val="22"/>
        </w:rPr>
        <w:t xml:space="preserve">be used to identify protesters or to collect information on people attending protests to ensure compliance with rights such as the right to freedom of association, expression and assembly under Articles 9, 10 and 11 of the ECHR. </w:t>
      </w:r>
    </w:p>
    <w:p w:rsidR="00EB6747" w:rsidRPr="00EE36AE" w:rsidP="00EE36AE">
      <w:pPr>
        <w:spacing w:after="0"/>
        <w:rPr>
          <w:rFonts w:ascii="Gilroy" w:hAnsi="Gilroy"/>
          <w:sz w:val="22"/>
          <w:szCs w:val="22"/>
        </w:rPr>
      </w:pPr>
    </w:p>
    <w:p w:rsidR="00EB6747" w:rsidRPr="00EE36AE" w:rsidP="00EE36AE">
      <w:pPr>
        <w:spacing w:after="0"/>
        <w:rPr>
          <w:rStyle w:val="hgkelc"/>
          <w:rFonts w:ascii="Gilroy" w:hAnsi="Gilroy"/>
          <w:sz w:val="22"/>
          <w:szCs w:val="22"/>
        </w:rPr>
      </w:pPr>
      <w:r w:rsidRPr="00EE36AE">
        <w:rPr>
          <w:rFonts w:ascii="Gilroy" w:hAnsi="Gilroy"/>
          <w:sz w:val="22"/>
          <w:szCs w:val="22"/>
        </w:rPr>
        <w:t>Using FRT at protests involves the deployment of FRT-enabled cameras by law enforcement to take pictures or videos of people attending the protest to identify them in real-time (live FRT) or at a later point (retrospective FRT).</w:t>
      </w:r>
      <w:r>
        <w:rPr>
          <w:rStyle w:val="FootnoteReference"/>
          <w:rFonts w:ascii="Gilroy" w:hAnsi="Gilroy" w:cs="Arial"/>
          <w:sz w:val="22"/>
          <w:szCs w:val="22"/>
        </w:rPr>
        <w:footnoteReference w:id="22"/>
      </w:r>
      <w:r w:rsidRPr="00EE36AE">
        <w:rPr>
          <w:rFonts w:ascii="Gilroy" w:hAnsi="Gilroy"/>
          <w:sz w:val="22"/>
          <w:szCs w:val="22"/>
        </w:rPr>
        <w:t xml:space="preserve"> PI has been documenting instances of </w:t>
      </w:r>
      <w:r w:rsidRPr="00EE36AE">
        <w:rPr>
          <w:rFonts w:ascii="Gilroy" w:hAnsi="Gilroy"/>
          <w:sz w:val="22"/>
          <w:szCs w:val="22"/>
        </w:rPr>
        <w:t>FRT</w:t>
      </w:r>
      <w:r w:rsidRPr="00EE36AE">
        <w:rPr>
          <w:rFonts w:ascii="Gilroy" w:hAnsi="Gilroy"/>
          <w:sz w:val="22"/>
          <w:szCs w:val="22"/>
        </w:rPr>
        <w:t xml:space="preserve"> be</w:t>
      </w:r>
      <w:r w:rsidRPr="00EE36AE">
        <w:rPr>
          <w:rFonts w:ascii="Gilroy" w:hAnsi="Gilroy"/>
          <w:sz w:val="22"/>
          <w:szCs w:val="22"/>
        </w:rPr>
        <w:t>ing</w:t>
      </w:r>
      <w:r w:rsidRPr="00EE36AE">
        <w:rPr>
          <w:rFonts w:ascii="Gilroy" w:hAnsi="Gilroy"/>
          <w:sz w:val="22"/>
          <w:szCs w:val="22"/>
        </w:rPr>
        <w:t xml:space="preserve"> used </w:t>
      </w:r>
      <w:r w:rsidRPr="00EE36AE">
        <w:rPr>
          <w:rFonts w:ascii="Gilroy" w:hAnsi="Gilroy"/>
          <w:sz w:val="22"/>
          <w:szCs w:val="22"/>
        </w:rPr>
        <w:t>at protests</w:t>
      </w:r>
      <w:r w:rsidRPr="00EE36AE">
        <w:rPr>
          <w:rFonts w:ascii="Gilroy" w:hAnsi="Gilroy"/>
          <w:sz w:val="22"/>
          <w:szCs w:val="22"/>
        </w:rPr>
        <w:t xml:space="preserve"> globally</w:t>
      </w:r>
      <w:r w:rsidRPr="00EE36AE">
        <w:rPr>
          <w:rFonts w:ascii="Gilroy" w:hAnsi="Gilroy"/>
          <w:sz w:val="22"/>
          <w:szCs w:val="22"/>
        </w:rPr>
        <w:t xml:space="preserve"> to identify, monitor and track protesters either openly or surreptitiously.</w:t>
      </w:r>
      <w:r>
        <w:rPr>
          <w:rStyle w:val="FootnoteReference"/>
          <w:rFonts w:ascii="Gilroy" w:hAnsi="Gilroy" w:cs="Arial"/>
          <w:sz w:val="22"/>
          <w:szCs w:val="22"/>
        </w:rPr>
        <w:footnoteReference w:id="23"/>
      </w:r>
      <w:r w:rsidRPr="00EE36AE">
        <w:rPr>
          <w:rFonts w:ascii="Gilroy" w:hAnsi="Gilroy"/>
          <w:sz w:val="22"/>
          <w:szCs w:val="22"/>
        </w:rPr>
        <w:t xml:space="preserve"> In some cases, it is even used to aid the arrest, or detention of those participating in protests, or to build watch lists of protesters for intelligence purposes.</w:t>
      </w:r>
      <w:r>
        <w:rPr>
          <w:rStyle w:val="FootnoteReference"/>
          <w:rFonts w:ascii="Gilroy" w:hAnsi="Gilroy" w:cs="Arial"/>
          <w:sz w:val="22"/>
          <w:szCs w:val="22"/>
        </w:rPr>
        <w:footnoteReference w:id="24"/>
      </w:r>
      <w:r w:rsidRPr="00EE36AE">
        <w:rPr>
          <w:rFonts w:ascii="Gilroy" w:hAnsi="Gilroy"/>
          <w:sz w:val="22"/>
          <w:szCs w:val="22"/>
        </w:rPr>
        <w:t xml:space="preserve"> </w:t>
      </w:r>
      <w:r w:rsidRPr="00EE36AE">
        <w:rPr>
          <w:rFonts w:ascii="Gilroy" w:hAnsi="Gilroy"/>
          <w:sz w:val="22"/>
          <w:szCs w:val="22"/>
        </w:rPr>
        <w:t xml:space="preserve"> </w:t>
      </w:r>
      <w:r w:rsidRPr="00EE36AE">
        <w:rPr>
          <w:rFonts w:ascii="Gilroy" w:hAnsi="Gilroy"/>
          <w:sz w:val="22"/>
          <w:szCs w:val="22"/>
        </w:rPr>
        <w:t>UK police forces have</w:t>
      </w:r>
      <w:r w:rsidRPr="00EE36AE">
        <w:rPr>
          <w:rFonts w:ascii="Gilroy" w:hAnsi="Gilroy"/>
          <w:sz w:val="22"/>
          <w:szCs w:val="22"/>
        </w:rPr>
        <w:t xml:space="preserve"> been</w:t>
      </w:r>
      <w:r w:rsidRPr="00EE36AE">
        <w:rPr>
          <w:rFonts w:ascii="Gilroy" w:hAnsi="Gilroy"/>
          <w:sz w:val="22"/>
          <w:szCs w:val="22"/>
        </w:rPr>
        <w:t xml:space="preserve"> increasingly deploying live FRT in </w:t>
      </w:r>
      <w:r w:rsidRPr="00EE36AE">
        <w:rPr>
          <w:rFonts w:ascii="Gilroy" w:hAnsi="Gilroy"/>
          <w:sz w:val="22"/>
          <w:szCs w:val="22"/>
        </w:rPr>
        <w:t>public spaces</w:t>
      </w:r>
      <w:r>
        <w:rPr>
          <w:rStyle w:val="FootnoteReference"/>
          <w:rFonts w:ascii="Gilroy" w:hAnsi="Gilroy" w:cs="Arial"/>
          <w:sz w:val="22"/>
          <w:szCs w:val="22"/>
        </w:rPr>
        <w:footnoteReference w:id="25"/>
      </w:r>
      <w:r w:rsidRPr="00EE36AE">
        <w:rPr>
          <w:rFonts w:ascii="Gilroy" w:hAnsi="Gilroy"/>
          <w:sz w:val="22"/>
          <w:szCs w:val="22"/>
        </w:rPr>
        <w:t xml:space="preserve"> and at large events including </w:t>
      </w:r>
      <w:r w:rsidRPr="00EE36AE">
        <w:rPr>
          <w:rFonts w:ascii="Gilroy" w:hAnsi="Gilroy"/>
          <w:sz w:val="22"/>
          <w:szCs w:val="22"/>
        </w:rPr>
        <w:t xml:space="preserve">by </w:t>
      </w:r>
      <w:r w:rsidRPr="00EE36AE">
        <w:rPr>
          <w:rFonts w:ascii="Gilroy" w:hAnsi="Gilroy"/>
          <w:sz w:val="22"/>
          <w:szCs w:val="22"/>
        </w:rPr>
        <w:t>the Met at Notting Hill Carnival in London</w:t>
      </w:r>
      <w:r>
        <w:rPr>
          <w:rStyle w:val="FootnoteReference"/>
          <w:rFonts w:ascii="Gilroy" w:hAnsi="Gilroy" w:cs="Arial"/>
          <w:sz w:val="22"/>
          <w:szCs w:val="22"/>
        </w:rPr>
        <w:footnoteReference w:id="26"/>
      </w:r>
      <w:r w:rsidRPr="00EE36AE">
        <w:rPr>
          <w:rFonts w:ascii="Gilroy" w:hAnsi="Gilroy"/>
          <w:sz w:val="22"/>
          <w:szCs w:val="22"/>
        </w:rPr>
        <w:t xml:space="preserve"> and South Wales Police at </w:t>
      </w:r>
      <w:r w:rsidRPr="00EE36AE">
        <w:rPr>
          <w:rFonts w:ascii="Gilroy" w:hAnsi="Gilroy"/>
          <w:sz w:val="22"/>
          <w:szCs w:val="22"/>
        </w:rPr>
        <w:t>large sporting events.</w:t>
      </w:r>
      <w:r>
        <w:rPr>
          <w:rStyle w:val="FootnoteReference"/>
          <w:rFonts w:ascii="Gilroy" w:hAnsi="Gilroy" w:cs="Arial"/>
          <w:sz w:val="22"/>
          <w:szCs w:val="22"/>
        </w:rPr>
        <w:footnoteReference w:id="27"/>
      </w:r>
      <w:r w:rsidRPr="00EE36AE">
        <w:rPr>
          <w:rFonts w:ascii="Gilroy" w:hAnsi="Gilroy"/>
          <w:sz w:val="22"/>
          <w:szCs w:val="22"/>
        </w:rPr>
        <w:t xml:space="preserve"> </w:t>
      </w:r>
      <w:r w:rsidRPr="00EE36AE">
        <w:rPr>
          <w:rFonts w:ascii="Gilroy" w:hAnsi="Gilroy"/>
          <w:sz w:val="22"/>
          <w:szCs w:val="22"/>
        </w:rPr>
        <w:t>Although the Met claims to have not yet used live FRT at protests</w:t>
      </w:r>
      <w:r w:rsidRPr="00EE36AE">
        <w:rPr>
          <w:rFonts w:ascii="Gilroy" w:hAnsi="Gilroy"/>
          <w:sz w:val="22"/>
          <w:szCs w:val="22"/>
        </w:rPr>
        <w:t xml:space="preserve"> they </w:t>
      </w:r>
      <w:r w:rsidRPr="00EE36AE">
        <w:rPr>
          <w:rFonts w:ascii="Gilroy" w:hAnsi="Gilroy"/>
          <w:sz w:val="22"/>
          <w:szCs w:val="22"/>
        </w:rPr>
        <w:t xml:space="preserve">have confirmed they </w:t>
      </w:r>
      <w:r w:rsidRPr="00EE36AE">
        <w:rPr>
          <w:rFonts w:ascii="Gilroy" w:hAnsi="Gilroy"/>
          <w:sz w:val="22"/>
          <w:szCs w:val="22"/>
        </w:rPr>
        <w:t>would in the future.</w:t>
      </w:r>
      <w:r>
        <w:rPr>
          <w:rStyle w:val="FootnoteReference"/>
          <w:rFonts w:ascii="Gilroy" w:hAnsi="Gilroy" w:cs="Arial"/>
          <w:sz w:val="22"/>
          <w:szCs w:val="22"/>
        </w:rPr>
        <w:footnoteReference w:id="28"/>
      </w:r>
      <w:r w:rsidRPr="00EE36AE">
        <w:rPr>
          <w:rFonts w:ascii="Gilroy" w:hAnsi="Gilroy"/>
          <w:sz w:val="22"/>
          <w:szCs w:val="22"/>
        </w:rPr>
        <w:t xml:space="preserve"> </w:t>
      </w:r>
      <w:r w:rsidRPr="00EE36AE">
        <w:rPr>
          <w:rStyle w:val="hgkelc"/>
          <w:rFonts w:ascii="Gilroy" w:hAnsi="Gilroy"/>
          <w:sz w:val="22"/>
          <w:szCs w:val="22"/>
        </w:rPr>
        <w:t xml:space="preserve">They have </w:t>
      </w:r>
      <w:r w:rsidRPr="00EE36AE">
        <w:rPr>
          <w:rStyle w:val="hgkelc"/>
          <w:rFonts w:ascii="Gilroy" w:hAnsi="Gilroy"/>
          <w:sz w:val="22"/>
          <w:szCs w:val="22"/>
        </w:rPr>
        <w:t xml:space="preserve">also </w:t>
      </w:r>
      <w:r w:rsidRPr="00EE36AE">
        <w:rPr>
          <w:rStyle w:val="hgkelc"/>
          <w:rFonts w:ascii="Gilroy" w:hAnsi="Gilroy"/>
          <w:sz w:val="22"/>
          <w:szCs w:val="22"/>
        </w:rPr>
        <w:t>confirmed the use of retrospective FRT at protest</w:t>
      </w:r>
      <w:r w:rsidRPr="00EE36AE">
        <w:rPr>
          <w:rStyle w:val="hgkelc"/>
          <w:rFonts w:ascii="Gilroy" w:hAnsi="Gilroy"/>
          <w:sz w:val="22"/>
          <w:szCs w:val="22"/>
        </w:rPr>
        <w:t>s</w:t>
      </w:r>
      <w:r w:rsidRPr="00EE36AE">
        <w:rPr>
          <w:rStyle w:val="hgkelc"/>
          <w:rFonts w:ascii="Gilroy" w:hAnsi="Gilroy"/>
          <w:sz w:val="22"/>
          <w:szCs w:val="22"/>
        </w:rPr>
        <w:t>.</w:t>
      </w:r>
      <w:r>
        <w:rPr>
          <w:rStyle w:val="FootnoteReference"/>
          <w:rFonts w:ascii="Gilroy" w:hAnsi="Gilroy"/>
          <w:sz w:val="22"/>
          <w:szCs w:val="22"/>
        </w:rPr>
        <w:footnoteReference w:id="29"/>
      </w:r>
      <w:r w:rsidRPr="00EE36AE">
        <w:rPr>
          <w:rStyle w:val="hgkelc"/>
          <w:rFonts w:ascii="Gilroy" w:hAnsi="Gilroy"/>
          <w:sz w:val="22"/>
          <w:szCs w:val="22"/>
        </w:rPr>
        <w:t xml:space="preserve"> </w:t>
      </w:r>
    </w:p>
    <w:p w:rsidR="00EB6747" w:rsidRPr="00EE36AE" w:rsidP="00EE36AE">
      <w:pPr>
        <w:spacing w:after="0"/>
        <w:rPr>
          <w:rStyle w:val="hgkelc"/>
          <w:rFonts w:ascii="Gilroy" w:hAnsi="Gilroy"/>
          <w:sz w:val="22"/>
          <w:szCs w:val="22"/>
        </w:rPr>
      </w:pPr>
    </w:p>
    <w:p w:rsidR="00EB6747" w:rsidRPr="00EE36AE" w:rsidP="00EE36AE">
      <w:pPr>
        <w:spacing w:after="0"/>
        <w:rPr>
          <w:rFonts w:ascii="Gilroy" w:hAnsi="Gilroy"/>
          <w:color w:val="000000" w:themeColor="text1"/>
          <w:sz w:val="22"/>
          <w:szCs w:val="22"/>
        </w:rPr>
      </w:pPr>
      <w:r w:rsidRPr="00EE36AE">
        <w:rPr>
          <w:rFonts w:ascii="Gilroy" w:hAnsi="Gilroy"/>
          <w:color w:val="000000" w:themeColor="text1"/>
          <w:sz w:val="22"/>
          <w:szCs w:val="22"/>
        </w:rPr>
        <w:t>Furthermore, t</w:t>
      </w:r>
      <w:r w:rsidRPr="00EE36AE">
        <w:rPr>
          <w:rFonts w:ascii="Gilroy" w:hAnsi="Gilroy"/>
          <w:color w:val="000000" w:themeColor="text1"/>
          <w:sz w:val="22"/>
          <w:szCs w:val="22"/>
        </w:rPr>
        <w:t xml:space="preserve">he Crime and Policing </w:t>
      </w:r>
      <w:r w:rsidRPr="00EE36AE">
        <w:rPr>
          <w:rFonts w:ascii="Gilroy" w:hAnsi="Gilroy"/>
          <w:color w:val="000000" w:themeColor="text1"/>
          <w:sz w:val="22"/>
          <w:szCs w:val="22"/>
        </w:rPr>
        <w:t>Act 2026</w:t>
      </w:r>
      <w:r w:rsidRPr="00EE36AE">
        <w:rPr>
          <w:rFonts w:ascii="Gilroy" w:hAnsi="Gilroy"/>
          <w:color w:val="000000" w:themeColor="text1"/>
          <w:sz w:val="22"/>
          <w:szCs w:val="22"/>
        </w:rPr>
        <w:t>,</w:t>
      </w:r>
      <w:r w:rsidRPr="00EE36AE">
        <w:rPr>
          <w:rFonts w:ascii="Gilroy" w:hAnsi="Gilroy"/>
          <w:color w:val="000000" w:themeColor="text1"/>
          <w:sz w:val="22"/>
          <w:szCs w:val="22"/>
        </w:rPr>
        <w:t xml:space="preserve"> </w:t>
      </w:r>
      <w:r w:rsidRPr="00EE36AE">
        <w:rPr>
          <w:rFonts w:ascii="Gilroy" w:hAnsi="Gilroy"/>
          <w:sz w:val="22"/>
          <w:szCs w:val="22"/>
        </w:rPr>
        <w:t>has introduced a</w:t>
      </w:r>
      <w:r w:rsidRPr="00EE36AE">
        <w:rPr>
          <w:rFonts w:ascii="Gilroy" w:hAnsi="Gilroy"/>
          <w:sz w:val="22"/>
          <w:szCs w:val="22"/>
        </w:rPr>
        <w:t xml:space="preserve"> new criminal offence of wearing, or otherwise using, an item that conceals </w:t>
      </w:r>
      <w:r w:rsidRPr="00EE36AE">
        <w:rPr>
          <w:rFonts w:ascii="Gilroy" w:hAnsi="Gilroy"/>
          <w:color w:val="000000" w:themeColor="text1"/>
          <w:sz w:val="22"/>
          <w:szCs w:val="22"/>
        </w:rPr>
        <w:t>your identity at a protest</w:t>
      </w:r>
      <w:r w:rsidRPr="00EE36AE">
        <w:rPr>
          <w:rFonts w:ascii="Gilroy" w:hAnsi="Gilroy"/>
          <w:color w:val="000000" w:themeColor="text1"/>
          <w:sz w:val="22"/>
          <w:szCs w:val="22"/>
        </w:rPr>
        <w:t>.</w:t>
      </w:r>
      <w:r>
        <w:rPr>
          <w:rStyle w:val="FootnoteReference"/>
          <w:rFonts w:ascii="Gilroy" w:hAnsi="Gilroy" w:cs="Arial"/>
          <w:color w:val="000000" w:themeColor="text1"/>
          <w:sz w:val="22"/>
          <w:szCs w:val="22"/>
        </w:rPr>
        <w:footnoteReference w:id="30"/>
      </w:r>
      <w:r w:rsidRPr="00EE36AE">
        <w:rPr>
          <w:rFonts w:ascii="Gilroy" w:hAnsi="Gilroy"/>
          <w:color w:val="000000" w:themeColor="text1"/>
          <w:sz w:val="22"/>
          <w:szCs w:val="22"/>
        </w:rPr>
        <w:t xml:space="preserve">  </w:t>
      </w:r>
      <w:r w:rsidRPr="00EE36AE">
        <w:rPr>
          <w:rFonts w:ascii="Gilroy" w:hAnsi="Gilroy"/>
          <w:color w:val="000000" w:themeColor="text1"/>
          <w:sz w:val="22"/>
          <w:szCs w:val="22"/>
        </w:rPr>
        <w:t xml:space="preserve">Although </w:t>
      </w:r>
      <w:r w:rsidRPr="00EE36AE">
        <w:rPr>
          <w:rFonts w:ascii="Gilroy" w:hAnsi="Gilroy"/>
          <w:color w:val="000000" w:themeColor="text1"/>
          <w:sz w:val="22"/>
          <w:szCs w:val="22"/>
        </w:rPr>
        <w:t xml:space="preserve">it was never </w:t>
      </w:r>
      <w:r w:rsidRPr="00EE36AE">
        <w:rPr>
          <w:rFonts w:ascii="Gilroy" w:hAnsi="Gilroy"/>
          <w:color w:val="000000" w:themeColor="text1"/>
          <w:sz w:val="22"/>
          <w:szCs w:val="22"/>
        </w:rPr>
        <w:t>explicitly state</w:t>
      </w:r>
      <w:r w:rsidRPr="00EE36AE">
        <w:rPr>
          <w:rFonts w:ascii="Gilroy" w:hAnsi="Gilroy"/>
          <w:color w:val="000000" w:themeColor="text1"/>
          <w:sz w:val="22"/>
          <w:szCs w:val="22"/>
        </w:rPr>
        <w:t>d</w:t>
      </w:r>
      <w:r w:rsidRPr="00EE36AE">
        <w:rPr>
          <w:rFonts w:ascii="Gilroy" w:hAnsi="Gilroy"/>
          <w:color w:val="000000" w:themeColor="text1"/>
          <w:sz w:val="22"/>
          <w:szCs w:val="22"/>
        </w:rPr>
        <w:t xml:space="preserve"> that the purpose of this provision is to enable FRT, it is widely implied</w:t>
      </w:r>
      <w:r w:rsidRPr="00EE36AE">
        <w:rPr>
          <w:rFonts w:ascii="Gilroy" w:hAnsi="Gilroy"/>
          <w:color w:val="000000" w:themeColor="text1"/>
          <w:sz w:val="22"/>
          <w:szCs w:val="22"/>
        </w:rPr>
        <w:t xml:space="preserve"> that the intended purpose is to enable the police to easily carry out surveillance at protests using such tools to</w:t>
      </w:r>
      <w:r w:rsidRPr="00EE36AE">
        <w:rPr>
          <w:rFonts w:ascii="Gilroy" w:hAnsi="Gilroy"/>
          <w:color w:val="000000" w:themeColor="text1"/>
          <w:sz w:val="22"/>
          <w:szCs w:val="22"/>
        </w:rPr>
        <w:t xml:space="preserve"> be able to</w:t>
      </w:r>
      <w:r w:rsidRPr="00EE36AE">
        <w:rPr>
          <w:rFonts w:ascii="Gilroy" w:hAnsi="Gilroy"/>
          <w:color w:val="000000" w:themeColor="text1"/>
          <w:sz w:val="22"/>
          <w:szCs w:val="22"/>
        </w:rPr>
        <w:t xml:space="preserve"> identify people attending protests. </w:t>
      </w:r>
    </w:p>
    <w:p w:rsidR="00EB6747" w:rsidRPr="00EE36AE" w:rsidP="00EE36AE">
      <w:pPr>
        <w:spacing w:after="0"/>
        <w:rPr>
          <w:rFonts w:ascii="Gilroy" w:hAnsi="Gilroy" w:cs="Cambria"/>
          <w:color w:val="000000" w:themeColor="text1"/>
          <w:sz w:val="22"/>
          <w:szCs w:val="22"/>
        </w:rPr>
      </w:pPr>
    </w:p>
    <w:p w:rsidR="00EB6747" w:rsidRPr="00EE36AE" w:rsidP="00EE36AE">
      <w:pPr>
        <w:spacing w:after="0"/>
        <w:rPr>
          <w:rFonts w:ascii="Gilroy" w:hAnsi="Gilroy" w:cs="Cambria"/>
          <w:sz w:val="22"/>
          <w:szCs w:val="22"/>
        </w:rPr>
      </w:pPr>
      <w:r w:rsidRPr="00EE36AE">
        <w:rPr>
          <w:rFonts w:ascii="Gilroy" w:hAnsi="Gilroy" w:cs="Cambria"/>
          <w:sz w:val="22"/>
          <w:szCs w:val="22"/>
        </w:rPr>
        <w:t>The UK Government’s apparent intention to deploy biometrics technologies to surveil protests runs contrary to growing opposition to such use, including from the European Court of Human Rights (ECtHR) and the UN.</w:t>
      </w:r>
    </w:p>
    <w:p w:rsidR="00EB6747" w:rsidRPr="00EE36AE" w:rsidP="00EE36AE">
      <w:pPr>
        <w:spacing w:after="0"/>
        <w:rPr>
          <w:rFonts w:ascii="Gilroy" w:hAnsi="Gilroy" w:cs="Cambria"/>
          <w:sz w:val="22"/>
          <w:szCs w:val="22"/>
        </w:rPr>
      </w:pPr>
    </w:p>
    <w:p w:rsidR="00EB6747" w:rsidRPr="00EE36AE" w:rsidP="00EE36AE">
      <w:pPr>
        <w:spacing w:after="0"/>
        <w:rPr>
          <w:rFonts w:ascii="Gilroy" w:hAnsi="Gilroy"/>
          <w:sz w:val="22"/>
          <w:szCs w:val="22"/>
        </w:rPr>
      </w:pPr>
      <w:r w:rsidRPr="00EE36AE">
        <w:rPr>
          <w:rFonts w:ascii="Gilroy" w:hAnsi="Gilroy" w:cs="Cambria"/>
          <w:sz w:val="22"/>
          <w:szCs w:val="22"/>
        </w:rPr>
        <w:t>In Glukhin v. Russia</w:t>
      </w:r>
      <w:r w:rsidRPr="00EE36AE">
        <w:rPr>
          <w:rFonts w:ascii="Gilroy" w:hAnsi="Gilroy" w:cs="Cambria"/>
          <w:sz w:val="22"/>
          <w:szCs w:val="22"/>
        </w:rPr>
        <w:t>,</w:t>
      </w:r>
      <w:r w:rsidRPr="00EE36AE">
        <w:rPr>
          <w:rFonts w:ascii="Gilroy" w:hAnsi="Gilroy" w:cs="Cambria"/>
          <w:sz w:val="22"/>
          <w:szCs w:val="22"/>
        </w:rPr>
        <w:t xml:space="preserve"> the E</w:t>
      </w:r>
      <w:r w:rsidRPr="00EE36AE">
        <w:rPr>
          <w:rFonts w:ascii="Gilroy" w:hAnsi="Gilroy" w:cs="Cambria"/>
          <w:sz w:val="22"/>
          <w:szCs w:val="22"/>
        </w:rPr>
        <w:t>uropean Court of Human Rights (ECtHR)</w:t>
      </w:r>
      <w:r w:rsidRPr="00EE36AE">
        <w:rPr>
          <w:rFonts w:ascii="Gilroy" w:hAnsi="Gilroy" w:cs="Cambria"/>
          <w:sz w:val="22"/>
          <w:szCs w:val="22"/>
        </w:rPr>
        <w:t xml:space="preserve"> examined the use of FRT to identify and track down a protester who held an individual demonstration in the Moscow underground, eventually leading to his arrest.</w:t>
      </w:r>
      <w:r>
        <w:rPr>
          <w:rStyle w:val="FootnoteReference"/>
          <w:rFonts w:ascii="Gilroy" w:hAnsi="Gilroy" w:cs="Cambria"/>
          <w:sz w:val="22"/>
          <w:szCs w:val="22"/>
        </w:rPr>
        <w:footnoteReference w:id="31"/>
      </w:r>
      <w:r w:rsidRPr="00EE36AE">
        <w:rPr>
          <w:rFonts w:ascii="Gilroy" w:hAnsi="Gilroy" w:cs="Cambria"/>
          <w:sz w:val="22"/>
          <w:szCs w:val="22"/>
        </w:rPr>
        <w:t xml:space="preserve"> The police took screenshots of photos and a video of the protester’s demonstration from social media, as well as collecting footage from CCTV installed in the stations of the Moscow underground, and several days later, used live FRT to locate and arrest him while he was traveling in the underground. The Court unanimously found that Russia violated Article 8 and Article 10 of the ECHR.</w:t>
      </w:r>
      <w:r>
        <w:rPr>
          <w:rStyle w:val="FootnoteReference"/>
          <w:rFonts w:ascii="Gilroy" w:hAnsi="Gilroy" w:cs="Cambria"/>
          <w:sz w:val="22"/>
          <w:szCs w:val="22"/>
        </w:rPr>
        <w:footnoteReference w:id="32"/>
      </w:r>
      <w:r w:rsidRPr="00EE36AE">
        <w:rPr>
          <w:rFonts w:ascii="Gilroy" w:hAnsi="Gilroy" w:cs="Cambria"/>
          <w:sz w:val="22"/>
          <w:szCs w:val="22"/>
        </w:rPr>
        <w:t xml:space="preserve"> </w:t>
      </w:r>
      <w:r w:rsidRPr="00EE36AE">
        <w:rPr>
          <w:rFonts w:ascii="Gilroy" w:hAnsi="Gilroy"/>
          <w:sz w:val="22"/>
          <w:szCs w:val="22"/>
        </w:rPr>
        <w:t xml:space="preserve">The Court concluded that the processing of </w:t>
      </w:r>
      <w:r w:rsidRPr="00EE36AE">
        <w:rPr>
          <w:rFonts w:ascii="Gilroy" w:hAnsi="Gilroy"/>
          <w:sz w:val="22"/>
          <w:szCs w:val="22"/>
        </w:rPr>
        <w:t xml:space="preserve">the protester’s </w:t>
      </w:r>
      <w:r w:rsidRPr="00EE36AE">
        <w:rPr>
          <w:rFonts w:ascii="Gilroy" w:hAnsi="Gilroy"/>
          <w:sz w:val="22"/>
          <w:szCs w:val="22"/>
        </w:rPr>
        <w:t xml:space="preserve">personal data in the context of his peaceful demonstration, which had not caused any danger to public order or safety, had been particularly intrusive, and therefore incompatible with the ideals and values of a democratic society governed by the rule of law. </w:t>
      </w:r>
    </w:p>
    <w:p w:rsidR="00EB6747" w:rsidRPr="00EE36AE" w:rsidP="00EE36AE">
      <w:pPr>
        <w:spacing w:after="0"/>
        <w:rPr>
          <w:rFonts w:ascii="Gilroy" w:hAnsi="Gilroy"/>
          <w:sz w:val="22"/>
          <w:szCs w:val="22"/>
        </w:rPr>
      </w:pPr>
    </w:p>
    <w:p w:rsidR="00EB6747" w:rsidRPr="00EE36AE" w:rsidP="00EE36AE">
      <w:pPr>
        <w:spacing w:after="0"/>
        <w:rPr>
          <w:rFonts w:ascii="Gilroy" w:hAnsi="Gilroy" w:cs="Cambria"/>
          <w:sz w:val="22"/>
          <w:szCs w:val="22"/>
        </w:rPr>
      </w:pPr>
      <w:r w:rsidRPr="00EE36AE">
        <w:rPr>
          <w:rFonts w:ascii="Gilroy" w:hAnsi="Gilroy" w:cs="Cambria"/>
          <w:sz w:val="22"/>
          <w:szCs w:val="22"/>
        </w:rPr>
        <w:t xml:space="preserve">The UN High Commissioner for Human rights has also stated technology-enabled surveillance has been a major factor in the shrinking of civic space and there should be a moratorium on the use of </w:t>
      </w:r>
      <w:r w:rsidRPr="00EE36AE">
        <w:rPr>
          <w:rFonts w:ascii="Gilroy" w:hAnsi="Gilroy" w:cs="Cambria"/>
          <w:sz w:val="22"/>
          <w:szCs w:val="22"/>
        </w:rPr>
        <w:t>facial recognition technology in the context of peaceful protests until States meet certain conditions including human rights due diligence before deploying it.</w:t>
      </w:r>
      <w:r>
        <w:rPr>
          <w:rStyle w:val="FootnoteReference"/>
          <w:rFonts w:ascii="Gilroy" w:hAnsi="Gilroy" w:cs="Cambria"/>
          <w:sz w:val="22"/>
          <w:szCs w:val="22"/>
        </w:rPr>
        <w:footnoteReference w:id="33"/>
      </w:r>
    </w:p>
    <w:p w:rsidR="00EB6747" w:rsidRPr="00EE36AE" w:rsidP="00EE36AE">
      <w:pPr>
        <w:spacing w:after="0"/>
        <w:rPr>
          <w:rFonts w:ascii="Gilroy" w:hAnsi="Gilroy" w:cs="Cambria"/>
          <w:sz w:val="22"/>
          <w:szCs w:val="22"/>
        </w:rPr>
      </w:pPr>
    </w:p>
    <w:p w:rsidR="00EB6747" w:rsidRPr="00EE36AE" w:rsidP="00EE36AE">
      <w:pPr>
        <w:spacing w:after="0"/>
        <w:rPr>
          <w:rFonts w:ascii="Gilroy" w:hAnsi="Gilroy"/>
          <w:sz w:val="22"/>
          <w:szCs w:val="22"/>
        </w:rPr>
      </w:pPr>
      <w:r w:rsidRPr="00EE36AE">
        <w:rPr>
          <w:rFonts w:ascii="Gilroy" w:hAnsi="Gilroy" w:cs="Cambria"/>
          <w:sz w:val="22"/>
          <w:szCs w:val="22"/>
        </w:rPr>
        <w:t xml:space="preserve">The UN Special Rapporteur on freedom of assembly and of association has </w:t>
      </w:r>
      <w:r w:rsidRPr="00EE36AE">
        <w:rPr>
          <w:rFonts w:ascii="Gilroy" w:hAnsi="Gilroy" w:cs="Cambria"/>
          <w:sz w:val="22"/>
          <w:szCs w:val="22"/>
        </w:rPr>
        <w:t xml:space="preserve">also </w:t>
      </w:r>
      <w:r w:rsidRPr="00EE36AE">
        <w:rPr>
          <w:rFonts w:ascii="Gilroy" w:hAnsi="Gilroy" w:cs="Cambria"/>
          <w:sz w:val="22"/>
          <w:szCs w:val="22"/>
        </w:rPr>
        <w:t xml:space="preserve">provided </w:t>
      </w:r>
    </w:p>
    <w:p w:rsidR="00EB6747" w:rsidRPr="00EE36AE" w:rsidP="00EE36AE">
      <w:pPr>
        <w:spacing w:after="0"/>
        <w:rPr>
          <w:rFonts w:ascii="Gilroy" w:hAnsi="Gilroy"/>
          <w:sz w:val="22"/>
          <w:szCs w:val="22"/>
        </w:rPr>
      </w:pPr>
      <w:r w:rsidRPr="00EE36AE">
        <w:rPr>
          <w:rFonts w:ascii="Gilroy" w:hAnsi="Gilroy"/>
          <w:sz w:val="22"/>
          <w:szCs w:val="22"/>
        </w:rPr>
        <w:t>that</w:t>
      </w:r>
      <w:r w:rsidRPr="00EE36AE">
        <w:rPr>
          <w:rFonts w:ascii="Gilroy" w:hAnsi="Gilroy"/>
          <w:i/>
          <w:iCs/>
          <w:sz w:val="22"/>
          <w:szCs w:val="22"/>
        </w:rPr>
        <w:t xml:space="preserve"> “surveillance against individuals exercising their rights of peaceful assembly and association can only be conducted on a targeted basis, where there is a reasonable suspicion that they are engaging in or planning to engage in serious criminal offences, and under the very strictest rules, operating on principles of necessity and proportionality and providing for close judicial supervision</w:t>
      </w:r>
      <w:r w:rsidRPr="00EE36AE">
        <w:rPr>
          <w:rFonts w:ascii="Gilroy" w:hAnsi="Gilroy"/>
          <w:sz w:val="22"/>
          <w:szCs w:val="22"/>
        </w:rPr>
        <w:t>” and hence recommended that “</w:t>
      </w:r>
      <w:r w:rsidRPr="00EE36AE">
        <w:rPr>
          <w:rFonts w:ascii="Gilroy" w:hAnsi="Gilroy"/>
          <w:i/>
          <w:iCs/>
          <w:sz w:val="22"/>
          <w:szCs w:val="22"/>
        </w:rPr>
        <w:t>indiscriminate and untargeted surveillance” both online and offline should be outlawed</w:t>
      </w:r>
      <w:r w:rsidRPr="00EE36AE">
        <w:rPr>
          <w:rFonts w:ascii="Gilroy" w:hAnsi="Gilroy"/>
          <w:sz w:val="22"/>
          <w:szCs w:val="22"/>
        </w:rPr>
        <w:t>.</w:t>
      </w:r>
      <w:r>
        <w:rPr>
          <w:rStyle w:val="FootnoteReference"/>
          <w:rFonts w:ascii="Gilroy" w:hAnsi="Gilroy"/>
          <w:sz w:val="22"/>
          <w:szCs w:val="22"/>
        </w:rPr>
        <w:footnoteReference w:id="34"/>
      </w:r>
      <w:r w:rsidRPr="00EE36AE">
        <w:rPr>
          <w:rFonts w:ascii="Gilroy" w:hAnsi="Gilroy"/>
          <w:sz w:val="22"/>
          <w:szCs w:val="22"/>
        </w:rPr>
        <w:t xml:space="preserve"> Furthermore, the UN High Commissioner for Human rights has also stated that the use of surveillance techniques for the indiscriminate and untargeted surveillance of those exercising their right to peaceful assembly and association, in both physical and digital spaces, should be prohibited.</w:t>
      </w:r>
      <w:r>
        <w:rPr>
          <w:rStyle w:val="FootnoteReference"/>
          <w:rFonts w:ascii="Gilroy" w:hAnsi="Gilroy"/>
          <w:sz w:val="22"/>
          <w:szCs w:val="22"/>
        </w:rPr>
        <w:footnoteReference w:id="35"/>
      </w:r>
    </w:p>
    <w:p w:rsidR="00EB6747" w:rsidRPr="00EE36AE" w:rsidP="00EE36AE">
      <w:pPr>
        <w:spacing w:after="0"/>
        <w:rPr>
          <w:rFonts w:ascii="Gilroy" w:hAnsi="Gilroy"/>
          <w:sz w:val="22"/>
          <w:szCs w:val="22"/>
        </w:rPr>
      </w:pPr>
    </w:p>
    <w:p w:rsidR="00EB6747" w:rsidRPr="00EE36AE" w:rsidP="00EE36AE">
      <w:pPr>
        <w:spacing w:after="0"/>
        <w:rPr>
          <w:rFonts w:ascii="Gilroy" w:hAnsi="Gilroy" w:cs="Cambria"/>
          <w:i/>
          <w:iCs/>
          <w:sz w:val="22"/>
          <w:szCs w:val="22"/>
        </w:rPr>
      </w:pPr>
      <w:r w:rsidRPr="00EE36AE">
        <w:rPr>
          <w:rFonts w:ascii="Gilroy" w:hAnsi="Gilroy"/>
          <w:i/>
          <w:iCs/>
          <w:sz w:val="22"/>
          <w:szCs w:val="22"/>
        </w:rPr>
        <w:t>13) What data on the policing of protest should be collected and made public (for example use of specific powers, arrests, use of individual data, equality impacts) to enable effective scrutiny?</w:t>
      </w:r>
      <w:r w:rsidRPr="00EE36AE">
        <w:rPr>
          <w:rFonts w:ascii="Cambria" w:hAnsi="Cambria" w:cs="Cambria"/>
          <w:i/>
          <w:iCs/>
          <w:sz w:val="22"/>
          <w:szCs w:val="22"/>
        </w:rPr>
        <w:t> </w:t>
      </w:r>
    </w:p>
    <w:p w:rsidR="00EB6747" w:rsidRPr="00EE36AE" w:rsidP="00EE36AE">
      <w:pPr>
        <w:spacing w:after="0"/>
        <w:rPr>
          <w:rFonts w:ascii="Gilroy" w:hAnsi="Gilroy" w:cs="Cambria"/>
          <w:sz w:val="22"/>
          <w:szCs w:val="22"/>
        </w:rPr>
      </w:pPr>
    </w:p>
    <w:p w:rsidR="00EB6747" w:rsidRPr="00EE36AE" w:rsidP="00EE36AE">
      <w:pPr>
        <w:spacing w:after="0"/>
        <w:rPr>
          <w:rFonts w:ascii="Gilroy" w:hAnsi="Gilroy" w:cs="Cambria"/>
          <w:sz w:val="22"/>
          <w:szCs w:val="22"/>
        </w:rPr>
      </w:pPr>
      <w:r w:rsidRPr="00EE36AE">
        <w:rPr>
          <w:rFonts w:ascii="Gilroy" w:hAnsi="Gilroy" w:cs="Cambria"/>
          <w:sz w:val="22"/>
          <w:szCs w:val="22"/>
        </w:rPr>
        <w:t>There is a clear lack of</w:t>
      </w:r>
      <w:r w:rsidRPr="00EE36AE">
        <w:rPr>
          <w:rFonts w:ascii="Gilroy" w:hAnsi="Gilroy" w:cs="Cambria"/>
          <w:sz w:val="22"/>
          <w:szCs w:val="22"/>
        </w:rPr>
        <w:t xml:space="preserve"> </w:t>
      </w:r>
      <w:r w:rsidRPr="00EE36AE">
        <w:rPr>
          <w:rFonts w:ascii="Gilroy" w:hAnsi="Gilroy" w:cs="Cambria"/>
          <w:sz w:val="22"/>
          <w:szCs w:val="22"/>
        </w:rPr>
        <w:t xml:space="preserve">transparency </w:t>
      </w:r>
      <w:r w:rsidRPr="00EE36AE">
        <w:rPr>
          <w:rFonts w:ascii="Gilroy" w:hAnsi="Gilroy" w:cs="Cambria"/>
          <w:sz w:val="22"/>
          <w:szCs w:val="22"/>
        </w:rPr>
        <w:t>regarding</w:t>
      </w:r>
      <w:r w:rsidRPr="00EE36AE">
        <w:rPr>
          <w:rFonts w:ascii="Gilroy" w:hAnsi="Gilroy" w:cs="Cambria"/>
          <w:sz w:val="22"/>
          <w:szCs w:val="22"/>
        </w:rPr>
        <w:t xml:space="preserve"> the range of surveillance technologies </w:t>
      </w:r>
      <w:r w:rsidRPr="00EE36AE">
        <w:rPr>
          <w:rFonts w:ascii="Gilroy" w:hAnsi="Gilroy" w:cs="Cambria"/>
          <w:sz w:val="22"/>
          <w:szCs w:val="22"/>
        </w:rPr>
        <w:t>deployed by</w:t>
      </w:r>
      <w:r w:rsidRPr="00EE36AE">
        <w:rPr>
          <w:rFonts w:ascii="Gilroy" w:hAnsi="Gilroy" w:cs="Cambria"/>
          <w:sz w:val="22"/>
          <w:szCs w:val="22"/>
        </w:rPr>
        <w:t xml:space="preserve"> UK police</w:t>
      </w:r>
      <w:r w:rsidRPr="00EE36AE">
        <w:rPr>
          <w:rFonts w:ascii="Gilroy" w:hAnsi="Gilroy" w:cs="Cambria"/>
          <w:sz w:val="22"/>
          <w:szCs w:val="22"/>
        </w:rPr>
        <w:t xml:space="preserve"> </w:t>
      </w:r>
      <w:r w:rsidRPr="00EE36AE">
        <w:rPr>
          <w:rFonts w:ascii="Gilroy" w:hAnsi="Gilroy" w:cs="Cambria"/>
          <w:sz w:val="22"/>
          <w:szCs w:val="22"/>
        </w:rPr>
        <w:t>for the surveillance of protestors</w:t>
      </w:r>
      <w:r w:rsidRPr="00EE36AE">
        <w:rPr>
          <w:rFonts w:ascii="Gilroy" w:hAnsi="Gilroy" w:cs="Cambria"/>
          <w:sz w:val="22"/>
          <w:szCs w:val="22"/>
        </w:rPr>
        <w:t xml:space="preserve"> </w:t>
      </w:r>
      <w:r w:rsidRPr="00EE36AE">
        <w:rPr>
          <w:rFonts w:ascii="Gilroy" w:hAnsi="Gilroy" w:cs="Cambria"/>
          <w:sz w:val="22"/>
          <w:szCs w:val="22"/>
        </w:rPr>
        <w:t>made public by the government and police</w:t>
      </w:r>
      <w:r w:rsidRPr="00EE36AE">
        <w:rPr>
          <w:rFonts w:ascii="Gilroy" w:hAnsi="Gilroy" w:cs="Cambria"/>
          <w:sz w:val="22"/>
          <w:szCs w:val="22"/>
        </w:rPr>
        <w:t>.</w:t>
      </w:r>
      <w:r w:rsidRPr="00EE36AE">
        <w:rPr>
          <w:rFonts w:ascii="Gilroy" w:hAnsi="Gilroy" w:cs="Cambria"/>
          <w:sz w:val="22"/>
          <w:szCs w:val="22"/>
        </w:rPr>
        <w:t xml:space="preserve"> Instead, this information is gleaned</w:t>
      </w:r>
      <w:r w:rsidRPr="00EE36AE">
        <w:rPr>
          <w:rFonts w:ascii="Gilroy" w:hAnsi="Gilroy" w:cs="Cambria"/>
          <w:sz w:val="22"/>
          <w:szCs w:val="22"/>
        </w:rPr>
        <w:t xml:space="preserve"> for the most part</w:t>
      </w:r>
      <w:r w:rsidRPr="00EE36AE">
        <w:rPr>
          <w:rFonts w:ascii="Gilroy" w:hAnsi="Gilroy" w:cs="Cambria"/>
          <w:sz w:val="22"/>
          <w:szCs w:val="22"/>
        </w:rPr>
        <w:t xml:space="preserve"> from </w:t>
      </w:r>
      <w:r w:rsidRPr="00EE36AE">
        <w:rPr>
          <w:rFonts w:ascii="Gilroy" w:hAnsi="Gilroy" w:cs="Cambria"/>
          <w:sz w:val="22"/>
          <w:szCs w:val="22"/>
        </w:rPr>
        <w:t xml:space="preserve">research and investigation by civil society and journalists into </w:t>
      </w:r>
      <w:r w:rsidRPr="00EE36AE">
        <w:rPr>
          <w:rFonts w:ascii="Gilroy" w:hAnsi="Gilroy" w:cs="Cambria"/>
          <w:sz w:val="22"/>
          <w:szCs w:val="22"/>
        </w:rPr>
        <w:t>government contracts and other means.</w:t>
      </w:r>
      <w:r w:rsidRPr="00EE36AE">
        <w:rPr>
          <w:rFonts w:ascii="Gilroy" w:hAnsi="Gilroy" w:cs="Cambria"/>
          <w:sz w:val="22"/>
          <w:szCs w:val="22"/>
        </w:rPr>
        <w:t xml:space="preserve"> And those investigations are often stymied by persistent government resistance.</w:t>
      </w:r>
    </w:p>
    <w:p w:rsidR="00EB6747" w:rsidRPr="00EE36AE" w:rsidP="00EE36AE">
      <w:pPr>
        <w:spacing w:after="0"/>
        <w:rPr>
          <w:rFonts w:ascii="Gilroy" w:hAnsi="Gilroy" w:cs="Cambria"/>
          <w:sz w:val="22"/>
          <w:szCs w:val="22"/>
        </w:rPr>
      </w:pPr>
    </w:p>
    <w:p w:rsidR="00EB6747" w:rsidRPr="00EE36AE" w:rsidP="00EE36AE">
      <w:pPr>
        <w:spacing w:after="0"/>
        <w:rPr>
          <w:rFonts w:ascii="Gilroy" w:hAnsi="Gilroy" w:cs="Cambria"/>
          <w:sz w:val="22"/>
          <w:szCs w:val="22"/>
        </w:rPr>
      </w:pPr>
      <w:r w:rsidRPr="00EE36AE">
        <w:rPr>
          <w:rFonts w:ascii="Gilroy" w:hAnsi="Gilroy"/>
          <w:sz w:val="22"/>
          <w:szCs w:val="22"/>
        </w:rPr>
        <w:t>While we acknowledge that the Met have begun to record the deployments of FRT</w:t>
      </w:r>
      <w:r>
        <w:rPr>
          <w:rStyle w:val="FootnoteReference"/>
          <w:rFonts w:ascii="Gilroy" w:hAnsi="Gilroy"/>
          <w:sz w:val="22"/>
          <w:szCs w:val="22"/>
        </w:rPr>
        <w:footnoteReference w:id="36"/>
      </w:r>
      <w:r w:rsidRPr="00EE36AE">
        <w:rPr>
          <w:rFonts w:ascii="Gilroy" w:hAnsi="Gilroy"/>
          <w:sz w:val="22"/>
          <w:szCs w:val="22"/>
        </w:rPr>
        <w:t>, no such records appear to be made public for the use of other surveillance technologies.</w:t>
      </w:r>
    </w:p>
    <w:p w:rsidR="00EB6747" w:rsidP="00EE36AE">
      <w:pPr>
        <w:spacing w:after="0"/>
        <w:rPr>
          <w:rFonts w:ascii="Gilroy" w:hAnsi="Gilroy"/>
          <w:sz w:val="22"/>
          <w:szCs w:val="22"/>
        </w:rPr>
      </w:pPr>
      <w:r w:rsidRPr="00EE36AE">
        <w:rPr>
          <w:rFonts w:ascii="Gilroy" w:hAnsi="Gilroy"/>
          <w:sz w:val="22"/>
          <w:szCs w:val="22"/>
        </w:rPr>
        <w:t>For example, PI</w:t>
      </w:r>
      <w:r w:rsidRPr="00EE36AE">
        <w:rPr>
          <w:rFonts w:ascii="Gilroy" w:hAnsi="Gilroy"/>
          <w:sz w:val="22"/>
          <w:szCs w:val="22"/>
        </w:rPr>
        <w:t xml:space="preserve">’s </w:t>
      </w:r>
      <w:r w:rsidRPr="00EE36AE">
        <w:rPr>
          <w:rFonts w:ascii="Gilroy" w:hAnsi="Gilroy"/>
          <w:sz w:val="22"/>
          <w:szCs w:val="22"/>
        </w:rPr>
        <w:t>previous attempts to gain information regarding the UK authorities</w:t>
      </w:r>
      <w:r w:rsidRPr="00EE36AE">
        <w:rPr>
          <w:rFonts w:ascii="Gilroy" w:hAnsi="Gilroy"/>
          <w:sz w:val="22"/>
          <w:szCs w:val="22"/>
        </w:rPr>
        <w:t>’</w:t>
      </w:r>
      <w:r w:rsidRPr="00EE36AE">
        <w:rPr>
          <w:rFonts w:ascii="Gilroy" w:hAnsi="Gilroy"/>
          <w:sz w:val="22"/>
          <w:szCs w:val="22"/>
        </w:rPr>
        <w:t xml:space="preserve"> use of IMSI catchers </w:t>
      </w:r>
      <w:r w:rsidRPr="00EE36AE">
        <w:rPr>
          <w:rFonts w:ascii="Gilroy" w:hAnsi="Gilroy"/>
          <w:sz w:val="22"/>
          <w:szCs w:val="22"/>
        </w:rPr>
        <w:t>were</w:t>
      </w:r>
      <w:r w:rsidRPr="00EE36AE">
        <w:rPr>
          <w:rFonts w:ascii="Gilroy" w:hAnsi="Gilroy"/>
          <w:sz w:val="22"/>
          <w:szCs w:val="22"/>
        </w:rPr>
        <w:t xml:space="preserve"> shut down.</w:t>
      </w:r>
      <w:r>
        <w:rPr>
          <w:rStyle w:val="FootnoteReference"/>
          <w:rFonts w:ascii="Gilroy" w:hAnsi="Gilroy"/>
          <w:sz w:val="22"/>
          <w:szCs w:val="22"/>
        </w:rPr>
        <w:footnoteReference w:id="37"/>
      </w:r>
      <w:r w:rsidRPr="00EE36AE">
        <w:rPr>
          <w:rFonts w:ascii="Gilroy" w:hAnsi="Gilroy"/>
          <w:sz w:val="22"/>
          <w:szCs w:val="22"/>
        </w:rPr>
        <w:t xml:space="preserve"> PI first submitted freedom of information requests in 2016 to the Police and Crime Commissioner for Warwickshire and the Commissioner of Police the Metropolitan Police through which no information was provided. PI then brought two appeals before the Information Rights Tribunal against the UK Information Commissioner (IC) as it upheld the police forces’ decision to withhold information in relation to the use of IMSI catchers. We also sent letters to the National Police Chief's Council (NPCC), the Mayor of L</w:t>
      </w:r>
      <w:r w:rsidRPr="00EE36AE">
        <w:rPr>
          <w:rFonts w:ascii="Gilroy" w:hAnsi="Gilroy"/>
          <w:sz w:val="22"/>
          <w:szCs w:val="22"/>
        </w:rPr>
        <w:t xml:space="preserve">ondon Office for Policing and Crime (MOPAC), and the </w:t>
      </w:r>
      <w:r w:rsidRPr="00EE36AE">
        <w:rPr>
          <w:rFonts w:ascii="Gilroy" w:hAnsi="Gilroy"/>
          <w:sz w:val="22"/>
          <w:szCs w:val="22"/>
        </w:rPr>
        <w:t>Investigatory Powers Commissioner's Office (IPCO). However, all of these were met with</w:t>
      </w:r>
      <w:r w:rsidRPr="00EE36AE">
        <w:rPr>
          <w:rFonts w:ascii="Gilroy" w:hAnsi="Gilroy"/>
          <w:sz w:val="22"/>
          <w:szCs w:val="22"/>
        </w:rPr>
        <w:t xml:space="preserve"> the response that the offices</w:t>
      </w:r>
      <w:r w:rsidRPr="00EE36AE">
        <w:rPr>
          <w:rFonts w:ascii="Gilroy" w:hAnsi="Gilroy"/>
          <w:sz w:val="22"/>
          <w:szCs w:val="22"/>
        </w:rPr>
        <w:t xml:space="preserve"> </w:t>
      </w:r>
      <w:r w:rsidRPr="00EE36AE">
        <w:rPr>
          <w:rFonts w:ascii="Gilroy" w:hAnsi="Gilroy"/>
          <w:sz w:val="22"/>
          <w:szCs w:val="22"/>
        </w:rPr>
        <w:t>could</w:t>
      </w:r>
      <w:r w:rsidRPr="00EE36AE">
        <w:rPr>
          <w:rFonts w:ascii="Gilroy" w:hAnsi="Gilroy"/>
          <w:sz w:val="22"/>
          <w:szCs w:val="22"/>
        </w:rPr>
        <w:t xml:space="preserve"> neither confirm nor deny law enforcement </w:t>
      </w:r>
      <w:r w:rsidRPr="00EE36AE">
        <w:rPr>
          <w:rFonts w:ascii="Gilroy" w:hAnsi="Gilroy"/>
          <w:sz w:val="22"/>
          <w:szCs w:val="22"/>
        </w:rPr>
        <w:t>use of IMSI catchers</w:t>
      </w:r>
      <w:r w:rsidRPr="00EE36AE">
        <w:rPr>
          <w:rFonts w:ascii="Gilroy" w:hAnsi="Gilroy"/>
          <w:sz w:val="22"/>
          <w:szCs w:val="22"/>
        </w:rPr>
        <w:t xml:space="preserve">. </w:t>
      </w:r>
    </w:p>
    <w:p w:rsidR="00EB6747" w:rsidRPr="00EE36AE" w:rsidP="00EE36AE">
      <w:pPr>
        <w:spacing w:after="0"/>
        <w:rPr>
          <w:rFonts w:ascii="Gilroy" w:hAnsi="Gilroy"/>
          <w:sz w:val="22"/>
          <w:szCs w:val="22"/>
        </w:rPr>
      </w:pPr>
    </w:p>
    <w:p w:rsidR="00EB6747" w:rsidRPr="00EE36AE" w:rsidP="00EE36AE">
      <w:pPr>
        <w:spacing w:after="0"/>
        <w:rPr>
          <w:rFonts w:ascii="Gilroy" w:hAnsi="Gilroy"/>
          <w:sz w:val="22"/>
          <w:szCs w:val="22"/>
        </w:rPr>
      </w:pPr>
      <w:r w:rsidRPr="00EE36AE">
        <w:rPr>
          <w:rFonts w:ascii="Gilroy" w:hAnsi="Gilroy"/>
          <w:sz w:val="22"/>
          <w:szCs w:val="22"/>
        </w:rPr>
        <w:t xml:space="preserve">PI recommends that </w:t>
      </w:r>
      <w:r w:rsidRPr="00EE36AE">
        <w:rPr>
          <w:rFonts w:ascii="Gilroy" w:hAnsi="Gilroy"/>
          <w:sz w:val="22"/>
          <w:szCs w:val="22"/>
        </w:rPr>
        <w:t xml:space="preserve">the Government and the police </w:t>
      </w:r>
      <w:r w:rsidRPr="00EE36AE">
        <w:rPr>
          <w:rFonts w:ascii="Gilroy" w:hAnsi="Gilroy"/>
          <w:sz w:val="22"/>
          <w:szCs w:val="22"/>
        </w:rPr>
        <w:t>should make public the types of surveillance technologies deploy</w:t>
      </w:r>
      <w:r w:rsidRPr="00EE36AE">
        <w:rPr>
          <w:rFonts w:ascii="Gilroy" w:hAnsi="Gilroy"/>
          <w:sz w:val="22"/>
          <w:szCs w:val="22"/>
        </w:rPr>
        <w:t>ed</w:t>
      </w:r>
      <w:r w:rsidRPr="00EE36AE">
        <w:rPr>
          <w:rFonts w:ascii="Gilroy" w:hAnsi="Gilroy"/>
          <w:sz w:val="22"/>
          <w:szCs w:val="22"/>
        </w:rPr>
        <w:t xml:space="preserve"> for the surveillance of protestors, accompanied by equality and human rights impact assessments that clearly demonstrate that their deployment complies with the </w:t>
      </w:r>
      <w:r w:rsidRPr="00EE36AE">
        <w:rPr>
          <w:rFonts w:ascii="Gilroy" w:hAnsi="Gilroy"/>
          <w:sz w:val="22"/>
          <w:szCs w:val="22"/>
        </w:rPr>
        <w:t xml:space="preserve">human rights </w:t>
      </w:r>
      <w:r w:rsidRPr="00EE36AE">
        <w:rPr>
          <w:rFonts w:ascii="Gilroy" w:hAnsi="Gilroy"/>
          <w:sz w:val="22"/>
          <w:szCs w:val="22"/>
        </w:rPr>
        <w:t>and equality l</w:t>
      </w:r>
      <w:r w:rsidRPr="00EE36AE">
        <w:rPr>
          <w:rFonts w:ascii="Gilroy" w:hAnsi="Gilroy"/>
          <w:sz w:val="22"/>
          <w:szCs w:val="22"/>
        </w:rPr>
        <w:t>aws</w:t>
      </w:r>
      <w:r w:rsidRPr="00EE36AE">
        <w:rPr>
          <w:rFonts w:ascii="Gilroy" w:hAnsi="Gilroy"/>
          <w:sz w:val="22"/>
          <w:szCs w:val="22"/>
        </w:rPr>
        <w:t>. If the deployment of a technology for the surveillance of</w:t>
      </w:r>
      <w:r w:rsidRPr="00EE36AE">
        <w:rPr>
          <w:rFonts w:ascii="Gilroy" w:hAnsi="Gilroy"/>
          <w:sz w:val="22"/>
          <w:szCs w:val="22"/>
        </w:rPr>
        <w:t xml:space="preserve"> </w:t>
      </w:r>
      <w:r w:rsidRPr="00EE36AE">
        <w:rPr>
          <w:rFonts w:ascii="Gilroy" w:hAnsi="Gilroy"/>
          <w:sz w:val="22"/>
          <w:szCs w:val="22"/>
        </w:rPr>
        <w:t>protest</w:t>
      </w:r>
      <w:r w:rsidRPr="00EE36AE">
        <w:rPr>
          <w:rFonts w:ascii="Gilroy" w:hAnsi="Gilroy"/>
          <w:sz w:val="22"/>
          <w:szCs w:val="22"/>
        </w:rPr>
        <w:t xml:space="preserve">ors </w:t>
      </w:r>
      <w:r w:rsidRPr="00EE36AE">
        <w:rPr>
          <w:rFonts w:ascii="Gilroy" w:hAnsi="Gilroy"/>
          <w:sz w:val="22"/>
          <w:szCs w:val="22"/>
        </w:rPr>
        <w:t>meets the</w:t>
      </w:r>
      <w:r w:rsidRPr="00EE36AE">
        <w:rPr>
          <w:rFonts w:ascii="Gilroy" w:hAnsi="Gilroy"/>
          <w:sz w:val="22"/>
          <w:szCs w:val="22"/>
        </w:rPr>
        <w:t>se</w:t>
      </w:r>
      <w:r w:rsidRPr="00EE36AE">
        <w:rPr>
          <w:rFonts w:ascii="Gilroy" w:hAnsi="Gilroy"/>
          <w:sz w:val="22"/>
          <w:szCs w:val="22"/>
        </w:rPr>
        <w:t xml:space="preserve"> requirements</w:t>
      </w:r>
      <w:r w:rsidRPr="00EE36AE">
        <w:rPr>
          <w:rFonts w:ascii="Gilroy" w:hAnsi="Gilroy"/>
          <w:sz w:val="22"/>
          <w:szCs w:val="22"/>
        </w:rPr>
        <w:t>,</w:t>
      </w:r>
      <w:r w:rsidRPr="00EE36AE">
        <w:rPr>
          <w:rFonts w:ascii="Gilroy" w:hAnsi="Gilroy"/>
          <w:sz w:val="22"/>
          <w:szCs w:val="22"/>
        </w:rPr>
        <w:t xml:space="preserve"> there should be a clear record of the legal basis for its deployment</w:t>
      </w:r>
      <w:r w:rsidRPr="00EE36AE">
        <w:rPr>
          <w:rFonts w:ascii="Gilroy" w:hAnsi="Gilroy"/>
          <w:sz w:val="22"/>
          <w:szCs w:val="22"/>
        </w:rPr>
        <w:t>,</w:t>
      </w:r>
      <w:r w:rsidRPr="00EE36AE">
        <w:rPr>
          <w:rFonts w:ascii="Gilroy" w:hAnsi="Gilroy"/>
          <w:sz w:val="22"/>
          <w:szCs w:val="22"/>
        </w:rPr>
        <w:t xml:space="preserve"> a</w:t>
      </w:r>
      <w:r w:rsidRPr="00EE36AE">
        <w:rPr>
          <w:rFonts w:ascii="Gilroy" w:hAnsi="Gilroy"/>
          <w:sz w:val="22"/>
          <w:szCs w:val="22"/>
        </w:rPr>
        <w:t>s well as</w:t>
      </w:r>
      <w:r w:rsidRPr="00EE36AE">
        <w:rPr>
          <w:rFonts w:ascii="Gilroy" w:hAnsi="Gilroy"/>
          <w:sz w:val="22"/>
          <w:szCs w:val="22"/>
        </w:rPr>
        <w:t xml:space="preserve"> other details such as </w:t>
      </w:r>
      <w:r w:rsidRPr="00EE36AE">
        <w:rPr>
          <w:rFonts w:ascii="Gilroy" w:hAnsi="Gilroy"/>
          <w:sz w:val="22"/>
          <w:szCs w:val="22"/>
        </w:rPr>
        <w:t>when and where the technology</w:t>
      </w:r>
      <w:r w:rsidRPr="00EE36AE">
        <w:rPr>
          <w:rFonts w:ascii="Gilroy" w:hAnsi="Gilroy"/>
          <w:sz w:val="22"/>
          <w:szCs w:val="22"/>
        </w:rPr>
        <w:t xml:space="preserve"> was</w:t>
      </w:r>
      <w:r w:rsidRPr="00EE36AE">
        <w:rPr>
          <w:rFonts w:ascii="Gilroy" w:hAnsi="Gilroy"/>
          <w:sz w:val="22"/>
          <w:szCs w:val="22"/>
        </w:rPr>
        <w:t xml:space="preserve"> used, for how long for,</w:t>
      </w:r>
      <w:r w:rsidRPr="00EE36AE">
        <w:rPr>
          <w:rFonts w:ascii="Gilroy" w:hAnsi="Gilroy"/>
          <w:sz w:val="22"/>
          <w:szCs w:val="22"/>
        </w:rPr>
        <w:t xml:space="preserve"> and information regarding the collection, storage, </w:t>
      </w:r>
      <w:r w:rsidRPr="00EE36AE">
        <w:rPr>
          <w:rFonts w:ascii="Gilroy" w:hAnsi="Gilroy"/>
          <w:sz w:val="22"/>
          <w:szCs w:val="22"/>
        </w:rPr>
        <w:t xml:space="preserve">retention </w:t>
      </w:r>
      <w:r w:rsidRPr="00EE36AE">
        <w:rPr>
          <w:rFonts w:ascii="Gilroy" w:hAnsi="Gilroy"/>
          <w:sz w:val="22"/>
          <w:szCs w:val="22"/>
        </w:rPr>
        <w:t xml:space="preserve">and deletion of the data collected by the tech. </w:t>
      </w:r>
    </w:p>
    <w:p w:rsidR="00EB6747" w:rsidRPr="00EE36AE" w:rsidP="00EE36AE">
      <w:pPr>
        <w:spacing w:after="0"/>
        <w:rPr>
          <w:rFonts w:ascii="Gilroy" w:hAnsi="Gilroy"/>
          <w:b/>
          <w:bCs/>
          <w:sz w:val="22"/>
          <w:szCs w:val="22"/>
        </w:rPr>
      </w:pPr>
    </w:p>
    <w:p w:rsidR="00EB6747" w:rsidRPr="00EE36AE" w:rsidP="00EE36AE">
      <w:pPr>
        <w:spacing w:after="0"/>
        <w:rPr>
          <w:rFonts w:ascii="Gilroy" w:hAnsi="Gilroy"/>
          <w:b/>
          <w:bCs/>
          <w:sz w:val="22"/>
          <w:szCs w:val="22"/>
        </w:rPr>
      </w:pPr>
      <w:r w:rsidRPr="00EE36AE">
        <w:rPr>
          <w:rFonts w:ascii="Gilroy" w:hAnsi="Gilroy"/>
          <w:b/>
          <w:bCs/>
          <w:sz w:val="22"/>
          <w:szCs w:val="22"/>
        </w:rPr>
        <w:t>Conclusion</w:t>
      </w:r>
    </w:p>
    <w:p w:rsidR="00EB6747" w:rsidRPr="00EE36AE" w:rsidP="00EE36AE">
      <w:pPr>
        <w:spacing w:after="0"/>
        <w:rPr>
          <w:rFonts w:ascii="Gilroy" w:hAnsi="Gilroy"/>
          <w:sz w:val="22"/>
          <w:szCs w:val="22"/>
        </w:rPr>
      </w:pPr>
    </w:p>
    <w:p w:rsidR="00EB6747" w:rsidRPr="00EE36AE" w:rsidP="00EE36AE">
      <w:pPr>
        <w:spacing w:after="0"/>
        <w:rPr>
          <w:rFonts w:ascii="Gilroy" w:hAnsi="Gilroy"/>
          <w:sz w:val="22"/>
          <w:szCs w:val="22"/>
        </w:rPr>
      </w:pPr>
      <w:r w:rsidRPr="00EE36AE">
        <w:rPr>
          <w:rStyle w:val="hgkelc"/>
          <w:rFonts w:ascii="Gilroy" w:hAnsi="Gilroy" w:eastAsiaTheme="majorEastAsia"/>
          <w:sz w:val="22"/>
          <w:szCs w:val="22"/>
        </w:rPr>
        <w:t xml:space="preserve">PI maintains that people should be able to attend peaceful protests without the police using sophisticated surveillance tools to monitor, track and identify protestors indiscriminately. </w:t>
      </w:r>
      <w:r w:rsidRPr="00EE36AE">
        <w:rPr>
          <w:rFonts w:ascii="Gilroy" w:hAnsi="Gilroy"/>
          <w:sz w:val="22"/>
          <w:szCs w:val="22"/>
        </w:rPr>
        <w:t>The right to protest is a fundamental right, and if people attending protests face risks of surveillance</w:t>
      </w:r>
      <w:r w:rsidRPr="00EE36AE">
        <w:rPr>
          <w:rFonts w:ascii="Gilroy" w:hAnsi="Gilroy"/>
          <w:sz w:val="22"/>
          <w:szCs w:val="22"/>
        </w:rPr>
        <w:t xml:space="preserve"> </w:t>
      </w:r>
      <w:r w:rsidRPr="00EE36AE">
        <w:rPr>
          <w:rFonts w:ascii="Gilroy" w:hAnsi="Gilroy"/>
          <w:sz w:val="22"/>
          <w:szCs w:val="22"/>
        </w:rPr>
        <w:t xml:space="preserve">without effective safeguards, </w:t>
      </w:r>
      <w:r w:rsidRPr="00EE36AE">
        <w:rPr>
          <w:rFonts w:ascii="Gilroy" w:hAnsi="Gilroy"/>
          <w:sz w:val="22"/>
          <w:szCs w:val="22"/>
        </w:rPr>
        <w:t>the</w:t>
      </w:r>
      <w:r w:rsidRPr="00EE36AE">
        <w:rPr>
          <w:rFonts w:ascii="Gilroy" w:hAnsi="Gilroy"/>
          <w:sz w:val="22"/>
          <w:szCs w:val="22"/>
        </w:rPr>
        <w:t>n the</w:t>
      </w:r>
      <w:r w:rsidRPr="00EE36AE">
        <w:rPr>
          <w:rFonts w:ascii="Gilroy" w:hAnsi="Gilroy"/>
          <w:sz w:val="22"/>
          <w:szCs w:val="22"/>
        </w:rPr>
        <w:t xml:space="preserve"> use of these</w:t>
      </w:r>
      <w:r w:rsidRPr="00EE36AE">
        <w:rPr>
          <w:rFonts w:ascii="Gilroy" w:hAnsi="Gilroy"/>
          <w:sz w:val="22"/>
          <w:szCs w:val="22"/>
        </w:rPr>
        <w:t xml:space="preserve"> digital technologies can violate their human rights.</w:t>
      </w:r>
    </w:p>
    <w:p w:rsidR="00EB6747" w:rsidRPr="00EE36AE" w:rsidP="00EE36AE">
      <w:pPr>
        <w:spacing w:after="0"/>
        <w:rPr>
          <w:rFonts w:ascii="Gilroy" w:hAnsi="Gilroy"/>
          <w:sz w:val="22"/>
          <w:szCs w:val="22"/>
        </w:rPr>
      </w:pPr>
    </w:p>
    <w:p w:rsidR="00EB6747" w:rsidRPr="00EE36AE" w:rsidP="00EE36AE">
      <w:pPr>
        <w:spacing w:after="0"/>
        <w:rPr>
          <w:rFonts w:ascii="Gilroy" w:hAnsi="Gilroy"/>
          <w:sz w:val="22"/>
          <w:szCs w:val="22"/>
        </w:rPr>
      </w:pPr>
      <w:r w:rsidRPr="00EE36AE">
        <w:rPr>
          <w:rFonts w:ascii="Gilroy" w:hAnsi="Gilroy"/>
          <w:sz w:val="22"/>
          <w:szCs w:val="22"/>
        </w:rPr>
        <w:t xml:space="preserve">PI </w:t>
      </w:r>
      <w:r w:rsidRPr="00EE36AE">
        <w:rPr>
          <w:rFonts w:ascii="Gilroy" w:hAnsi="Gilroy"/>
          <w:sz w:val="22"/>
          <w:szCs w:val="22"/>
        </w:rPr>
        <w:t>recommends</w:t>
      </w:r>
      <w:r w:rsidRPr="00EE36AE">
        <w:rPr>
          <w:rFonts w:ascii="Gilroy" w:hAnsi="Gilroy"/>
          <w:sz w:val="22"/>
          <w:szCs w:val="22"/>
        </w:rPr>
        <w:t xml:space="preserve"> that i</w:t>
      </w:r>
      <w:r w:rsidRPr="00EE36AE">
        <w:rPr>
          <w:rFonts w:ascii="Gilroy" w:hAnsi="Gilroy"/>
          <w:sz w:val="22"/>
          <w:szCs w:val="22"/>
        </w:rPr>
        <w:t xml:space="preserve">f any use of digital surveillance during protests for targeted purposes is to be considered, this should only be in extremely limited circumstances and should only be used in a manner that complies with international and national human rights law, as well as other relevant legislation and standards. This includes being subject to the overarching </w:t>
      </w:r>
      <w:r w:rsidRPr="00EE36AE">
        <w:rPr>
          <w:rFonts w:ascii="Gilroy" w:hAnsi="Gilroy"/>
          <w:sz w:val="22"/>
          <w:szCs w:val="22"/>
        </w:rPr>
        <w:t xml:space="preserve">human rights </w:t>
      </w:r>
      <w:r w:rsidRPr="00EE36AE">
        <w:rPr>
          <w:rFonts w:ascii="Gilroy" w:hAnsi="Gilroy"/>
          <w:sz w:val="22"/>
          <w:szCs w:val="22"/>
        </w:rPr>
        <w:t>principles of legality, necessity and proportionality</w:t>
      </w:r>
      <w:r w:rsidRPr="00EE36AE">
        <w:rPr>
          <w:rFonts w:ascii="Gilroy" w:hAnsi="Gilroy"/>
          <w:sz w:val="22"/>
          <w:szCs w:val="22"/>
        </w:rPr>
        <w:t xml:space="preserve">. </w:t>
      </w:r>
      <w:r w:rsidRPr="00EE36AE">
        <w:rPr>
          <w:rFonts w:ascii="Gilroy" w:hAnsi="Gilroy"/>
          <w:sz w:val="22"/>
          <w:szCs w:val="22"/>
        </w:rPr>
        <w:t xml:space="preserve">Restrictions and safeguards </w:t>
      </w:r>
      <w:r w:rsidRPr="00EE36AE">
        <w:rPr>
          <w:rFonts w:ascii="Gilroy" w:hAnsi="Gilroy"/>
          <w:sz w:val="22"/>
          <w:szCs w:val="22"/>
        </w:rPr>
        <w:t>for the</w:t>
      </w:r>
      <w:r w:rsidRPr="00EE36AE">
        <w:rPr>
          <w:rFonts w:ascii="Gilroy" w:hAnsi="Gilroy"/>
          <w:sz w:val="22"/>
          <w:szCs w:val="22"/>
        </w:rPr>
        <w:t xml:space="preserve"> use </w:t>
      </w:r>
      <w:r w:rsidRPr="00EE36AE">
        <w:rPr>
          <w:rFonts w:ascii="Gilroy" w:hAnsi="Gilroy"/>
          <w:sz w:val="22"/>
          <w:szCs w:val="22"/>
        </w:rPr>
        <w:t xml:space="preserve">of surveillance technologies </w:t>
      </w:r>
      <w:r w:rsidRPr="00EE36AE">
        <w:rPr>
          <w:rFonts w:ascii="Gilroy" w:hAnsi="Gilroy"/>
          <w:sz w:val="22"/>
          <w:szCs w:val="22"/>
        </w:rPr>
        <w:t xml:space="preserve">must be clearly defined in </w:t>
      </w:r>
      <w:r w:rsidRPr="00EE36AE">
        <w:rPr>
          <w:rFonts w:ascii="Gilroy" w:hAnsi="Gilroy"/>
          <w:sz w:val="22"/>
          <w:szCs w:val="22"/>
        </w:rPr>
        <w:t xml:space="preserve">primary legislation before any technology is deployed to prevent abuse. </w:t>
      </w:r>
      <w:r w:rsidRPr="00EE36AE">
        <w:rPr>
          <w:rFonts w:ascii="Gilroy" w:hAnsi="Gilroy"/>
          <w:sz w:val="22"/>
          <w:szCs w:val="22"/>
        </w:rPr>
        <w:t>Any such legislation should also consider</w:t>
      </w:r>
      <w:r w:rsidRPr="00EE36AE">
        <w:rPr>
          <w:rFonts w:ascii="Gilroy" w:hAnsi="Gilroy"/>
          <w:sz w:val="22"/>
          <w:szCs w:val="22"/>
        </w:rPr>
        <w:t xml:space="preserve"> the entire lifecycle of the technology from its procurement to deployment</w:t>
      </w:r>
      <w:r w:rsidRPr="00EE36AE">
        <w:rPr>
          <w:rFonts w:ascii="Gilroy" w:hAnsi="Gilroy"/>
          <w:sz w:val="22"/>
          <w:szCs w:val="22"/>
        </w:rPr>
        <w:t xml:space="preserve"> to the use of information collected for prosecution or further action against protesters</w:t>
      </w:r>
      <w:r w:rsidRPr="00EE36AE">
        <w:rPr>
          <w:rFonts w:ascii="Gilroy" w:hAnsi="Gilroy"/>
          <w:sz w:val="22"/>
          <w:szCs w:val="22"/>
        </w:rPr>
        <w:t xml:space="preserve">. </w:t>
      </w:r>
    </w:p>
    <w:p w:rsidR="00EB6747" w:rsidP="00EE36AE">
      <w:pPr>
        <w:spacing w:after="0"/>
        <w:rPr>
          <w:rFonts w:ascii="Gilroy" w:hAnsi="Gilroy"/>
          <w:sz w:val="22"/>
          <w:szCs w:val="22"/>
        </w:rPr>
      </w:pPr>
    </w:p>
    <w:p w:rsidR="00920853" w:rsidRPr="00920853" w:rsidP="00EE36AE">
      <w:pPr>
        <w:spacing w:after="0"/>
        <w:rPr>
          <w:rFonts w:ascii="Gilroy" w:hAnsi="Gilroy"/>
          <w:b/>
          <w:bCs/>
          <w:i/>
          <w:iCs/>
          <w:sz w:val="22"/>
          <w:szCs w:val="22"/>
        </w:rPr>
      </w:pPr>
      <w:r>
        <w:rPr>
          <w:rFonts w:ascii="Gilroy" w:hAnsi="Gilroy"/>
          <w:b/>
          <w:bCs/>
          <w:i/>
          <w:iCs/>
          <w:sz w:val="22"/>
          <w:szCs w:val="22"/>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Gilroy">
    <w:altName w:val="Calibri"/>
    <w:panose1 w:val="00000000000000000000"/>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6747" w:rsidP="00965E67">
      <w:pPr>
        <w:spacing w:after="0" w:line="240" w:lineRule="auto"/>
      </w:pPr>
      <w:r>
        <w:separator/>
      </w:r>
    </w:p>
  </w:footnote>
  <w:footnote w:type="continuationSeparator" w:id="1">
    <w:p w:rsidR="00EB6747" w:rsidP="00965E67">
      <w:pPr>
        <w:spacing w:after="0" w:line="240" w:lineRule="auto"/>
      </w:pPr>
      <w:r>
        <w:continuationSeparator/>
      </w:r>
    </w:p>
  </w:footnote>
  <w:footnote w:id="2">
    <w:p w:rsidR="00EB6747" w:rsidRPr="00174690" w:rsidP="00965E67">
      <w:pPr>
        <w:pStyle w:val="FootnoteText"/>
        <w:rPr>
          <w:rFonts w:ascii="Gilroy" w:hAnsi="Gilroy"/>
          <w:color w:val="000000" w:themeColor="text1"/>
          <w:sz w:val="18"/>
          <w:szCs w:val="18"/>
        </w:rPr>
      </w:pPr>
      <w:r w:rsidRPr="00174690">
        <w:rPr>
          <w:rStyle w:val="FootnoteReference"/>
          <w:rFonts w:ascii="Gilroy" w:hAnsi="Gilroy"/>
          <w:color w:val="000000" w:themeColor="text1"/>
          <w:sz w:val="18"/>
          <w:szCs w:val="18"/>
        </w:rPr>
        <w:footnoteRef/>
      </w:r>
      <w:r w:rsidRPr="00174690">
        <w:rPr>
          <w:rFonts w:ascii="Gilroy" w:hAnsi="Gilroy"/>
          <w:color w:val="000000" w:themeColor="text1"/>
          <w:sz w:val="18"/>
          <w:szCs w:val="18"/>
        </w:rPr>
        <w:t xml:space="preserve"> See: </w:t>
      </w:r>
      <w:r>
        <w:fldChar w:fldCharType="begin"/>
      </w:r>
      <w:r>
        <w:instrText xml:space="preserve"> HYPERLINK "https://privacyinternational.org/" </w:instrText>
      </w:r>
      <w:r>
        <w:fldChar w:fldCharType="separate"/>
      </w:r>
      <w:r w:rsidRPr="00174690">
        <w:rPr>
          <w:rStyle w:val="Hyperlink"/>
          <w:rFonts w:ascii="Gilroy" w:hAnsi="Gilroy" w:eastAsiaTheme="majorEastAsia"/>
          <w:color w:val="000000" w:themeColor="text1"/>
          <w:sz w:val="18"/>
          <w:szCs w:val="18"/>
        </w:rPr>
        <w:t>https://privacyinternational.org/</w:t>
      </w:r>
      <w:r>
        <w:fldChar w:fldCharType="end"/>
      </w:r>
    </w:p>
  </w:footnote>
  <w:footnote w:id="3">
    <w:p w:rsidR="00EB6747" w:rsidRPr="00174690">
      <w:pPr>
        <w:pStyle w:val="FootnoteText"/>
        <w:rPr>
          <w:rFonts w:ascii="Gilroy" w:hAnsi="Gilroy"/>
          <w:sz w:val="18"/>
          <w:szCs w:val="18"/>
          <w:lang w:val="en-GB"/>
        </w:rPr>
      </w:pPr>
      <w:r w:rsidRPr="00174690">
        <w:rPr>
          <w:rStyle w:val="FootnoteReference"/>
          <w:rFonts w:ascii="Gilroy" w:hAnsi="Gilroy"/>
          <w:sz w:val="18"/>
          <w:szCs w:val="18"/>
        </w:rPr>
        <w:footnoteRef/>
      </w:r>
      <w:r w:rsidRPr="00174690">
        <w:rPr>
          <w:rFonts w:ascii="Gilroy" w:hAnsi="Gilroy"/>
          <w:sz w:val="18"/>
          <w:szCs w:val="18"/>
        </w:rPr>
        <w:t xml:space="preserve"> </w:t>
      </w:r>
      <w:r w:rsidRPr="004A78FF">
        <w:rPr>
          <w:rFonts w:ascii="Gilroy" w:hAnsi="Gilroy"/>
          <w:sz w:val="18"/>
          <w:szCs w:val="18"/>
        </w:rPr>
        <w:t xml:space="preserve">Privacy International, Protest Surveillance, </w:t>
      </w:r>
      <w:r>
        <w:fldChar w:fldCharType="begin"/>
      </w:r>
      <w:r>
        <w:instrText xml:space="preserve"> HYPERLINK "https://privacyinternational.org/learn/protest-surveillance" </w:instrText>
      </w:r>
      <w:r>
        <w:fldChar w:fldCharType="separate"/>
      </w:r>
      <w:r w:rsidRPr="004A78FF">
        <w:rPr>
          <w:rStyle w:val="Hyperlink"/>
          <w:rFonts w:ascii="Gilroy" w:hAnsi="Gilroy"/>
          <w:sz w:val="18"/>
          <w:szCs w:val="18"/>
        </w:rPr>
        <w:t>https://privacyinternational.org/learn/protest-surveillance</w:t>
      </w:r>
      <w:r>
        <w:fldChar w:fldCharType="end"/>
      </w:r>
      <w:r>
        <w:rPr>
          <w:rFonts w:ascii="Gilroy" w:hAnsi="Gilroy"/>
          <w:sz w:val="18"/>
          <w:szCs w:val="18"/>
        </w:rPr>
        <w:t>.</w:t>
      </w:r>
    </w:p>
  </w:footnote>
  <w:footnote w:id="4">
    <w:p w:rsidR="00EB6747" w:rsidRPr="009A1351" w:rsidP="00110F65">
      <w:pPr>
        <w:pStyle w:val="FootnoteText"/>
        <w:rPr>
          <w:rFonts w:ascii="Gilroy" w:hAnsi="Gilroy"/>
          <w:sz w:val="18"/>
          <w:szCs w:val="18"/>
        </w:rPr>
      </w:pPr>
      <w:r w:rsidRPr="00174690">
        <w:rPr>
          <w:rStyle w:val="FootnoteReference"/>
          <w:rFonts w:ascii="Gilroy" w:hAnsi="Gilroy"/>
          <w:sz w:val="18"/>
          <w:szCs w:val="18"/>
        </w:rPr>
        <w:footnoteRef/>
      </w:r>
      <w:r w:rsidRPr="00174690">
        <w:rPr>
          <w:rFonts w:ascii="Gilroy" w:hAnsi="Gilroy"/>
          <w:sz w:val="18"/>
          <w:szCs w:val="18"/>
        </w:rPr>
        <w:t xml:space="preserve"> </w:t>
      </w:r>
      <w:r w:rsidRPr="00174690">
        <w:rPr>
          <w:rFonts w:ascii="Gilroy" w:hAnsi="Gilroy"/>
          <w:sz w:val="18"/>
          <w:szCs w:val="18"/>
        </w:rPr>
        <w:t xml:space="preserve">European Convention on Human Rights, </w:t>
      </w:r>
      <w:r>
        <w:fldChar w:fldCharType="begin"/>
      </w:r>
      <w:r>
        <w:instrText xml:space="preserve"> HYPERLINK "https://www.echr.coe.int/documents/d/echr/convention_ENG" </w:instrText>
      </w:r>
      <w:r>
        <w:fldChar w:fldCharType="separate"/>
      </w:r>
      <w:r w:rsidRPr="00174690">
        <w:rPr>
          <w:rStyle w:val="Hyperlink"/>
          <w:rFonts w:ascii="Gilroy" w:hAnsi="Gilroy"/>
          <w:sz w:val="18"/>
          <w:szCs w:val="18"/>
        </w:rPr>
        <w:t>https://www.echr.coe.int/documents/d/echr/convention_ENG</w:t>
      </w:r>
      <w:r>
        <w:fldChar w:fldCharType="end"/>
      </w:r>
    </w:p>
  </w:footnote>
  <w:footnote w:id="5">
    <w:p w:rsidR="00EB6747" w:rsidRPr="004A78FF" w:rsidP="00110F65">
      <w:pPr>
        <w:pStyle w:val="FootnoteText"/>
        <w:rPr>
          <w:rFonts w:ascii="Gilroy" w:hAnsi="Gilroy"/>
          <w:sz w:val="18"/>
          <w:szCs w:val="18"/>
          <w:lang w:val="en-GB"/>
        </w:rPr>
      </w:pPr>
      <w:r w:rsidRPr="004A78FF">
        <w:rPr>
          <w:rStyle w:val="FootnoteReference"/>
          <w:rFonts w:ascii="Gilroy" w:hAnsi="Gilroy"/>
          <w:sz w:val="18"/>
          <w:szCs w:val="18"/>
        </w:rPr>
        <w:footnoteRef/>
      </w:r>
      <w:r w:rsidRPr="004A78FF">
        <w:rPr>
          <w:rFonts w:ascii="Gilroy" w:hAnsi="Gilroy"/>
          <w:sz w:val="18"/>
          <w:szCs w:val="18"/>
        </w:rPr>
        <w:t xml:space="preserve"> </w:t>
      </w:r>
      <w:r>
        <w:rPr>
          <w:rFonts w:ascii="Gilroy" w:hAnsi="Gilroy"/>
          <w:sz w:val="18"/>
          <w:szCs w:val="18"/>
        </w:rPr>
        <w:t xml:space="preserve">Ibid at 2. </w:t>
      </w:r>
    </w:p>
  </w:footnote>
  <w:footnote w:id="6">
    <w:p w:rsidR="00EB6747" w:rsidRPr="00EE36AE">
      <w:pPr>
        <w:pStyle w:val="FootnoteText"/>
        <w:rPr>
          <w:rFonts w:ascii="Gilroy" w:hAnsi="Gilroy"/>
          <w:sz w:val="18"/>
          <w:szCs w:val="18"/>
          <w:lang w:val="en-GB"/>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rPr>
        <w:t xml:space="preserve">Privacy International, Protest Surveillance into Court, </w:t>
      </w:r>
      <w:r>
        <w:fldChar w:fldCharType="begin"/>
      </w:r>
      <w:r>
        <w:instrText xml:space="preserve"> HYPERLINK "https://privacyinternational.org/report/5468/protest-surveillance-court" </w:instrText>
      </w:r>
      <w:r>
        <w:fldChar w:fldCharType="separate"/>
      </w:r>
      <w:r w:rsidRPr="00EE36AE">
        <w:rPr>
          <w:rStyle w:val="Hyperlink"/>
          <w:rFonts w:ascii="Gilroy" w:hAnsi="Gilroy"/>
          <w:sz w:val="18"/>
          <w:szCs w:val="18"/>
        </w:rPr>
        <w:t>https://privacyinternational.org/report/5468/protest-surveillance-court</w:t>
      </w:r>
      <w:r>
        <w:fldChar w:fldCharType="end"/>
      </w:r>
      <w:r w:rsidRPr="00EE36AE">
        <w:rPr>
          <w:rFonts w:ascii="Gilroy" w:hAnsi="Gilroy"/>
          <w:sz w:val="18"/>
          <w:szCs w:val="18"/>
        </w:rPr>
        <w:t xml:space="preserve"> </w:t>
      </w:r>
    </w:p>
  </w:footnote>
  <w:footnote w:id="7">
    <w:p w:rsidR="00EB6747" w:rsidRPr="00EE36AE" w:rsidP="0078619E">
      <w:pPr>
        <w:spacing w:after="0"/>
        <w:rPr>
          <w:rFonts w:ascii="Gilroy" w:hAnsi="Gilroy"/>
          <w:b/>
          <w:bCs/>
          <w:sz w:val="18"/>
          <w:szCs w:val="18"/>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rPr>
        <w:t xml:space="preserve">UN Special Procedures, UN experts: Safeguard human freedoms from systematic digital interference, surveillance and chilling effects on civic space, 27 April 2026, </w:t>
      </w:r>
      <w:r>
        <w:fldChar w:fldCharType="begin"/>
      </w:r>
      <w:r>
        <w:instrText xml:space="preserve"> HYPERLINK "https://www.ohchr.org/en/press-releases/2026/04/un-experts-safeguard-human-freedoms-systematic-digital-interference" </w:instrText>
      </w:r>
      <w:r>
        <w:fldChar w:fldCharType="separate"/>
      </w:r>
      <w:r w:rsidRPr="00EE36AE">
        <w:rPr>
          <w:rStyle w:val="Hyperlink"/>
          <w:rFonts w:ascii="Gilroy" w:hAnsi="Gilroy"/>
          <w:sz w:val="18"/>
          <w:szCs w:val="18"/>
        </w:rPr>
        <w:t>https://www.ohchr.org/en/press-releases/2026/04/un-experts-safeguard-human-freedoms-systematic-digital-interference</w:t>
      </w:r>
      <w:r>
        <w:fldChar w:fldCharType="end"/>
      </w:r>
      <w:r>
        <w:rPr>
          <w:rFonts w:ascii="Gilroy" w:hAnsi="Gilroy"/>
          <w:b/>
          <w:bCs/>
          <w:sz w:val="18"/>
          <w:szCs w:val="18"/>
        </w:rPr>
        <w:t xml:space="preserve"> </w:t>
      </w:r>
    </w:p>
  </w:footnote>
  <w:footnote w:id="8">
    <w:p w:rsidR="00EB6747" w:rsidRPr="00EE36AE" w:rsidP="00EE36AE">
      <w:pPr>
        <w:pStyle w:val="FootnoteText"/>
        <w:rPr>
          <w:rFonts w:ascii="Gilroy" w:hAnsi="Gilroy"/>
          <w:sz w:val="18"/>
          <w:szCs w:val="18"/>
          <w:lang w:val="en-GB"/>
        </w:rPr>
      </w:pPr>
      <w:r w:rsidRPr="00EE36AE">
        <w:rPr>
          <w:rStyle w:val="FootnoteReference"/>
          <w:rFonts w:ascii="Gilroy" w:hAnsi="Gilroy"/>
          <w:sz w:val="18"/>
          <w:szCs w:val="18"/>
        </w:rPr>
        <w:footnoteRef/>
      </w:r>
      <w:r>
        <w:rPr>
          <w:rFonts w:ascii="Gilroy" w:hAnsi="Gilroy"/>
          <w:sz w:val="18"/>
          <w:szCs w:val="18"/>
          <w:lang w:val="en-GB"/>
        </w:rPr>
        <w:t xml:space="preserve"> </w:t>
      </w:r>
      <w:r w:rsidRPr="00EE36AE">
        <w:rPr>
          <w:rFonts w:ascii="Gilroy" w:hAnsi="Gilroy"/>
          <w:sz w:val="18"/>
          <w:szCs w:val="18"/>
          <w:lang w:val="en-GB"/>
        </w:rPr>
        <w:t>Privacy International’s Submission to the UN Special Rapporteur on freedom of</w:t>
      </w:r>
    </w:p>
    <w:p w:rsidR="00EB6747" w:rsidRPr="00EE36AE" w:rsidP="00EE36AE">
      <w:pPr>
        <w:pStyle w:val="FootnoteText"/>
        <w:rPr>
          <w:rFonts w:ascii="Gilroy" w:hAnsi="Gilroy"/>
          <w:sz w:val="18"/>
          <w:szCs w:val="18"/>
          <w:lang w:val="en-GB"/>
        </w:rPr>
      </w:pPr>
      <w:r w:rsidRPr="00EE36AE">
        <w:rPr>
          <w:rFonts w:ascii="Gilroy" w:hAnsi="Gilroy"/>
          <w:sz w:val="18"/>
          <w:szCs w:val="18"/>
          <w:lang w:val="en-GB"/>
        </w:rPr>
        <w:t>peaceful assembly and of association regarding the thematic report “Impact of</w:t>
      </w:r>
    </w:p>
    <w:p w:rsidR="00EB6747" w:rsidRPr="00EE36AE" w:rsidP="00EE36AE">
      <w:pPr>
        <w:pStyle w:val="FootnoteText"/>
        <w:rPr>
          <w:rFonts w:ascii="Gilroy" w:hAnsi="Gilroy"/>
          <w:sz w:val="18"/>
          <w:szCs w:val="18"/>
          <w:lang w:val="en-GB"/>
        </w:rPr>
      </w:pPr>
      <w:r w:rsidRPr="00EE36AE">
        <w:rPr>
          <w:rFonts w:ascii="Gilroy" w:hAnsi="Gilroy"/>
          <w:sz w:val="18"/>
          <w:szCs w:val="18"/>
          <w:lang w:val="en-GB"/>
        </w:rPr>
        <w:t>digital and AI-assisted surveillance on assembly and association rights, including</w:t>
      </w:r>
    </w:p>
    <w:p w:rsidR="00EB6747" w:rsidRPr="00EE36AE" w:rsidP="00EE36AE">
      <w:pPr>
        <w:pStyle w:val="FootnoteText"/>
        <w:rPr>
          <w:rFonts w:ascii="Gilroy" w:hAnsi="Gilroy"/>
          <w:b/>
          <w:bCs/>
          <w:sz w:val="18"/>
          <w:szCs w:val="18"/>
          <w:lang w:val="en-GB"/>
        </w:rPr>
      </w:pPr>
      <w:r w:rsidRPr="00EE36AE">
        <w:rPr>
          <w:rFonts w:ascii="Gilroy" w:hAnsi="Gilroy"/>
          <w:sz w:val="18"/>
          <w:szCs w:val="18"/>
          <w:lang w:val="en-GB"/>
        </w:rPr>
        <w:t xml:space="preserve">chilling effects, </w:t>
      </w:r>
      <w:r>
        <w:fldChar w:fldCharType="begin"/>
      </w:r>
      <w:r>
        <w:instrText xml:space="preserve"> HYPERLINK "https://privacyinternational.org/advocacy/5740/privacy-internationals-submission-impact-digital-and-ai-assisted-surveillance" </w:instrText>
      </w:r>
      <w:r>
        <w:fldChar w:fldCharType="separate"/>
      </w:r>
      <w:r w:rsidRPr="00EE36AE">
        <w:rPr>
          <w:rStyle w:val="Hyperlink"/>
          <w:rFonts w:ascii="Gilroy" w:hAnsi="Gilroy"/>
          <w:sz w:val="18"/>
          <w:szCs w:val="18"/>
          <w:lang w:val="en-GB"/>
        </w:rPr>
        <w:t>https://privacyinternational.org/advocacy/5740/privacy-internationals-submission-impact-digital-and-ai-assisted-surveillance</w:t>
      </w:r>
      <w:r>
        <w:fldChar w:fldCharType="end"/>
      </w:r>
      <w:r>
        <w:rPr>
          <w:rFonts w:ascii="Gilroy" w:hAnsi="Gilroy"/>
          <w:b/>
          <w:bCs/>
          <w:sz w:val="18"/>
          <w:szCs w:val="18"/>
          <w:lang w:val="en-GB"/>
        </w:rPr>
        <w:t xml:space="preserve"> </w:t>
      </w:r>
    </w:p>
  </w:footnote>
  <w:footnote w:id="9">
    <w:p w:rsidR="00EB6747" w:rsidRPr="00EE36AE">
      <w:pPr>
        <w:pStyle w:val="FootnoteText"/>
        <w:rPr>
          <w:rFonts w:ascii="Gilroy" w:hAnsi="Gilroy"/>
          <w:sz w:val="18"/>
          <w:szCs w:val="18"/>
          <w:lang w:val="en-GB"/>
        </w:rPr>
      </w:pPr>
      <w:r w:rsidRPr="00EE36AE">
        <w:rPr>
          <w:rStyle w:val="FootnoteReference"/>
          <w:rFonts w:ascii="Gilroy" w:hAnsi="Gilroy"/>
          <w:sz w:val="18"/>
          <w:szCs w:val="18"/>
        </w:rPr>
        <w:footnoteRef/>
      </w:r>
      <w:r w:rsidRPr="00EE36AE">
        <w:rPr>
          <w:rFonts w:ascii="Gilroy" w:hAnsi="Gilroy"/>
          <w:sz w:val="18"/>
          <w:szCs w:val="18"/>
        </w:rPr>
        <w:t xml:space="preserve"> </w:t>
      </w:r>
      <w:r>
        <w:rPr>
          <w:rFonts w:ascii="Gilroy" w:hAnsi="Gilroy"/>
          <w:sz w:val="18"/>
          <w:szCs w:val="18"/>
        </w:rPr>
        <w:t xml:space="preserve">Ibid. </w:t>
      </w:r>
    </w:p>
  </w:footnote>
  <w:footnote w:id="10">
    <w:p w:rsidR="00EB6747" w:rsidRPr="00EE36AE" w:rsidP="001A2F19">
      <w:pPr>
        <w:pStyle w:val="FootnoteText"/>
        <w:rPr>
          <w:rFonts w:ascii="Gilroy" w:hAnsi="Gilroy"/>
          <w:sz w:val="18"/>
          <w:szCs w:val="18"/>
          <w:lang w:val="en-GB"/>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rPr>
        <w:t xml:space="preserve">Privacy International, Social Media Intelligence, </w:t>
      </w:r>
      <w:r>
        <w:fldChar w:fldCharType="begin"/>
      </w:r>
      <w:r>
        <w:instrText xml:space="preserve"> HYPERLINK "https://privacyinternational.org/explainer/55/social-media-intelligence" </w:instrText>
      </w:r>
      <w:r>
        <w:fldChar w:fldCharType="separate"/>
      </w:r>
      <w:r w:rsidRPr="00EE36AE">
        <w:rPr>
          <w:rStyle w:val="Hyperlink"/>
          <w:rFonts w:ascii="Gilroy" w:hAnsi="Gilroy"/>
          <w:sz w:val="18"/>
          <w:szCs w:val="18"/>
        </w:rPr>
        <w:t>https://privacyinternational.org/explainer/55/social-media-intelligence</w:t>
      </w:r>
      <w:r>
        <w:fldChar w:fldCharType="end"/>
      </w:r>
      <w:r w:rsidRPr="00EE36AE">
        <w:rPr>
          <w:rFonts w:ascii="Gilroy" w:hAnsi="Gilroy"/>
          <w:sz w:val="18"/>
          <w:szCs w:val="18"/>
        </w:rPr>
        <w:t xml:space="preserve">. </w:t>
      </w:r>
    </w:p>
  </w:footnote>
  <w:footnote w:id="11">
    <w:p w:rsidR="00EB6747" w:rsidRPr="00EE36AE" w:rsidP="001A2F19">
      <w:pPr>
        <w:pStyle w:val="HTMLAddress"/>
        <w:rPr>
          <w:rFonts w:ascii="Gilroy" w:hAnsi="Gilroy"/>
          <w:sz w:val="18"/>
          <w:szCs w:val="18"/>
        </w:rPr>
      </w:pPr>
      <w:r w:rsidRPr="00EE36AE">
        <w:rPr>
          <w:rStyle w:val="FootnoteReference"/>
          <w:rFonts w:ascii="Gilroy" w:hAnsi="Gilroy"/>
          <w:i w:val="0"/>
          <w:iCs w:val="0"/>
          <w:color w:val="000000" w:themeColor="text1"/>
          <w:sz w:val="18"/>
          <w:szCs w:val="18"/>
        </w:rPr>
        <w:footnoteRef/>
      </w:r>
      <w:r w:rsidRPr="00EE36AE">
        <w:rPr>
          <w:rFonts w:ascii="Gilroy" w:hAnsi="Gilroy"/>
          <w:i w:val="0"/>
          <w:iCs w:val="0"/>
          <w:color w:val="000000" w:themeColor="text1"/>
          <w:sz w:val="18"/>
          <w:szCs w:val="18"/>
        </w:rPr>
        <w:t xml:space="preserve"> </w:t>
      </w:r>
      <w:r w:rsidRPr="00EE36AE">
        <w:rPr>
          <w:rFonts w:ascii="Gilroy" w:hAnsi="Gilroy" w:eastAsiaTheme="majorEastAsia"/>
          <w:i w:val="0"/>
          <w:iCs w:val="0"/>
          <w:sz w:val="18"/>
          <w:szCs w:val="18"/>
        </w:rPr>
        <w:t>Paul Lewis</w:t>
      </w:r>
      <w:r w:rsidRPr="00EE36AE">
        <w:rPr>
          <w:rFonts w:ascii="Gilroy" w:hAnsi="Gilroy"/>
          <w:i w:val="0"/>
          <w:iCs w:val="0"/>
          <w:sz w:val="18"/>
          <w:szCs w:val="18"/>
        </w:rPr>
        <w:t xml:space="preserve">, </w:t>
      </w:r>
      <w:r w:rsidRPr="00EE36AE">
        <w:rPr>
          <w:rFonts w:ascii="Gilroy" w:hAnsi="Gilroy" w:eastAsiaTheme="majorEastAsia"/>
          <w:i w:val="0"/>
          <w:iCs w:val="0"/>
          <w:sz w:val="18"/>
          <w:szCs w:val="18"/>
        </w:rPr>
        <w:t>Rob Evans</w:t>
      </w:r>
      <w:r w:rsidRPr="00EE36AE">
        <w:rPr>
          <w:rFonts w:ascii="Gilroy" w:hAnsi="Gilroy"/>
          <w:i w:val="0"/>
          <w:iCs w:val="0"/>
          <w:sz w:val="18"/>
          <w:szCs w:val="18"/>
        </w:rPr>
        <w:t xml:space="preserve"> and </w:t>
      </w:r>
      <w:r w:rsidRPr="00EE36AE">
        <w:rPr>
          <w:rFonts w:ascii="Gilroy" w:hAnsi="Gilroy" w:eastAsiaTheme="majorEastAsia"/>
          <w:i w:val="0"/>
          <w:iCs w:val="0"/>
          <w:sz w:val="18"/>
          <w:szCs w:val="18"/>
        </w:rPr>
        <w:t>Vikram Dodd</w:t>
      </w:r>
      <w:r w:rsidRPr="00EE36AE">
        <w:rPr>
          <w:rFonts w:ascii="Gilroy" w:hAnsi="Gilroy"/>
          <w:i w:val="0"/>
          <w:iCs w:val="0"/>
          <w:sz w:val="18"/>
          <w:szCs w:val="18"/>
        </w:rPr>
        <w:t xml:space="preserve">, </w:t>
      </w:r>
      <w:r w:rsidRPr="00EE36AE">
        <w:rPr>
          <w:rFonts w:ascii="Gilroy" w:hAnsi="Gilroy" w:eastAsiaTheme="minorHAnsi" w:cstheme="minorBidi"/>
          <w:i w:val="0"/>
          <w:iCs w:val="0"/>
          <w:color w:val="000000" w:themeColor="text1"/>
          <w:sz w:val="18"/>
          <w:szCs w:val="18"/>
        </w:rPr>
        <w:t>National police unit monitors 9,000 'domestic extremists</w:t>
      </w:r>
      <w:r w:rsidRPr="00EE36AE">
        <w:rPr>
          <w:rFonts w:ascii="Gilroy" w:hAnsi="Gilroy"/>
          <w:sz w:val="18"/>
          <w:szCs w:val="18"/>
        </w:rPr>
        <w:t>, The Guardian</w:t>
      </w:r>
      <w:r w:rsidRPr="00EE36AE">
        <w:rPr>
          <w:rFonts w:ascii="Gilroy" w:hAnsi="Gilroy"/>
          <w:i w:val="0"/>
          <w:iCs w:val="0"/>
          <w:sz w:val="18"/>
          <w:szCs w:val="18"/>
        </w:rPr>
        <w:t>,</w:t>
      </w:r>
      <w:r w:rsidRPr="00EE36AE">
        <w:rPr>
          <w:rFonts w:ascii="Gilroy" w:hAnsi="Gilroy"/>
          <w:sz w:val="18"/>
          <w:szCs w:val="18"/>
        </w:rPr>
        <w:t xml:space="preserve"> </w:t>
      </w:r>
      <w:r w:rsidRPr="00EE36AE">
        <w:rPr>
          <w:rFonts w:ascii="Gilroy" w:hAnsi="Gilroy"/>
          <w:i w:val="0"/>
          <w:iCs w:val="0"/>
          <w:sz w:val="18"/>
          <w:szCs w:val="18"/>
        </w:rPr>
        <w:t>26 Jun 2013</w:t>
      </w:r>
      <w:r w:rsidRPr="00EE36AE">
        <w:rPr>
          <w:rFonts w:ascii="Gilroy" w:hAnsi="Gilroy"/>
          <w:i w:val="0"/>
          <w:iCs w:val="0"/>
          <w:sz w:val="18"/>
          <w:szCs w:val="18"/>
        </w:rPr>
        <w:t xml:space="preserve">, </w:t>
      </w:r>
      <w:r>
        <w:fldChar w:fldCharType="begin"/>
      </w:r>
      <w:r>
        <w:instrText xml:space="preserve"> HYPERLINK "https://www.theguardian.com/uk/2013/jun/25/undercover-police-domestic-extremism-unit" </w:instrText>
      </w:r>
      <w:r>
        <w:fldChar w:fldCharType="separate"/>
      </w:r>
      <w:r w:rsidRPr="00EE36AE">
        <w:rPr>
          <w:rStyle w:val="Hyperlink"/>
          <w:rFonts w:ascii="Gilroy" w:hAnsi="Gilroy"/>
          <w:i w:val="0"/>
          <w:iCs w:val="0"/>
          <w:sz w:val="18"/>
          <w:szCs w:val="18"/>
        </w:rPr>
        <w:t>https://www.theguardian.com/uk/2013/jun/25/undercover-police-domestic-extremism-unit</w:t>
      </w:r>
      <w:r>
        <w:fldChar w:fldCharType="end"/>
      </w:r>
      <w:r w:rsidRPr="00EE36AE">
        <w:rPr>
          <w:rFonts w:ascii="Gilroy" w:hAnsi="Gilroy"/>
          <w:i w:val="0"/>
          <w:iCs w:val="0"/>
          <w:sz w:val="18"/>
          <w:szCs w:val="18"/>
        </w:rPr>
        <w:t>.</w:t>
      </w:r>
      <w:r w:rsidRPr="00EE36AE">
        <w:rPr>
          <w:rFonts w:ascii="Gilroy" w:hAnsi="Gilroy"/>
          <w:i w:val="0"/>
          <w:iCs w:val="0"/>
          <w:sz w:val="18"/>
          <w:szCs w:val="18"/>
        </w:rPr>
        <w:t xml:space="preserve"> </w:t>
      </w:r>
    </w:p>
  </w:footnote>
  <w:footnote w:id="12">
    <w:p w:rsidR="00EB6747" w:rsidRPr="00EE36AE" w:rsidP="001A2F19">
      <w:pPr>
        <w:pStyle w:val="Heading1"/>
        <w:spacing w:before="0" w:after="0"/>
        <w:rPr>
          <w:rFonts w:ascii="Gilroy" w:hAnsi="Gilroy" w:cs="Arial"/>
          <w:sz w:val="18"/>
          <w:szCs w:val="18"/>
        </w:rPr>
      </w:pPr>
      <w:r w:rsidRPr="00EE36AE">
        <w:rPr>
          <w:rStyle w:val="FootnoteReference"/>
          <w:rFonts w:ascii="Gilroy" w:hAnsi="Gilroy" w:cs="Arial"/>
          <w:color w:val="000000" w:themeColor="text1"/>
          <w:sz w:val="18"/>
          <w:szCs w:val="18"/>
        </w:rPr>
        <w:footnoteRef/>
      </w:r>
      <w:r w:rsidRPr="00EE36AE">
        <w:rPr>
          <w:rFonts w:ascii="Gilroy" w:hAnsi="Gilroy" w:cs="Arial"/>
          <w:color w:val="000000" w:themeColor="text1"/>
          <w:sz w:val="18"/>
          <w:szCs w:val="18"/>
        </w:rPr>
        <w:t xml:space="preserve"> Ibid. </w:t>
      </w:r>
    </w:p>
  </w:footnote>
  <w:footnote w:id="13">
    <w:p w:rsidR="00EB6747" w:rsidRPr="00EE36AE">
      <w:pPr>
        <w:pStyle w:val="FootnoteText"/>
        <w:rPr>
          <w:rFonts w:ascii="Gilroy" w:hAnsi="Gilroy"/>
          <w:b/>
          <w:bCs/>
          <w:sz w:val="18"/>
          <w:szCs w:val="18"/>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lang w:val="en-GB"/>
        </w:rPr>
        <w:t xml:space="preserve">Privacy International, </w:t>
      </w:r>
      <w:r w:rsidRPr="00EE36AE">
        <w:rPr>
          <w:rFonts w:ascii="Gilroy" w:hAnsi="Gilroy"/>
          <w:sz w:val="18"/>
          <w:szCs w:val="18"/>
        </w:rPr>
        <w:t xml:space="preserve">Restraining protest surveillance: When should surveillance of protesters become unlawful?, </w:t>
      </w:r>
      <w:r>
        <w:fldChar w:fldCharType="begin"/>
      </w:r>
      <w:r>
        <w:instrText xml:space="preserve"> HYPERLINK "https://privacyinternational.org/report/5029/restraining-protest-surveillance-when-should-surveillance-protesters-become-unlawful" </w:instrText>
      </w:r>
      <w:r>
        <w:fldChar w:fldCharType="separate"/>
      </w:r>
      <w:r w:rsidRPr="00EE36AE">
        <w:rPr>
          <w:rStyle w:val="Hyperlink"/>
          <w:rFonts w:ascii="Gilroy" w:hAnsi="Gilroy"/>
          <w:sz w:val="18"/>
          <w:szCs w:val="18"/>
        </w:rPr>
        <w:t>https://privacyinternational.org/report/5029/restraining-protest-surveillance-when-should-surveillance-protesters-become-unlawful</w:t>
      </w:r>
      <w:r>
        <w:fldChar w:fldCharType="end"/>
      </w:r>
      <w:r w:rsidRPr="00EE36AE">
        <w:rPr>
          <w:rFonts w:ascii="Gilroy" w:hAnsi="Gilroy"/>
          <w:sz w:val="18"/>
          <w:szCs w:val="18"/>
        </w:rPr>
        <w:t xml:space="preserve"> </w:t>
      </w:r>
    </w:p>
  </w:footnote>
  <w:footnote w:id="14">
    <w:p w:rsidR="00EB6747" w:rsidRPr="00EE36AE">
      <w:pPr>
        <w:pStyle w:val="FootnoteText"/>
        <w:rPr>
          <w:rFonts w:ascii="Gilroy" w:hAnsi="Gilroy"/>
          <w:sz w:val="18"/>
          <w:szCs w:val="18"/>
          <w:lang w:val="en-GB"/>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rPr>
        <w:t xml:space="preserve">Privacy International, IMSI Catchers, </w:t>
      </w:r>
      <w:r>
        <w:fldChar w:fldCharType="begin"/>
      </w:r>
      <w:r>
        <w:instrText xml:space="preserve"> HYPERLINK "https://privacyinternational.org/explainer/2222/imsi-catchers" </w:instrText>
      </w:r>
      <w:r>
        <w:fldChar w:fldCharType="separate"/>
      </w:r>
      <w:r w:rsidRPr="00EE36AE">
        <w:rPr>
          <w:rStyle w:val="Hyperlink"/>
          <w:rFonts w:ascii="Gilroy" w:hAnsi="Gilroy"/>
          <w:sz w:val="18"/>
          <w:szCs w:val="18"/>
        </w:rPr>
        <w:t>https://privacyinternational.org/explainer/2222/imsi-catchers</w:t>
      </w:r>
      <w:r>
        <w:fldChar w:fldCharType="end"/>
      </w:r>
      <w:r w:rsidRPr="00EE36AE">
        <w:rPr>
          <w:rFonts w:ascii="Gilroy" w:hAnsi="Gilroy"/>
          <w:sz w:val="18"/>
          <w:szCs w:val="18"/>
        </w:rPr>
        <w:t xml:space="preserve">. </w:t>
      </w:r>
    </w:p>
  </w:footnote>
  <w:footnote w:id="15">
    <w:p w:rsidR="00EB6747" w:rsidRPr="00EE36AE" w:rsidP="001A2F19">
      <w:pPr>
        <w:pStyle w:val="FootnoteText"/>
        <w:rPr>
          <w:rFonts w:ascii="Gilroy" w:hAnsi="Gilroy"/>
          <w:sz w:val="18"/>
          <w:szCs w:val="18"/>
          <w:lang w:val="en-GB"/>
        </w:rPr>
      </w:pPr>
      <w:r w:rsidRPr="00EE36AE">
        <w:rPr>
          <w:rStyle w:val="FootnoteReference"/>
          <w:rFonts w:ascii="Gilroy" w:hAnsi="Gilroy"/>
          <w:sz w:val="18"/>
          <w:szCs w:val="18"/>
        </w:rPr>
        <w:footnoteRef/>
      </w:r>
      <w:r w:rsidRPr="00EE36AE">
        <w:rPr>
          <w:rFonts w:ascii="Gilroy" w:hAnsi="Gilroy"/>
          <w:sz w:val="18"/>
          <w:szCs w:val="18"/>
        </w:rPr>
        <w:t xml:space="preserve"> </w:t>
      </w:r>
      <w:r w:rsidRPr="00EE36AE">
        <w:rPr>
          <w:rFonts w:ascii="Gilroy" w:hAnsi="Gilroy"/>
          <w:sz w:val="18"/>
          <w:szCs w:val="18"/>
        </w:rPr>
        <w:t xml:space="preserve">Ibid. </w:t>
      </w:r>
    </w:p>
  </w:footnote>
  <w:footnote w:id="16">
    <w:p w:rsidR="00EB6747" w:rsidRPr="00EE36AE" w:rsidP="001A2F19">
      <w:pPr>
        <w:pStyle w:val="Heading1"/>
        <w:spacing w:before="0" w:after="0"/>
        <w:rPr>
          <w:rFonts w:ascii="Gilroy" w:hAnsi="Gilroy"/>
          <w:sz w:val="18"/>
          <w:szCs w:val="18"/>
        </w:rPr>
      </w:pPr>
      <w:r w:rsidRPr="00EE36AE">
        <w:rPr>
          <w:rStyle w:val="FootnoteReference"/>
          <w:rFonts w:ascii="Gilroy" w:hAnsi="Gilroy"/>
          <w:color w:val="000000" w:themeColor="text1"/>
          <w:sz w:val="18"/>
          <w:szCs w:val="18"/>
        </w:rPr>
        <w:footnoteRef/>
      </w:r>
      <w:r w:rsidRPr="00EE36AE">
        <w:rPr>
          <w:rFonts w:ascii="Gilroy" w:hAnsi="Gilroy"/>
          <w:color w:val="000000" w:themeColor="text1"/>
          <w:sz w:val="18"/>
          <w:szCs w:val="18"/>
        </w:rPr>
        <w:t xml:space="preserve"> Privacy International, </w:t>
      </w:r>
      <w:r w:rsidRPr="00EE36AE">
        <w:rPr>
          <w:rStyle w:val="field"/>
          <w:rFonts w:ascii="Gilroy" w:hAnsi="Gilroy"/>
          <w:color w:val="000000" w:themeColor="text1"/>
          <w:sz w:val="18"/>
          <w:szCs w:val="18"/>
        </w:rPr>
        <w:t xml:space="preserve">How IMSI catchers can be used at a protest, </w:t>
      </w:r>
      <w:r>
        <w:fldChar w:fldCharType="begin"/>
      </w:r>
      <w:r>
        <w:instrText xml:space="preserve"> HYPERLINK "https://privacyinternational.org/explainer/4492/how-imsi-catchers-can-be-used-protest" </w:instrText>
      </w:r>
      <w:r>
        <w:fldChar w:fldCharType="separate"/>
      </w:r>
      <w:r w:rsidRPr="00EE36AE">
        <w:rPr>
          <w:rStyle w:val="Hyperlink"/>
          <w:rFonts w:ascii="Gilroy" w:hAnsi="Gilroy"/>
          <w:sz w:val="18"/>
          <w:szCs w:val="18"/>
        </w:rPr>
        <w:t>https://privacyinternational.org/explainer/4492/how-imsi-catchers-can-be-used-protest</w:t>
      </w:r>
      <w:r>
        <w:fldChar w:fldCharType="end"/>
      </w:r>
      <w:r w:rsidRPr="00EE36AE">
        <w:rPr>
          <w:rStyle w:val="field"/>
          <w:rFonts w:ascii="Gilroy" w:hAnsi="Gilroy"/>
          <w:sz w:val="18"/>
          <w:szCs w:val="18"/>
        </w:rPr>
        <w:t>.</w:t>
      </w:r>
      <w:r w:rsidRPr="00EE36AE">
        <w:rPr>
          <w:rStyle w:val="field"/>
          <w:rFonts w:ascii="Gilroy" w:hAnsi="Gilroy"/>
          <w:sz w:val="18"/>
          <w:szCs w:val="18"/>
        </w:rPr>
        <w:t xml:space="preserve"> </w:t>
      </w:r>
    </w:p>
  </w:footnote>
  <w:footnote w:id="17">
    <w:p w:rsidR="00EB6747" w:rsidRPr="004A78FF" w:rsidP="004A78FF">
      <w:pPr>
        <w:pStyle w:val="HTMLAddress"/>
        <w:rPr>
          <w:rFonts w:ascii="Gilroy" w:hAnsi="Gilroy"/>
          <w:i w:val="0"/>
          <w:iCs w:val="0"/>
          <w:sz w:val="18"/>
          <w:szCs w:val="18"/>
        </w:rPr>
      </w:pPr>
      <w:r w:rsidRPr="00EE36AE">
        <w:rPr>
          <w:rStyle w:val="FootnoteReference"/>
          <w:rFonts w:ascii="Gilroy" w:hAnsi="Gilroy"/>
          <w:i w:val="0"/>
          <w:iCs w:val="0"/>
          <w:sz w:val="18"/>
          <w:szCs w:val="18"/>
        </w:rPr>
        <w:footnoteRef/>
      </w:r>
      <w:r w:rsidRPr="00EE36AE">
        <w:rPr>
          <w:rFonts w:ascii="Gilroy" w:hAnsi="Gilroy"/>
          <w:i w:val="0"/>
          <w:iCs w:val="0"/>
          <w:sz w:val="18"/>
          <w:szCs w:val="18"/>
        </w:rPr>
        <w:t xml:space="preserve"> </w:t>
      </w:r>
      <w:r w:rsidRPr="00EE36AE">
        <w:rPr>
          <w:rFonts w:ascii="Gilroy" w:hAnsi="Gilroy" w:eastAsiaTheme="majorEastAsia"/>
          <w:i w:val="0"/>
          <w:iCs w:val="0"/>
          <w:sz w:val="18"/>
          <w:szCs w:val="18"/>
        </w:rPr>
        <w:t>Ryan Gallagher</w:t>
      </w:r>
      <w:r w:rsidRPr="00EE36AE">
        <w:rPr>
          <w:rFonts w:ascii="Gilroy" w:hAnsi="Gilroy"/>
          <w:i w:val="0"/>
          <w:iCs w:val="0"/>
          <w:sz w:val="18"/>
          <w:szCs w:val="18"/>
        </w:rPr>
        <w:t xml:space="preserve"> and </w:t>
      </w:r>
      <w:r w:rsidRPr="00EE36AE">
        <w:rPr>
          <w:rFonts w:ascii="Gilroy" w:hAnsi="Gilroy" w:eastAsiaTheme="majorEastAsia"/>
          <w:i w:val="0"/>
          <w:iCs w:val="0"/>
          <w:sz w:val="18"/>
          <w:szCs w:val="18"/>
        </w:rPr>
        <w:t xml:space="preserve">Rajeev Syal, </w:t>
      </w:r>
      <w:r w:rsidRPr="00EE36AE">
        <w:rPr>
          <w:rFonts w:ascii="Gilroy" w:hAnsi="Gilroy"/>
          <w:i w:val="0"/>
          <w:iCs w:val="0"/>
          <w:sz w:val="18"/>
          <w:szCs w:val="18"/>
        </w:rPr>
        <w:t>Met police using surveillance system to monitor mobile phones</w:t>
      </w:r>
      <w:r w:rsidRPr="00EE36AE">
        <w:rPr>
          <w:rFonts w:ascii="Gilroy" w:hAnsi="Gilroy"/>
          <w:sz w:val="18"/>
          <w:szCs w:val="18"/>
        </w:rPr>
        <w:t xml:space="preserve">, </w:t>
      </w:r>
      <w:r w:rsidRPr="00EE36AE">
        <w:rPr>
          <w:rFonts w:ascii="Gilroy" w:hAnsi="Gilroy"/>
          <w:i w:val="0"/>
          <w:iCs w:val="0"/>
          <w:sz w:val="18"/>
          <w:szCs w:val="18"/>
        </w:rPr>
        <w:t xml:space="preserve">The Guardian, </w:t>
      </w:r>
      <w:r w:rsidRPr="00EE36AE">
        <w:rPr>
          <w:rFonts w:ascii="Gilroy" w:hAnsi="Gilroy"/>
          <w:i w:val="0"/>
          <w:iCs w:val="0"/>
          <w:sz w:val="18"/>
          <w:szCs w:val="18"/>
        </w:rPr>
        <w:t>30 October 2011,</w:t>
      </w:r>
      <w:r w:rsidRPr="00EE36AE">
        <w:rPr>
          <w:rFonts w:ascii="Gilroy" w:hAnsi="Gilroy"/>
          <w:i w:val="0"/>
          <w:iCs w:val="0"/>
          <w:sz w:val="18"/>
          <w:szCs w:val="18"/>
        </w:rPr>
        <w:t xml:space="preserve"> </w:t>
      </w:r>
      <w:r>
        <w:fldChar w:fldCharType="begin"/>
      </w:r>
      <w:r>
        <w:instrText xml:space="preserve"> HYPERLINK "https://www.theguardian.com/uk/2011/oct/30/metropolitan-police-mobile-phone-surveillance" </w:instrText>
      </w:r>
      <w:r>
        <w:fldChar w:fldCharType="separate"/>
      </w:r>
      <w:r w:rsidRPr="00EE36AE">
        <w:rPr>
          <w:rStyle w:val="Hyperlink"/>
          <w:rFonts w:ascii="Gilroy" w:hAnsi="Gilroy"/>
          <w:i w:val="0"/>
          <w:iCs w:val="0"/>
          <w:sz w:val="18"/>
          <w:szCs w:val="18"/>
        </w:rPr>
        <w:t>https://www.theguardian.com/uk/2011/oct/30/metropolitan-police-mobile-phone-surveillance</w:t>
      </w:r>
      <w:r>
        <w:fldChar w:fldCharType="end"/>
      </w:r>
      <w:r w:rsidRPr="00EE36AE">
        <w:rPr>
          <w:rFonts w:ascii="Gilroy" w:hAnsi="Gilroy"/>
          <w:sz w:val="18"/>
          <w:szCs w:val="18"/>
        </w:rPr>
        <w:t xml:space="preserve">. </w:t>
      </w:r>
      <w:r w:rsidRPr="00EE36AE">
        <w:rPr>
          <w:rFonts w:ascii="Gilroy" w:hAnsi="Gilroy"/>
          <w:i w:val="0"/>
          <w:iCs w:val="0"/>
          <w:sz w:val="18"/>
          <w:szCs w:val="18"/>
        </w:rPr>
        <w:t>See also:</w:t>
      </w:r>
      <w:r>
        <w:rPr>
          <w:rFonts w:ascii="Gilroy" w:hAnsi="Gilroy"/>
          <w:sz w:val="18"/>
          <w:szCs w:val="18"/>
        </w:rPr>
        <w:t xml:space="preserve"> </w:t>
      </w:r>
      <w:r>
        <w:fldChar w:fldCharType="begin"/>
      </w:r>
      <w:r>
        <w:instrText xml:space="preserve"> HYPERLINK "https://www.thetimes.com/uk/crime/article/police-sweep-up-phone-data-with-secret-snooping-device-cl8thpfsd8v" </w:instrText>
      </w:r>
      <w:r>
        <w:fldChar w:fldCharType="separate"/>
      </w:r>
      <w:r w:rsidRPr="00473978">
        <w:rPr>
          <w:rStyle w:val="Hyperlink"/>
          <w:rFonts w:ascii="Gilroy" w:hAnsi="Gilroy"/>
          <w:i w:val="0"/>
          <w:iCs w:val="0"/>
          <w:sz w:val="18"/>
          <w:szCs w:val="18"/>
        </w:rPr>
        <w:t>https://www.thetimes.com/uk/crime/article/police-sweep-up-phone-data-with-secret-snooping-device-cl8thpfsd8v</w:t>
      </w:r>
      <w:r>
        <w:fldChar w:fldCharType="end"/>
      </w:r>
      <w:r>
        <w:rPr>
          <w:rFonts w:ascii="Gilroy" w:hAnsi="Gilroy"/>
          <w:i w:val="0"/>
          <w:iCs w:val="0"/>
          <w:sz w:val="18"/>
          <w:szCs w:val="18"/>
        </w:rPr>
        <w:t xml:space="preserve">; </w:t>
      </w:r>
      <w:r>
        <w:fldChar w:fldCharType="begin"/>
      </w:r>
      <w:r>
        <w:instrText xml:space="preserve"> HYPERLINK "https://www.dailymail.com/news/article-2816771/Police-using-controversial-snooping-technology-hack-thousands-innocent-people-s-mobile-phones.html" </w:instrText>
      </w:r>
      <w:r>
        <w:fldChar w:fldCharType="separate"/>
      </w:r>
      <w:r w:rsidRPr="00473978">
        <w:rPr>
          <w:rStyle w:val="Hyperlink"/>
          <w:rFonts w:ascii="Gilroy" w:hAnsi="Gilroy"/>
          <w:i w:val="0"/>
          <w:iCs w:val="0"/>
          <w:sz w:val="18"/>
          <w:szCs w:val="18"/>
        </w:rPr>
        <w:t>https://www.dailymail.com/news/article-2816771/Police-using-controversial-snooping-technology-hack-thousands-innocent-people-s-mobile-phones.html</w:t>
      </w:r>
      <w:r>
        <w:fldChar w:fldCharType="end"/>
      </w:r>
      <w:r>
        <w:rPr>
          <w:rFonts w:ascii="Gilroy" w:hAnsi="Gilroy"/>
          <w:i w:val="0"/>
          <w:iCs w:val="0"/>
          <w:sz w:val="18"/>
          <w:szCs w:val="18"/>
        </w:rPr>
        <w:t xml:space="preserve">; </w:t>
      </w:r>
      <w:r>
        <w:fldChar w:fldCharType="begin"/>
      </w:r>
      <w:r>
        <w:instrText xml:space="preserve"> HYPERLINK "https://www.bbc.com/news/business-33076527" </w:instrText>
      </w:r>
      <w:r>
        <w:fldChar w:fldCharType="separate"/>
      </w:r>
      <w:r w:rsidRPr="00473978">
        <w:rPr>
          <w:rStyle w:val="Hyperlink"/>
          <w:rFonts w:ascii="Gilroy" w:hAnsi="Gilroy"/>
          <w:i w:val="0"/>
          <w:iCs w:val="0"/>
          <w:sz w:val="18"/>
          <w:szCs w:val="18"/>
        </w:rPr>
        <w:t>https://www.bbc.com/news/business-33076527</w:t>
      </w:r>
      <w:r>
        <w:fldChar w:fldCharType="end"/>
      </w:r>
      <w:r>
        <w:rPr>
          <w:rFonts w:ascii="Gilroy" w:hAnsi="Gilroy"/>
          <w:i w:val="0"/>
          <w:iCs w:val="0"/>
          <w:sz w:val="18"/>
          <w:szCs w:val="18"/>
        </w:rPr>
        <w:t xml:space="preserve">; </w:t>
      </w:r>
      <w:r>
        <w:fldChar w:fldCharType="begin"/>
      </w:r>
      <w:r>
        <w:instrText xml:space="preserve"> HYPERLINK "https://www.telegraph.co.uk/news/uknews/law-and-order/11665110/Fake-mobile-phone-masts-spy-on-your-calls.html" </w:instrText>
      </w:r>
      <w:r>
        <w:fldChar w:fldCharType="separate"/>
      </w:r>
      <w:r w:rsidRPr="00473978">
        <w:rPr>
          <w:rStyle w:val="Hyperlink"/>
          <w:rFonts w:ascii="Gilroy" w:hAnsi="Gilroy"/>
          <w:i w:val="0"/>
          <w:iCs w:val="0"/>
          <w:sz w:val="18"/>
          <w:szCs w:val="18"/>
        </w:rPr>
        <w:t>https://www.telegraph.co.uk/news/uknews/law-and-order/11665110/Fake-mobile-phone-masts-spy-on-your-calls.html</w:t>
      </w:r>
      <w:r>
        <w:fldChar w:fldCharType="end"/>
      </w:r>
      <w:r>
        <w:rPr>
          <w:rFonts w:ascii="Gilroy" w:hAnsi="Gilroy"/>
          <w:i w:val="0"/>
          <w:iCs w:val="0"/>
          <w:sz w:val="18"/>
          <w:szCs w:val="18"/>
        </w:rPr>
        <w:t xml:space="preserve"> &amp; </w:t>
      </w:r>
      <w:r>
        <w:fldChar w:fldCharType="begin"/>
      </w:r>
      <w:r>
        <w:instrText xml:space="preserve"> HYPERLINK "https://thebristolcable.org/2016/10/imsi/" </w:instrText>
      </w:r>
      <w:r>
        <w:fldChar w:fldCharType="separate"/>
      </w:r>
      <w:r w:rsidRPr="00473978">
        <w:rPr>
          <w:rStyle w:val="Hyperlink"/>
          <w:rFonts w:ascii="Gilroy" w:hAnsi="Gilroy"/>
          <w:i w:val="0"/>
          <w:iCs w:val="0"/>
          <w:sz w:val="18"/>
          <w:szCs w:val="18"/>
        </w:rPr>
        <w:t>https://thebristolcable.org/2016/10/imsi/</w:t>
      </w:r>
      <w:r>
        <w:fldChar w:fldCharType="end"/>
      </w:r>
      <w:r>
        <w:rPr>
          <w:rFonts w:ascii="Gilroy" w:hAnsi="Gilroy"/>
          <w:i w:val="0"/>
          <w:iCs w:val="0"/>
          <w:sz w:val="18"/>
          <w:szCs w:val="18"/>
        </w:rPr>
        <w:t xml:space="preserve">   </w:t>
      </w:r>
    </w:p>
  </w:footnote>
  <w:footnote w:id="18">
    <w:p w:rsidR="00EB6747" w:rsidRPr="0078619E">
      <w:pPr>
        <w:pStyle w:val="FootnoteText"/>
        <w:rPr>
          <w:rFonts w:ascii="Gilroy" w:hAnsi="Gilroy"/>
          <w:sz w:val="18"/>
          <w:szCs w:val="18"/>
          <w:lang w:val="en-GB"/>
        </w:rPr>
      </w:pPr>
      <w:r w:rsidRPr="0078619E">
        <w:rPr>
          <w:rStyle w:val="FootnoteReference"/>
          <w:rFonts w:ascii="Gilroy" w:hAnsi="Gilroy"/>
          <w:sz w:val="18"/>
          <w:szCs w:val="18"/>
        </w:rPr>
        <w:footnoteRef/>
      </w:r>
      <w:r w:rsidRPr="0078619E">
        <w:rPr>
          <w:rFonts w:ascii="Gilroy" w:hAnsi="Gilroy"/>
          <w:sz w:val="18"/>
          <w:szCs w:val="18"/>
        </w:rPr>
        <w:t xml:space="preserve"> </w:t>
      </w:r>
      <w:r w:rsidRPr="0078619E">
        <w:rPr>
          <w:rFonts w:ascii="Gilroy" w:hAnsi="Gilroy"/>
          <w:sz w:val="18"/>
          <w:szCs w:val="18"/>
          <w:lang w:val="en-GB"/>
        </w:rPr>
        <w:t xml:space="preserve">See: </w:t>
      </w:r>
      <w:r>
        <w:fldChar w:fldCharType="begin"/>
      </w:r>
      <w:r>
        <w:instrText xml:space="preserve"> HYPERLINK "https://privacyinternational.org/sites/default/files/2019-09/Ailidh%20Callander%20Witness%20Statement%20-%20redacted.pdf" </w:instrText>
      </w:r>
      <w:r>
        <w:fldChar w:fldCharType="separate"/>
      </w:r>
      <w:r w:rsidRPr="0078619E">
        <w:rPr>
          <w:rStyle w:val="Hyperlink"/>
          <w:rFonts w:ascii="Gilroy" w:hAnsi="Gilroy"/>
          <w:sz w:val="18"/>
          <w:szCs w:val="18"/>
          <w:lang w:val="en-GB"/>
        </w:rPr>
        <w:t>https://privacyinternational.org/sites/default/files/2019-09/Ailidh%20Callander%20Witness%20Statement%20-%20redacted.pdf</w:t>
      </w:r>
      <w:r>
        <w:fldChar w:fldCharType="end"/>
      </w:r>
      <w:r w:rsidRPr="0078619E">
        <w:rPr>
          <w:rFonts w:ascii="Gilroy" w:hAnsi="Gilroy"/>
          <w:sz w:val="18"/>
          <w:szCs w:val="18"/>
          <w:lang w:val="en-GB"/>
        </w:rPr>
        <w:t xml:space="preserve"> </w:t>
      </w:r>
    </w:p>
  </w:footnote>
  <w:footnote w:id="19">
    <w:p w:rsidR="00EB6747" w:rsidRPr="0078619E" w:rsidP="00640F8E">
      <w:pPr>
        <w:pStyle w:val="FootnoteText"/>
        <w:rPr>
          <w:rFonts w:ascii="Gilroy" w:hAnsi="Gilroy"/>
          <w:sz w:val="18"/>
          <w:szCs w:val="18"/>
          <w:lang w:val="en-GB"/>
        </w:rPr>
      </w:pPr>
      <w:r w:rsidRPr="0078619E">
        <w:rPr>
          <w:rStyle w:val="FootnoteReference"/>
          <w:rFonts w:ascii="Gilroy" w:hAnsi="Gilroy"/>
          <w:sz w:val="18"/>
          <w:szCs w:val="18"/>
        </w:rPr>
        <w:footnoteRef/>
      </w:r>
      <w:r w:rsidRPr="0078619E">
        <w:rPr>
          <w:rFonts w:ascii="Gilroy" w:hAnsi="Gilroy"/>
          <w:sz w:val="18"/>
          <w:szCs w:val="18"/>
        </w:rPr>
        <w:t xml:space="preserve"> </w:t>
      </w:r>
      <w:r w:rsidRPr="0078619E">
        <w:rPr>
          <w:rFonts w:ascii="Gilroy" w:hAnsi="Gilroy"/>
          <w:sz w:val="18"/>
          <w:szCs w:val="18"/>
          <w:lang w:val="en-GB"/>
        </w:rPr>
        <w:t xml:space="preserve">Privacy International, </w:t>
      </w:r>
      <w:r w:rsidRPr="0078619E">
        <w:rPr>
          <w:rFonts w:ascii="Gilroy" w:hAnsi="Gilroy"/>
          <w:sz w:val="18"/>
          <w:szCs w:val="18"/>
        </w:rPr>
        <w:t xml:space="preserve">Restraining protest surveillance: When should surveillance of protesters become unlawful?, </w:t>
      </w:r>
      <w:r>
        <w:fldChar w:fldCharType="begin"/>
      </w:r>
      <w:r>
        <w:instrText xml:space="preserve"> HYPERLINK "https://privacyinternational.org/report/5029/restraining-protest-surveillance-when-should-surveillance-protesters-become-unlawful" </w:instrText>
      </w:r>
      <w:r>
        <w:fldChar w:fldCharType="separate"/>
      </w:r>
      <w:r w:rsidRPr="0078619E">
        <w:rPr>
          <w:rStyle w:val="Hyperlink"/>
          <w:rFonts w:ascii="Gilroy" w:hAnsi="Gilroy"/>
          <w:sz w:val="18"/>
          <w:szCs w:val="18"/>
        </w:rPr>
        <w:t>https://privacyinternational.org/report/5029/restraining-protest-surveillance-when-should-surveillance-protesters-become-unlawful</w:t>
      </w:r>
      <w:r>
        <w:fldChar w:fldCharType="end"/>
      </w:r>
      <w:r w:rsidRPr="0078619E">
        <w:rPr>
          <w:rFonts w:ascii="Gilroy" w:hAnsi="Gilroy"/>
          <w:sz w:val="18"/>
          <w:szCs w:val="18"/>
        </w:rPr>
        <w:t>; see also, Privacy International, IMSI catchers: PI’s legal analysis, https://privacyinternational.org/report/3965/imsi-catchers-pis-legal-analysis.</w:t>
      </w:r>
    </w:p>
  </w:footnote>
  <w:footnote w:id="20">
    <w:p w:rsidR="00EB6747" w:rsidRPr="0078619E" w:rsidP="005446EF">
      <w:pPr>
        <w:pStyle w:val="Heading1"/>
        <w:spacing w:before="0" w:after="0"/>
        <w:rPr>
          <w:rFonts w:ascii="Gilroy" w:hAnsi="Gilroy"/>
          <w:color w:val="000000" w:themeColor="text1"/>
          <w:sz w:val="18"/>
          <w:szCs w:val="18"/>
        </w:rPr>
      </w:pPr>
      <w:r w:rsidRPr="0078619E">
        <w:rPr>
          <w:rStyle w:val="FootnoteReference"/>
          <w:rFonts w:ascii="Gilroy" w:hAnsi="Gilroy"/>
          <w:color w:val="000000" w:themeColor="text1"/>
          <w:sz w:val="18"/>
          <w:szCs w:val="18"/>
        </w:rPr>
        <w:footnoteRef/>
      </w:r>
      <w:r w:rsidRPr="0078619E">
        <w:rPr>
          <w:rFonts w:ascii="Gilroy" w:hAnsi="Gilroy"/>
          <w:color w:val="000000" w:themeColor="text1"/>
          <w:sz w:val="18"/>
          <w:szCs w:val="18"/>
        </w:rPr>
        <w:t xml:space="preserve"> </w:t>
      </w:r>
      <w:r w:rsidRPr="0078619E">
        <w:rPr>
          <w:rFonts w:ascii="Gilroy" w:hAnsi="Gilroy"/>
          <w:color w:val="000000" w:themeColor="text1"/>
          <w:sz w:val="18"/>
          <w:szCs w:val="18"/>
        </w:rPr>
        <w:t xml:space="preserve">Privacy International, Free to Protest (UK), </w:t>
      </w:r>
      <w:r>
        <w:fldChar w:fldCharType="begin"/>
      </w:r>
      <w:r>
        <w:instrText xml:space="preserve"> HYPERLINK "https://privacyinternational.org/campaigns/free-protest-uk" </w:instrText>
      </w:r>
      <w:r>
        <w:fldChar w:fldCharType="separate"/>
      </w:r>
      <w:r w:rsidRPr="0078619E">
        <w:rPr>
          <w:rStyle w:val="Hyperlink"/>
          <w:rFonts w:ascii="Gilroy" w:hAnsi="Gilroy"/>
          <w:color w:val="000000" w:themeColor="text1"/>
          <w:sz w:val="18"/>
          <w:szCs w:val="18"/>
        </w:rPr>
        <w:t>https://privacyinternational.org/campaigns/free-protest-uk</w:t>
      </w:r>
      <w:r>
        <w:fldChar w:fldCharType="end"/>
      </w:r>
      <w:r w:rsidRPr="0078619E">
        <w:rPr>
          <w:rFonts w:ascii="Gilroy" w:hAnsi="Gilroy"/>
          <w:color w:val="000000" w:themeColor="text1"/>
          <w:sz w:val="18"/>
          <w:szCs w:val="18"/>
        </w:rPr>
        <w:t xml:space="preserve"> </w:t>
      </w:r>
    </w:p>
  </w:footnote>
  <w:footnote w:id="21">
    <w:p w:rsidR="00EB6747" w:rsidRPr="0078619E">
      <w:pPr>
        <w:pStyle w:val="FootnoteText"/>
        <w:rPr>
          <w:rFonts w:ascii="Gilroy" w:hAnsi="Gilroy"/>
          <w:sz w:val="18"/>
          <w:szCs w:val="18"/>
          <w:lang w:val="en-GB"/>
        </w:rPr>
      </w:pPr>
      <w:r w:rsidRPr="0078619E">
        <w:rPr>
          <w:rStyle w:val="FootnoteReference"/>
          <w:rFonts w:ascii="Gilroy" w:hAnsi="Gilroy"/>
          <w:sz w:val="18"/>
          <w:szCs w:val="18"/>
        </w:rPr>
        <w:footnoteRef/>
      </w:r>
      <w:r w:rsidRPr="0078619E">
        <w:rPr>
          <w:rFonts w:ascii="Gilroy" w:hAnsi="Gilroy"/>
          <w:sz w:val="18"/>
          <w:szCs w:val="18"/>
        </w:rPr>
        <w:t xml:space="preserve"> </w:t>
      </w:r>
      <w:r w:rsidRPr="0078619E">
        <w:rPr>
          <w:rFonts w:ascii="Gilroy" w:hAnsi="Gilroy"/>
          <w:sz w:val="18"/>
          <w:szCs w:val="18"/>
          <w:lang w:val="en-GB"/>
        </w:rPr>
        <w:t xml:space="preserve">Privacy International, </w:t>
      </w:r>
      <w:r w:rsidRPr="0078619E">
        <w:rPr>
          <w:rFonts w:ascii="Gilroy" w:hAnsi="Gilroy"/>
          <w:sz w:val="18"/>
          <w:szCs w:val="18"/>
        </w:rPr>
        <w:t xml:space="preserve">Restraining protest surveillance: When should surveillance of protesters become unlawful?, </w:t>
      </w:r>
      <w:r>
        <w:fldChar w:fldCharType="begin"/>
      </w:r>
      <w:r>
        <w:instrText xml:space="preserve"> HYPERLINK "https://privacyinternational.org/report/5029/restraining-protest-surveillance-when-should-surveillance-protesters-become-unlawful" </w:instrText>
      </w:r>
      <w:r>
        <w:fldChar w:fldCharType="separate"/>
      </w:r>
      <w:r w:rsidRPr="0078619E">
        <w:rPr>
          <w:rStyle w:val="Hyperlink"/>
          <w:rFonts w:ascii="Gilroy" w:hAnsi="Gilroy"/>
          <w:sz w:val="18"/>
          <w:szCs w:val="18"/>
        </w:rPr>
        <w:t>https://privacyinternational.org/report/5029/restraining-protest-surveillance-when-should-surveillance-protesters-become-unlawful</w:t>
      </w:r>
      <w:r>
        <w:fldChar w:fldCharType="end"/>
      </w:r>
      <w:r w:rsidRPr="0078619E">
        <w:rPr>
          <w:rFonts w:ascii="Gilroy" w:hAnsi="Gilroy"/>
          <w:sz w:val="18"/>
          <w:szCs w:val="18"/>
        </w:rPr>
        <w:t xml:space="preserve">; Privacy International, Protest Surveillance Into Court, </w:t>
      </w:r>
      <w:r>
        <w:fldChar w:fldCharType="begin"/>
      </w:r>
      <w:r>
        <w:instrText xml:space="preserve"> HYPERLINK "https://privacyinternational.org/report/5468/protest-surveillance-court" </w:instrText>
      </w:r>
      <w:r>
        <w:fldChar w:fldCharType="separate"/>
      </w:r>
      <w:r w:rsidRPr="0078619E">
        <w:rPr>
          <w:rStyle w:val="Hyperlink"/>
          <w:rFonts w:ascii="Gilroy" w:hAnsi="Gilroy"/>
          <w:sz w:val="18"/>
          <w:szCs w:val="18"/>
          <w:lang w:val="en-GB"/>
        </w:rPr>
        <w:t>https://privacyinternational.org/report/5468/protest-surveillance-court</w:t>
      </w:r>
      <w:r>
        <w:fldChar w:fldCharType="end"/>
      </w:r>
    </w:p>
  </w:footnote>
  <w:footnote w:id="22">
    <w:p w:rsidR="00EB6747" w:rsidRPr="0078619E" w:rsidP="005446EF">
      <w:pPr>
        <w:pStyle w:val="FootnoteText"/>
        <w:rPr>
          <w:rFonts w:ascii="Gilroy" w:hAnsi="Gilroy" w:cs="Arial"/>
          <w:color w:val="000000" w:themeColor="text1"/>
          <w:sz w:val="18"/>
          <w:szCs w:val="18"/>
        </w:rPr>
      </w:pPr>
      <w:r w:rsidRPr="0078619E">
        <w:rPr>
          <w:rStyle w:val="FootnoteReference"/>
          <w:rFonts w:ascii="Gilroy" w:hAnsi="Gilroy" w:cs="Arial"/>
          <w:color w:val="000000" w:themeColor="text1"/>
          <w:sz w:val="18"/>
          <w:szCs w:val="18"/>
        </w:rPr>
        <w:footnoteRef/>
      </w:r>
      <w:r w:rsidRPr="0078619E">
        <w:rPr>
          <w:rFonts w:ascii="Gilroy" w:hAnsi="Gilroy" w:cs="Arial"/>
          <w:color w:val="000000" w:themeColor="text1"/>
          <w:sz w:val="18"/>
          <w:szCs w:val="18"/>
        </w:rPr>
        <w:t xml:space="preserve"> Privacy International, Facial </w:t>
      </w:r>
      <w:r w:rsidRPr="0078619E">
        <w:rPr>
          <w:rFonts w:ascii="Gilroy" w:hAnsi="Gilroy" w:cs="Arial"/>
          <w:color w:val="000000" w:themeColor="text1"/>
          <w:sz w:val="18"/>
          <w:szCs w:val="18"/>
        </w:rPr>
        <w:t>R</w:t>
      </w:r>
      <w:r w:rsidRPr="0078619E">
        <w:rPr>
          <w:rFonts w:ascii="Gilroy" w:hAnsi="Gilroy" w:cs="Arial"/>
          <w:color w:val="000000" w:themeColor="text1"/>
          <w:sz w:val="18"/>
          <w:szCs w:val="18"/>
        </w:rPr>
        <w:t xml:space="preserve">ecognition, </w:t>
      </w:r>
      <w:r>
        <w:fldChar w:fldCharType="begin"/>
      </w:r>
      <w:r>
        <w:instrText xml:space="preserve"> HYPERLINK "https://privacyinternational.org/learn/facial-recognition" </w:instrText>
      </w:r>
      <w:r>
        <w:fldChar w:fldCharType="separate"/>
      </w:r>
      <w:r w:rsidRPr="0078619E">
        <w:rPr>
          <w:rStyle w:val="Hyperlink"/>
          <w:rFonts w:ascii="Gilroy" w:hAnsi="Gilroy" w:cs="Arial"/>
          <w:color w:val="000000" w:themeColor="text1"/>
          <w:sz w:val="18"/>
          <w:szCs w:val="18"/>
        </w:rPr>
        <w:t>https://privacyinternational.org/learn/facial-recognition</w:t>
      </w:r>
      <w:r>
        <w:fldChar w:fldCharType="end"/>
      </w:r>
      <w:r w:rsidRPr="0078619E">
        <w:rPr>
          <w:rFonts w:ascii="Gilroy" w:hAnsi="Gilroy" w:cs="Arial"/>
          <w:color w:val="000000" w:themeColor="text1"/>
          <w:sz w:val="18"/>
          <w:szCs w:val="18"/>
        </w:rPr>
        <w:t xml:space="preserve"> </w:t>
      </w:r>
    </w:p>
  </w:footnote>
  <w:footnote w:id="23">
    <w:p w:rsidR="00EB6747" w:rsidRPr="0078619E" w:rsidP="005446EF">
      <w:pPr>
        <w:pStyle w:val="FootnoteText"/>
        <w:rPr>
          <w:rFonts w:ascii="Gilroy" w:hAnsi="Gilroy"/>
          <w:color w:val="000000" w:themeColor="text1"/>
          <w:sz w:val="18"/>
          <w:szCs w:val="18"/>
          <w:lang w:val="en-GB"/>
        </w:rPr>
      </w:pPr>
      <w:r w:rsidRPr="0078619E">
        <w:rPr>
          <w:rStyle w:val="FootnoteReference"/>
          <w:rFonts w:ascii="Gilroy" w:hAnsi="Gilroy"/>
          <w:color w:val="000000" w:themeColor="text1"/>
          <w:sz w:val="18"/>
          <w:szCs w:val="18"/>
        </w:rPr>
        <w:footnoteRef/>
      </w:r>
      <w:r w:rsidRPr="0078619E">
        <w:rPr>
          <w:rFonts w:ascii="Gilroy" w:hAnsi="Gilroy"/>
          <w:color w:val="000000" w:themeColor="text1"/>
          <w:sz w:val="18"/>
          <w:szCs w:val="18"/>
        </w:rPr>
        <w:t xml:space="preserve"> </w:t>
      </w:r>
      <w:r w:rsidRPr="0078619E">
        <w:rPr>
          <w:rFonts w:ascii="Gilroy" w:hAnsi="Gilroy"/>
          <w:color w:val="000000" w:themeColor="text1"/>
          <w:sz w:val="18"/>
          <w:szCs w:val="18"/>
        </w:rPr>
        <w:t xml:space="preserve">Privacy International, </w:t>
      </w:r>
      <w:r w:rsidRPr="0078619E">
        <w:rPr>
          <w:rFonts w:ascii="Gilroy" w:hAnsi="Gilroy" w:cs="Arial"/>
          <w:color w:val="000000" w:themeColor="text1"/>
          <w:sz w:val="18"/>
          <w:szCs w:val="18"/>
        </w:rPr>
        <w:t xml:space="preserve">How facial recognition technology can be used at a protest, May 2021, </w:t>
      </w:r>
      <w:r>
        <w:fldChar w:fldCharType="begin"/>
      </w:r>
      <w:r>
        <w:instrText xml:space="preserve"> HYPERLINK "https://privacyinternational.org/explainer/4495/how-facial-recognition-technology-can-be-used-protest" </w:instrText>
      </w:r>
      <w:r>
        <w:fldChar w:fldCharType="separate"/>
      </w:r>
      <w:r w:rsidRPr="0078619E">
        <w:rPr>
          <w:rStyle w:val="Hyperlink"/>
          <w:rFonts w:ascii="Gilroy" w:hAnsi="Gilroy" w:cs="Arial"/>
          <w:color w:val="000000" w:themeColor="text1"/>
          <w:sz w:val="18"/>
          <w:szCs w:val="18"/>
        </w:rPr>
        <w:t>https://privacyinternational.org/explainer/4495/how-facial-recognition-technology-can-be-used-protest</w:t>
      </w:r>
      <w:r>
        <w:fldChar w:fldCharType="end"/>
      </w:r>
      <w:r w:rsidRPr="0078619E">
        <w:rPr>
          <w:rFonts w:ascii="Gilroy" w:hAnsi="Gilroy"/>
          <w:color w:val="000000" w:themeColor="text1"/>
          <w:sz w:val="18"/>
          <w:szCs w:val="18"/>
        </w:rPr>
        <w:t xml:space="preserve"> </w:t>
      </w:r>
    </w:p>
  </w:footnote>
  <w:footnote w:id="24">
    <w:p w:rsidR="00EB6747" w:rsidRPr="0078619E" w:rsidP="005446EF">
      <w:pPr>
        <w:pStyle w:val="FootnoteText"/>
        <w:rPr>
          <w:rFonts w:ascii="Gilroy" w:hAnsi="Gilroy" w:cs="Arial"/>
          <w:color w:val="000000" w:themeColor="text1"/>
          <w:sz w:val="18"/>
          <w:szCs w:val="18"/>
        </w:rPr>
      </w:pPr>
      <w:r w:rsidRPr="0078619E">
        <w:rPr>
          <w:rStyle w:val="FootnoteReference"/>
          <w:rFonts w:ascii="Gilroy" w:hAnsi="Gilroy"/>
          <w:color w:val="000000" w:themeColor="text1"/>
          <w:sz w:val="18"/>
          <w:szCs w:val="18"/>
        </w:rPr>
        <w:footnoteRef/>
      </w:r>
      <w:r w:rsidRPr="0078619E">
        <w:rPr>
          <w:rFonts w:ascii="Gilroy" w:hAnsi="Gilroy"/>
          <w:color w:val="000000" w:themeColor="text1"/>
          <w:sz w:val="18"/>
          <w:szCs w:val="18"/>
        </w:rPr>
        <w:t xml:space="preserve"> </w:t>
      </w:r>
      <w:r w:rsidRPr="0078619E">
        <w:rPr>
          <w:rFonts w:ascii="Gilroy" w:hAnsi="Gilroy" w:cs="Arial"/>
          <w:color w:val="000000" w:themeColor="text1"/>
          <w:sz w:val="18"/>
          <w:szCs w:val="18"/>
        </w:rPr>
        <w:t xml:space="preserve">Privacy International, </w:t>
      </w:r>
      <w:r w:rsidRPr="0078619E">
        <w:rPr>
          <w:rFonts w:ascii="Gilroy" w:hAnsi="Gilroy" w:cs="Arial"/>
          <w:color w:val="000000" w:themeColor="text1"/>
          <w:sz w:val="18"/>
          <w:szCs w:val="18"/>
        </w:rPr>
        <w:t xml:space="preserve">Prosecuted for Protesting, </w:t>
      </w:r>
      <w:r w:rsidRPr="0078619E">
        <w:rPr>
          <w:rFonts w:ascii="Gilroy" w:hAnsi="Gilroy" w:cs="Arial"/>
          <w:color w:val="000000" w:themeColor="text1"/>
          <w:sz w:val="18"/>
          <w:szCs w:val="18"/>
        </w:rPr>
        <w:t xml:space="preserve">10 January 2025, </w:t>
      </w:r>
      <w:r>
        <w:fldChar w:fldCharType="begin"/>
      </w:r>
      <w:r>
        <w:instrText xml:space="preserve"> HYPERLINK "https://privacyinternational.org/long-read/5460/prosecuted-protesting" </w:instrText>
      </w:r>
      <w:r>
        <w:fldChar w:fldCharType="separate"/>
      </w:r>
      <w:r w:rsidRPr="0078619E">
        <w:rPr>
          <w:rStyle w:val="Hyperlink"/>
          <w:rFonts w:ascii="Gilroy" w:hAnsi="Gilroy" w:cs="Arial"/>
          <w:sz w:val="18"/>
          <w:szCs w:val="18"/>
        </w:rPr>
        <w:t>https://privacyinternational.org/long-read/5460/prosecuted-protesting</w:t>
      </w:r>
      <w:r>
        <w:fldChar w:fldCharType="end"/>
      </w:r>
      <w:r w:rsidRPr="0078619E">
        <w:rPr>
          <w:rFonts w:ascii="Gilroy" w:hAnsi="Gilroy" w:cs="Arial"/>
          <w:color w:val="000000" w:themeColor="text1"/>
          <w:sz w:val="18"/>
          <w:szCs w:val="18"/>
        </w:rPr>
        <w:t xml:space="preserve"> </w:t>
      </w:r>
    </w:p>
  </w:footnote>
  <w:footnote w:id="25">
    <w:p w:rsidR="00EB6747" w:rsidRPr="00E51A00">
      <w:pPr>
        <w:pStyle w:val="FootnoteText"/>
        <w:rPr>
          <w:rFonts w:ascii="Gilroy" w:hAnsi="Gilroy"/>
          <w:sz w:val="18"/>
          <w:szCs w:val="18"/>
          <w:lang w:val="en-GB"/>
        </w:rPr>
      </w:pPr>
      <w:r w:rsidRPr="0078619E">
        <w:rPr>
          <w:rStyle w:val="FootnoteReference"/>
          <w:rFonts w:ascii="Gilroy" w:hAnsi="Gilroy"/>
          <w:sz w:val="18"/>
          <w:szCs w:val="18"/>
        </w:rPr>
        <w:footnoteRef/>
      </w:r>
      <w:r w:rsidRPr="0078619E">
        <w:rPr>
          <w:rFonts w:ascii="Gilroy" w:hAnsi="Gilroy"/>
          <w:sz w:val="18"/>
          <w:szCs w:val="18"/>
        </w:rPr>
        <w:t xml:space="preserve"> </w:t>
      </w:r>
      <w:r w:rsidRPr="0078619E">
        <w:rPr>
          <w:rFonts w:ascii="Gilroy" w:hAnsi="Gilroy"/>
          <w:sz w:val="18"/>
          <w:szCs w:val="18"/>
        </w:rPr>
        <w:t xml:space="preserve">Ross Lydall, Tube fare dodging: live facial recognition cameras could be used to catch most prolific evaders, </w:t>
      </w:r>
      <w:r w:rsidRPr="0078619E">
        <w:rPr>
          <w:rFonts w:ascii="Gilroy" w:hAnsi="Gilroy"/>
          <w:i/>
          <w:iCs/>
          <w:sz w:val="18"/>
          <w:szCs w:val="18"/>
        </w:rPr>
        <w:t>The Standard</w:t>
      </w:r>
      <w:r w:rsidRPr="0078619E">
        <w:rPr>
          <w:rFonts w:ascii="Gilroy" w:hAnsi="Gilroy"/>
          <w:sz w:val="18"/>
          <w:szCs w:val="18"/>
        </w:rPr>
        <w:t xml:space="preserve">, 9 July 2025, </w:t>
      </w:r>
      <w:r>
        <w:fldChar w:fldCharType="begin"/>
      </w:r>
      <w:r>
        <w:instrText xml:space="preserve"> HYPERLINK "https://www.standard.co.uk/news/transport/facial-recognition-cameras-fare-dodging-tube-london-underground-tfl-b1237049.html" </w:instrText>
      </w:r>
      <w:r>
        <w:fldChar w:fldCharType="separate"/>
      </w:r>
      <w:r w:rsidRPr="0078619E">
        <w:rPr>
          <w:rStyle w:val="Hyperlink"/>
          <w:rFonts w:ascii="Gilroy" w:hAnsi="Gilroy" w:eastAsiaTheme="majorEastAsia"/>
          <w:sz w:val="18"/>
          <w:szCs w:val="18"/>
        </w:rPr>
        <w:t>https://www.standard.co.uk/news/transport/facial-recognition-cameras-fare-dodging-tube-london-underground-tfl-b1237049.html</w:t>
      </w:r>
      <w:r>
        <w:fldChar w:fldCharType="end"/>
      </w:r>
      <w:r w:rsidRPr="0078619E">
        <w:rPr>
          <w:rFonts w:ascii="Gilroy" w:hAnsi="Gilroy"/>
          <w:sz w:val="18"/>
          <w:szCs w:val="18"/>
        </w:rPr>
        <w:t xml:space="preserve"> </w:t>
      </w:r>
    </w:p>
  </w:footnote>
  <w:footnote w:id="26">
    <w:p w:rsidR="00EB6747" w:rsidRPr="00E51A00">
      <w:pPr>
        <w:pStyle w:val="FootnoteText"/>
        <w:rPr>
          <w:rFonts w:ascii="Gilroy" w:hAnsi="Gilroy"/>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w:t>
      </w:r>
      <w:r w:rsidRPr="00E51A00">
        <w:rPr>
          <w:rFonts w:ascii="Gilroy" w:hAnsi="Gilroy"/>
          <w:sz w:val="18"/>
          <w:szCs w:val="18"/>
        </w:rPr>
        <w:t xml:space="preserve">Rajeed Syal, ‘Met chief rejects calls to scrap live facial recognition at Notting Hill carnival’, </w:t>
      </w:r>
      <w:r w:rsidRPr="00E51A00">
        <w:rPr>
          <w:rFonts w:ascii="Gilroy" w:hAnsi="Gilroy"/>
          <w:i/>
          <w:iCs/>
          <w:sz w:val="18"/>
          <w:szCs w:val="18"/>
        </w:rPr>
        <w:t xml:space="preserve">The Guardian, </w:t>
      </w:r>
      <w:r w:rsidRPr="00E51A00">
        <w:rPr>
          <w:rFonts w:ascii="Gilroy" w:hAnsi="Gilroy"/>
          <w:sz w:val="18"/>
          <w:szCs w:val="18"/>
        </w:rPr>
        <w:t xml:space="preserve">19 August 2025, </w:t>
      </w:r>
      <w:r>
        <w:fldChar w:fldCharType="begin"/>
      </w:r>
      <w:r>
        <w:instrText xml:space="preserve"> HYPERLINK "https://www.theguardian.com/culture/2025/aug/19/met-chief-rejects-calls-scrap-live-facial-recognition-notting-hill-carnival" </w:instrText>
      </w:r>
      <w:r>
        <w:fldChar w:fldCharType="separate"/>
      </w:r>
      <w:r w:rsidRPr="00E51A00">
        <w:rPr>
          <w:rStyle w:val="Hyperlink"/>
          <w:rFonts w:ascii="Gilroy" w:hAnsi="Gilroy"/>
          <w:sz w:val="18"/>
          <w:szCs w:val="18"/>
        </w:rPr>
        <w:t>https://www.theguardian.com/culture/2025/aug/19/met-chief-rejects-calls-scrap-live-facial-recognition-notting-hill-carnival</w:t>
      </w:r>
      <w:r>
        <w:fldChar w:fldCharType="end"/>
      </w:r>
    </w:p>
  </w:footnote>
  <w:footnote w:id="27">
    <w:p w:rsidR="00EB6747" w:rsidRPr="00E51A00">
      <w:pPr>
        <w:pStyle w:val="FootnoteText"/>
        <w:rPr>
          <w:rFonts w:ascii="Gilroy" w:hAnsi="Gilroy"/>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Niamh Campbell, ‘Six Nations: Extra ‘live facial recognition’ cameras to be deployed by police across Cardiff ahead of Wales v Ireland’, </w:t>
      </w:r>
      <w:r w:rsidRPr="00E51A00">
        <w:rPr>
          <w:rFonts w:ascii="Gilroy" w:hAnsi="Gilroy"/>
          <w:i/>
          <w:iCs/>
          <w:sz w:val="18"/>
          <w:szCs w:val="18"/>
        </w:rPr>
        <w:t>Belfast Telegraph</w:t>
      </w:r>
      <w:r w:rsidRPr="00E51A00">
        <w:rPr>
          <w:rFonts w:ascii="Gilroy" w:hAnsi="Gilroy"/>
          <w:sz w:val="18"/>
          <w:szCs w:val="18"/>
        </w:rPr>
        <w:t>,</w:t>
      </w:r>
      <w:r w:rsidRPr="00E51A00">
        <w:rPr>
          <w:rFonts w:ascii="Gilroy" w:hAnsi="Gilroy"/>
          <w:b/>
          <w:bCs/>
          <w:sz w:val="18"/>
          <w:szCs w:val="18"/>
        </w:rPr>
        <w:t xml:space="preserve"> </w:t>
      </w:r>
      <w:r w:rsidRPr="00E51A00">
        <w:rPr>
          <w:rFonts w:ascii="Gilroy" w:hAnsi="Gilroy"/>
          <w:sz w:val="18"/>
          <w:szCs w:val="18"/>
        </w:rPr>
        <w:t>19 February 2025,</w:t>
      </w:r>
      <w:r w:rsidRPr="00E51A00">
        <w:rPr>
          <w:rFonts w:ascii="Gilroy" w:hAnsi="Gilroy"/>
          <w:b/>
          <w:bCs/>
          <w:sz w:val="18"/>
          <w:szCs w:val="18"/>
        </w:rPr>
        <w:t xml:space="preserve"> </w:t>
      </w:r>
      <w:r>
        <w:fldChar w:fldCharType="begin"/>
      </w:r>
      <w:r>
        <w:instrText xml:space="preserve"> HYPERLINK "https://www.belfasttelegraph.co.uk/sport/rugby/six-nations-extra-live-facial-recognition-cameras-to-be-deployed-by-police-across-cardiff-ahead-of-wales-v-ireland/a1267098689.html" </w:instrText>
      </w:r>
      <w:r>
        <w:fldChar w:fldCharType="separate"/>
      </w:r>
      <w:r w:rsidRPr="00E51A00">
        <w:rPr>
          <w:rStyle w:val="Hyperlink"/>
          <w:rFonts w:ascii="Gilroy" w:hAnsi="Gilroy"/>
          <w:sz w:val="18"/>
          <w:szCs w:val="18"/>
        </w:rPr>
        <w:t>https://www.belfasttelegraph.co.uk/sport/rugby/six-nations-extra-live-facial-recognition-cameras-to-be-deployed-by-police-across-cardiff-ahead-of-wales-v-ireland/a1267098689.html</w:t>
      </w:r>
      <w:r>
        <w:fldChar w:fldCharType="end"/>
      </w:r>
    </w:p>
  </w:footnote>
  <w:footnote w:id="28">
    <w:p w:rsidR="00EB6747" w:rsidRPr="00E51A00">
      <w:pPr>
        <w:pStyle w:val="FootnoteText"/>
        <w:rPr>
          <w:rFonts w:ascii="Gilroy" w:hAnsi="Gilroy"/>
          <w:b/>
          <w:bCs/>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w:t>
      </w:r>
      <w:r w:rsidRPr="00E51A00">
        <w:rPr>
          <w:rFonts w:ascii="Gilroy" w:hAnsi="Gilroy"/>
          <w:sz w:val="18"/>
          <w:szCs w:val="18"/>
        </w:rPr>
        <w:t xml:space="preserve">Harry Low, </w:t>
      </w:r>
      <w:r w:rsidRPr="00E51A00">
        <w:rPr>
          <w:rFonts w:ascii="Gilroy" w:hAnsi="Gilroy"/>
          <w:sz w:val="18"/>
          <w:szCs w:val="18"/>
          <w:lang w:val="en-GB"/>
        </w:rPr>
        <w:t xml:space="preserve">No 'basis' for face scanning at rally, Met says, </w:t>
      </w:r>
      <w:r w:rsidRPr="00E51A00">
        <w:rPr>
          <w:rFonts w:ascii="Gilroy" w:hAnsi="Gilroy"/>
          <w:i/>
          <w:iCs/>
          <w:sz w:val="18"/>
          <w:szCs w:val="18"/>
          <w:lang w:val="en-GB"/>
        </w:rPr>
        <w:t>BBC News,</w:t>
      </w:r>
      <w:r w:rsidRPr="00E51A00">
        <w:rPr>
          <w:rFonts w:ascii="Gilroy" w:hAnsi="Gilroy"/>
          <w:sz w:val="18"/>
          <w:szCs w:val="18"/>
          <w:lang w:val="en-GB"/>
        </w:rPr>
        <w:t xml:space="preserve"> </w:t>
      </w:r>
      <w:r w:rsidRPr="00E51A00">
        <w:rPr>
          <w:rStyle w:val="ssrcss-61mhsj-metadatatext"/>
          <w:rFonts w:ascii="Gilroy" w:hAnsi="Gilroy"/>
          <w:sz w:val="18"/>
          <w:szCs w:val="18"/>
        </w:rPr>
        <w:t xml:space="preserve">16 September 2025, </w:t>
      </w:r>
      <w:r>
        <w:fldChar w:fldCharType="begin"/>
      </w:r>
      <w:r>
        <w:instrText xml:space="preserve"> HYPERLINK "https://www.bbc.co.uk/news/articles/c75q3e7xnr9o" </w:instrText>
      </w:r>
      <w:r>
        <w:fldChar w:fldCharType="separate"/>
      </w:r>
      <w:r w:rsidRPr="00E51A00">
        <w:rPr>
          <w:rStyle w:val="Hyperlink"/>
          <w:rFonts w:ascii="Gilroy" w:hAnsi="Gilroy"/>
          <w:sz w:val="18"/>
          <w:szCs w:val="18"/>
        </w:rPr>
        <w:t>https://www.bbc.co.uk/news/articles/c75q3e7xnr9o</w:t>
      </w:r>
      <w:r>
        <w:fldChar w:fldCharType="end"/>
      </w:r>
      <w:r w:rsidRPr="00E51A00">
        <w:rPr>
          <w:rStyle w:val="ssrcss-61mhsj-metadatatext"/>
          <w:rFonts w:ascii="Gilroy" w:hAnsi="Gilroy"/>
          <w:sz w:val="18"/>
          <w:szCs w:val="18"/>
        </w:rPr>
        <w:t xml:space="preserve"> </w:t>
      </w:r>
    </w:p>
  </w:footnote>
  <w:footnote w:id="29">
    <w:p w:rsidR="00EB6747" w:rsidRPr="00E51A00">
      <w:pPr>
        <w:pStyle w:val="FootnoteText"/>
        <w:rPr>
          <w:rFonts w:ascii="Gilroy" w:hAnsi="Gilroy"/>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w:t>
      </w:r>
      <w:r w:rsidRPr="00E51A00">
        <w:rPr>
          <w:rFonts w:ascii="Gilroy" w:hAnsi="Gilroy"/>
          <w:sz w:val="18"/>
          <w:szCs w:val="18"/>
        </w:rPr>
        <w:t xml:space="preserve">See: </w:t>
      </w:r>
      <w:r>
        <w:fldChar w:fldCharType="begin"/>
      </w:r>
      <w:r>
        <w:instrText xml:space="preserve"> HYPERLINK "https://www.met.police.uk/foi-ai/metropolitan-police/disclosure-2024/january-2024/use-of-facial-recognition-technology/" </w:instrText>
      </w:r>
      <w:r>
        <w:fldChar w:fldCharType="separate"/>
      </w:r>
      <w:r w:rsidRPr="00E51A00">
        <w:rPr>
          <w:rStyle w:val="Hyperlink"/>
          <w:rFonts w:ascii="Gilroy" w:hAnsi="Gilroy"/>
          <w:sz w:val="18"/>
          <w:szCs w:val="18"/>
        </w:rPr>
        <w:t>https://www.met.police.uk/foi-ai/metropolitan-police/disclosure-2024/january-2024/use-of-facial-recognition-technology/</w:t>
      </w:r>
      <w:r>
        <w:fldChar w:fldCharType="end"/>
      </w:r>
      <w:r w:rsidRPr="00E51A00">
        <w:rPr>
          <w:rFonts w:ascii="Gilroy" w:hAnsi="Gilroy"/>
          <w:sz w:val="18"/>
          <w:szCs w:val="18"/>
        </w:rPr>
        <w:t xml:space="preserve"> </w:t>
      </w:r>
    </w:p>
  </w:footnote>
  <w:footnote w:id="30">
    <w:p w:rsidR="00EB6747" w:rsidRPr="00EE36AE" w:rsidP="004B43D7">
      <w:pPr>
        <w:pStyle w:val="Heading1"/>
        <w:spacing w:before="0" w:after="0"/>
        <w:rPr>
          <w:rFonts w:ascii="Gilroy" w:hAnsi="Gilroy" w:cs="Arial"/>
          <w:color w:val="000000" w:themeColor="text1"/>
          <w:sz w:val="18"/>
          <w:szCs w:val="18"/>
        </w:rPr>
      </w:pPr>
      <w:r w:rsidRPr="00EE36AE">
        <w:rPr>
          <w:rStyle w:val="FootnoteReference"/>
          <w:rFonts w:ascii="Gilroy" w:hAnsi="Gilroy" w:cs="Arial"/>
          <w:color w:val="000000" w:themeColor="text1"/>
          <w:sz w:val="18"/>
          <w:szCs w:val="18"/>
        </w:rPr>
        <w:footnoteRef/>
      </w:r>
      <w:r w:rsidRPr="00EE36AE">
        <w:rPr>
          <w:rFonts w:ascii="Gilroy" w:hAnsi="Gilroy" w:cs="Arial"/>
          <w:color w:val="000000" w:themeColor="text1"/>
          <w:sz w:val="18"/>
          <w:szCs w:val="18"/>
        </w:rPr>
        <w:t xml:space="preserve"> UK Home Office</w:t>
      </w:r>
      <w:r w:rsidRPr="00EE36AE">
        <w:rPr>
          <w:rFonts w:ascii="Gilroy" w:hAnsi="Gilroy" w:cs="Arial"/>
          <w:color w:val="000000" w:themeColor="text1"/>
          <w:sz w:val="18"/>
          <w:szCs w:val="18"/>
        </w:rPr>
        <w:t xml:space="preserve"> &amp; Ministry of Justice</w:t>
      </w:r>
      <w:r w:rsidRPr="00EE36AE">
        <w:rPr>
          <w:rFonts w:ascii="Gilroy" w:hAnsi="Gilroy" w:cs="Arial"/>
          <w:color w:val="000000" w:themeColor="text1"/>
          <w:sz w:val="18"/>
          <w:szCs w:val="18"/>
        </w:rPr>
        <w:t xml:space="preserve">, </w:t>
      </w:r>
      <w:r w:rsidRPr="00EE36AE">
        <w:rPr>
          <w:rFonts w:ascii="Gilroy" w:hAnsi="Gilroy" w:cs="Arial"/>
          <w:color w:val="000000" w:themeColor="text1"/>
          <w:sz w:val="18"/>
          <w:szCs w:val="18"/>
        </w:rPr>
        <w:t xml:space="preserve">Crime and Policing Act 2026: public order offences factsheet,  </w:t>
      </w:r>
      <w:r>
        <w:fldChar w:fldCharType="begin"/>
      </w:r>
      <w:r>
        <w:instrText xml:space="preserve"> HYPERLINK "https://www.gov.uk/government/publications/crime-and-policing-act-2026-factsheets/crime-and-policing-act-2026-public-order-offences-factsheet" </w:instrText>
      </w:r>
      <w:r>
        <w:fldChar w:fldCharType="separate"/>
      </w:r>
      <w:r w:rsidRPr="00EE36AE">
        <w:rPr>
          <w:rStyle w:val="Hyperlink"/>
          <w:rFonts w:ascii="Gilroy" w:hAnsi="Gilroy" w:cs="Arial"/>
          <w:sz w:val="18"/>
          <w:szCs w:val="18"/>
        </w:rPr>
        <w:t>https://www.gov.uk/government/publications/crime-and-policing-act-2026-factsheets/crime-and-policing-act-2026-public-order-offences-factsheet</w:t>
      </w:r>
      <w:r>
        <w:fldChar w:fldCharType="end"/>
      </w:r>
      <w:r w:rsidRPr="00EE36AE">
        <w:rPr>
          <w:rFonts w:ascii="Gilroy" w:hAnsi="Gilroy" w:cs="Arial"/>
          <w:color w:val="000000" w:themeColor="text1"/>
          <w:sz w:val="18"/>
          <w:szCs w:val="18"/>
        </w:rPr>
        <w:t xml:space="preserve"> </w:t>
      </w:r>
    </w:p>
  </w:footnote>
  <w:footnote w:id="31">
    <w:p w:rsidR="00EB6747" w:rsidRPr="00E51A00">
      <w:pPr>
        <w:pStyle w:val="FootnoteText"/>
        <w:rPr>
          <w:rFonts w:ascii="Gilroy" w:hAnsi="Gilroy"/>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w:t>
      </w:r>
      <w:r w:rsidRPr="00E51A00">
        <w:rPr>
          <w:rStyle w:val="s29100277"/>
          <w:rFonts w:ascii="Gilroy" w:hAnsi="Gilroy" w:eastAsiaTheme="majorEastAsia"/>
          <w:i/>
          <w:iCs/>
          <w:sz w:val="18"/>
          <w:szCs w:val="18"/>
        </w:rPr>
        <w:t>Glukhin v. Russia</w:t>
      </w:r>
      <w:r w:rsidRPr="00E51A00">
        <w:rPr>
          <w:rStyle w:val="sa36b60a1"/>
          <w:rFonts w:ascii="Gilroy" w:hAnsi="Gilroy" w:eastAsiaTheme="majorEastAsia"/>
          <w:sz w:val="18"/>
          <w:szCs w:val="18"/>
        </w:rPr>
        <w:t xml:space="preserve"> (2023) ECtHR. See:</w:t>
      </w:r>
      <w:r w:rsidRPr="00E51A00">
        <w:rPr>
          <w:rFonts w:ascii="Gilroy" w:hAnsi="Gilroy" w:cs="Arial"/>
          <w:color w:val="000000" w:themeColor="text1"/>
          <w:sz w:val="18"/>
          <w:szCs w:val="18"/>
        </w:rPr>
        <w:t xml:space="preserve"> </w:t>
      </w:r>
      <w:r>
        <w:fldChar w:fldCharType="begin"/>
      </w:r>
      <w:r>
        <w:instrText xml:space="preserve"> HYPERLINK "https://hudoc.echr.coe.int/eng" \l "{%22itemid%22:[%22001-225655%22]}" </w:instrText>
      </w:r>
      <w:r>
        <w:fldChar w:fldCharType="separate"/>
      </w:r>
      <w:r w:rsidRPr="00E51A00">
        <w:rPr>
          <w:rStyle w:val="Hyperlink"/>
          <w:rFonts w:ascii="Gilroy" w:hAnsi="Gilroy" w:cs="Arial"/>
          <w:color w:val="000000" w:themeColor="text1"/>
          <w:sz w:val="18"/>
          <w:szCs w:val="18"/>
        </w:rPr>
        <w:t>https://hudoc.echr.coe.int/eng#{%22itemid%22:[%22001-225655%22]}</w:t>
      </w:r>
      <w:r>
        <w:fldChar w:fldCharType="end"/>
      </w:r>
      <w:r w:rsidRPr="00E51A00">
        <w:rPr>
          <w:rFonts w:ascii="Gilroy" w:hAnsi="Gilroy"/>
          <w:sz w:val="18"/>
          <w:szCs w:val="18"/>
        </w:rPr>
        <w:t xml:space="preserve"> </w:t>
      </w:r>
    </w:p>
  </w:footnote>
  <w:footnote w:id="32">
    <w:p w:rsidR="00EB6747" w:rsidRPr="00E51A00">
      <w:pPr>
        <w:pStyle w:val="FootnoteText"/>
        <w:rPr>
          <w:rFonts w:ascii="Gilroy" w:hAnsi="Gilroy"/>
          <w:sz w:val="18"/>
          <w:szCs w:val="18"/>
          <w:lang w:val="en-GB"/>
        </w:rPr>
      </w:pPr>
      <w:r w:rsidRPr="00E51A00">
        <w:rPr>
          <w:rStyle w:val="FootnoteReference"/>
          <w:rFonts w:ascii="Gilroy" w:hAnsi="Gilroy"/>
          <w:sz w:val="18"/>
          <w:szCs w:val="18"/>
        </w:rPr>
        <w:footnoteRef/>
      </w:r>
      <w:r w:rsidRPr="00E51A00">
        <w:rPr>
          <w:rFonts w:ascii="Gilroy" w:hAnsi="Gilroy"/>
          <w:sz w:val="18"/>
          <w:szCs w:val="18"/>
        </w:rPr>
        <w:t xml:space="preserve"> </w:t>
      </w:r>
      <w:r w:rsidRPr="00E51A00">
        <w:rPr>
          <w:rFonts w:ascii="Gilroy" w:hAnsi="Gilroy"/>
          <w:sz w:val="18"/>
          <w:szCs w:val="18"/>
        </w:rPr>
        <w:t xml:space="preserve">Ibid. </w:t>
      </w:r>
    </w:p>
  </w:footnote>
  <w:footnote w:id="33">
    <w:p w:rsidR="00EB6747" w:rsidRPr="0078619E" w:rsidP="0078619E">
      <w:pPr>
        <w:spacing w:after="0"/>
        <w:rPr>
          <w:rFonts w:ascii="Gilroy" w:eastAsia="Times New Roman" w:hAnsi="Gilroy"/>
          <w:kern w:val="0"/>
          <w:sz w:val="18"/>
          <w:szCs w:val="18"/>
          <w:lang w:eastAsia="en-GB"/>
        </w:rPr>
      </w:pPr>
      <w:r w:rsidRPr="0078619E">
        <w:rPr>
          <w:rStyle w:val="FootnoteReference"/>
          <w:rFonts w:ascii="Gilroy" w:hAnsi="Gilroy"/>
          <w:sz w:val="18"/>
          <w:szCs w:val="18"/>
        </w:rPr>
        <w:footnoteRef/>
      </w:r>
      <w:r w:rsidRPr="0078619E">
        <w:rPr>
          <w:rFonts w:ascii="Gilroy" w:hAnsi="Gilroy"/>
          <w:sz w:val="18"/>
          <w:szCs w:val="18"/>
        </w:rPr>
        <w:t xml:space="preserve"> </w:t>
      </w:r>
      <w:r w:rsidRPr="0078619E">
        <w:rPr>
          <w:rFonts w:ascii="Gilroy" w:hAnsi="Gilroy" w:cs="Helvetica"/>
          <w:color w:val="000000"/>
          <w:kern w:val="0"/>
          <w:sz w:val="18"/>
          <w:szCs w:val="18"/>
        </w:rPr>
        <w:t xml:space="preserve">UN Human Rights Council, Impact of New Technologies on the Promotion and Protection of Human Rights in the Context of Assemblies, including Peaceful Protests: Report of the United Nations High Commissioner for Human Rights, 24 June 2020, UN Doc A/HRC/44/24, </w:t>
      </w:r>
      <w:r w:rsidRPr="0078619E">
        <w:rPr>
          <w:rFonts w:ascii="Cambria" w:hAnsi="Cambria" w:cs="Cambria"/>
          <w:color w:val="000000"/>
          <w:kern w:val="0"/>
          <w:sz w:val="18"/>
          <w:szCs w:val="18"/>
        </w:rPr>
        <w:t> </w:t>
      </w:r>
      <w:r>
        <w:fldChar w:fldCharType="begin"/>
      </w:r>
      <w:r>
        <w:instrText xml:space="preserve"> HYPERLINK "https://documents-dds-ny.un.org/doc/UNDOC/GEN/G20/154/35/PDF/G2015435.pdf?OpenElement" </w:instrText>
      </w:r>
      <w:r>
        <w:fldChar w:fldCharType="separate"/>
      </w:r>
      <w:r w:rsidRPr="0078619E">
        <w:rPr>
          <w:rFonts w:ascii="Gilroy" w:hAnsi="Gilroy" w:cs="Helvetica"/>
          <w:color w:val="094FD1"/>
          <w:kern w:val="0"/>
          <w:sz w:val="18"/>
          <w:szCs w:val="18"/>
          <w:u w:val="single" w:color="094FD1"/>
        </w:rPr>
        <w:t>https://documents-dds-ny.un.org/doc/UNDOC/GEN/G20/154/35/PDF/G2015435.pdf?OpenElement</w:t>
      </w:r>
      <w:r>
        <w:fldChar w:fldCharType="end"/>
      </w:r>
      <w:r w:rsidRPr="0078619E">
        <w:rPr>
          <w:rFonts w:ascii="Gilroy" w:hAnsi="Gilroy"/>
          <w:sz w:val="18"/>
          <w:szCs w:val="18"/>
        </w:rPr>
        <w:t xml:space="preserve">, </w:t>
      </w:r>
      <w:r w:rsidRPr="0078619E">
        <w:rPr>
          <w:rFonts w:ascii="Gilroy" w:hAnsi="Gilroy"/>
          <w:sz w:val="18"/>
          <w:szCs w:val="18"/>
        </w:rPr>
        <w:t>See</w:t>
      </w:r>
      <w:r w:rsidRPr="0078619E">
        <w:rPr>
          <w:rFonts w:ascii="Gilroy" w:hAnsi="Gilroy"/>
          <w:sz w:val="18"/>
          <w:szCs w:val="18"/>
        </w:rPr>
        <w:t xml:space="preserve"> also</w:t>
      </w:r>
      <w:r w:rsidRPr="0078619E">
        <w:rPr>
          <w:rFonts w:ascii="Gilroy" w:hAnsi="Gilroy"/>
          <w:sz w:val="18"/>
          <w:szCs w:val="18"/>
        </w:rPr>
        <w:t xml:space="preserve">: </w:t>
      </w:r>
      <w:r>
        <w:fldChar w:fldCharType="begin"/>
      </w:r>
      <w:r>
        <w:instrText xml:space="preserve"> HYPERLINK "https://www.ohchr.org/en/press-releases/2020/06/new-technologies-must-serve-not-hinder-right-peaceful-protest-bachelet-tells" </w:instrText>
      </w:r>
      <w:r>
        <w:fldChar w:fldCharType="separate"/>
      </w:r>
      <w:r w:rsidRPr="0078619E">
        <w:rPr>
          <w:rStyle w:val="Hyperlink"/>
          <w:rFonts w:ascii="Gilroy" w:hAnsi="Gilroy"/>
          <w:sz w:val="18"/>
          <w:szCs w:val="18"/>
        </w:rPr>
        <w:t>https://www.ohchr.org/en/press-releases/2020/06/new-technologies-must-serve-not-hinder-right-peaceful-protest-bachelet-tells</w:t>
      </w:r>
      <w:r>
        <w:fldChar w:fldCharType="end"/>
      </w:r>
      <w:r w:rsidRPr="0078619E">
        <w:rPr>
          <w:rFonts w:ascii="Gilroy" w:hAnsi="Gilroy"/>
          <w:sz w:val="18"/>
          <w:szCs w:val="18"/>
        </w:rPr>
        <w:t xml:space="preserve">.  </w:t>
      </w:r>
    </w:p>
  </w:footnote>
  <w:footnote w:id="34">
    <w:p w:rsidR="00EB6747" w:rsidRPr="0078619E" w:rsidP="00361B3F">
      <w:pPr>
        <w:pStyle w:val="FootnoteText"/>
        <w:rPr>
          <w:rFonts w:ascii="Gilroy" w:hAnsi="Gilroy"/>
          <w:sz w:val="18"/>
          <w:szCs w:val="18"/>
        </w:rPr>
      </w:pPr>
      <w:r w:rsidRPr="0078619E">
        <w:rPr>
          <w:rStyle w:val="FootnoteReference"/>
          <w:rFonts w:ascii="Gilroy" w:hAnsi="Gilroy"/>
          <w:sz w:val="18"/>
          <w:szCs w:val="18"/>
        </w:rPr>
        <w:footnoteRef/>
      </w:r>
      <w:r w:rsidRPr="0078619E">
        <w:rPr>
          <w:rFonts w:ascii="Gilroy" w:hAnsi="Gilroy"/>
          <w:sz w:val="18"/>
          <w:szCs w:val="18"/>
        </w:rPr>
        <w:t xml:space="preserve"> A/HRC/41/41, Report of the Special Rapporteur on the rights to freedom of peaceful assembly and of association, 17 May 2019, para 57.</w:t>
      </w:r>
      <w:r w:rsidRPr="0078619E">
        <w:rPr>
          <w:rFonts w:ascii="Gilroy" w:hAnsi="Gilroy"/>
          <w:sz w:val="18"/>
          <w:szCs w:val="18"/>
        </w:rPr>
        <w:t xml:space="preserve"> </w:t>
      </w:r>
    </w:p>
  </w:footnote>
  <w:footnote w:id="35">
    <w:p w:rsidR="00EB6747" w:rsidRPr="0078619E" w:rsidP="00361B3F">
      <w:pPr>
        <w:pStyle w:val="Heading1"/>
        <w:spacing w:before="0" w:after="0"/>
        <w:rPr>
          <w:rFonts w:ascii="Gilroy" w:hAnsi="Gilroy"/>
          <w:sz w:val="18"/>
          <w:szCs w:val="18"/>
        </w:rPr>
      </w:pPr>
      <w:r w:rsidRPr="0078619E">
        <w:rPr>
          <w:rStyle w:val="FootnoteReference"/>
          <w:rFonts w:ascii="Gilroy" w:hAnsi="Gilroy"/>
          <w:sz w:val="18"/>
          <w:szCs w:val="18"/>
        </w:rPr>
        <w:footnoteRef/>
      </w:r>
      <w:r w:rsidRPr="0078619E">
        <w:rPr>
          <w:rFonts w:ascii="Gilroy" w:hAnsi="Gilroy"/>
          <w:sz w:val="18"/>
          <w:szCs w:val="18"/>
        </w:rPr>
        <w:t xml:space="preserve"> See: </w:t>
      </w:r>
      <w:r>
        <w:fldChar w:fldCharType="begin"/>
      </w:r>
      <w:r>
        <w:instrText xml:space="preserve"> HYPERLINK "https://www.ohchr.org/en/press-releases/2020/06/new-technologies-must-serve-not-hinder-right-peaceful-protest-bachelet-tells" </w:instrText>
      </w:r>
      <w:r>
        <w:fldChar w:fldCharType="separate"/>
      </w:r>
      <w:r w:rsidRPr="0078619E">
        <w:rPr>
          <w:rStyle w:val="Hyperlink"/>
          <w:rFonts w:ascii="Gilroy" w:hAnsi="Gilroy"/>
          <w:sz w:val="18"/>
          <w:szCs w:val="18"/>
        </w:rPr>
        <w:t>https://www.ohchr.org/en/press-releases/2020/06/new-technologies-must-serve-not-hinder-right-peaceful-protest-bachelet-tells</w:t>
      </w:r>
      <w:r>
        <w:fldChar w:fldCharType="end"/>
      </w:r>
      <w:r w:rsidRPr="0078619E">
        <w:rPr>
          <w:rFonts w:ascii="Gilroy" w:hAnsi="Gilroy"/>
          <w:sz w:val="18"/>
          <w:szCs w:val="18"/>
        </w:rPr>
        <w:t xml:space="preserve"> </w:t>
      </w:r>
    </w:p>
  </w:footnote>
  <w:footnote w:id="36">
    <w:p w:rsidR="00EB6747" w:rsidRPr="0078619E" w:rsidP="008517F5">
      <w:pPr>
        <w:pStyle w:val="FootnoteText"/>
        <w:rPr>
          <w:rFonts w:ascii="Gilroy" w:hAnsi="Gilroy"/>
          <w:sz w:val="18"/>
          <w:szCs w:val="18"/>
          <w:lang w:val="en-GB"/>
        </w:rPr>
      </w:pPr>
      <w:r w:rsidRPr="0078619E">
        <w:rPr>
          <w:rStyle w:val="FootnoteReference"/>
          <w:rFonts w:ascii="Gilroy" w:hAnsi="Gilroy"/>
          <w:color w:val="000000" w:themeColor="text1"/>
          <w:sz w:val="18"/>
          <w:szCs w:val="18"/>
        </w:rPr>
        <w:footnoteRef/>
      </w:r>
      <w:r w:rsidRPr="0078619E">
        <w:rPr>
          <w:rFonts w:ascii="Gilroy" w:hAnsi="Gilroy"/>
          <w:color w:val="000000" w:themeColor="text1"/>
          <w:sz w:val="18"/>
          <w:szCs w:val="18"/>
        </w:rPr>
        <w:t xml:space="preserve"> The Metropolitan Police, Live Facial Recognition Annual Report, September 2025, </w:t>
      </w:r>
      <w:r>
        <w:fldChar w:fldCharType="begin"/>
      </w:r>
      <w:r>
        <w:instrText xml:space="preserve"> HYPERLINK "https://www.met.police.uk/SysSiteAssets/media/downloads/force-content/met/advice/lfr/other-lfr-documents/live-facial-recognition-annual-report-2025.pdf" </w:instrText>
      </w:r>
      <w:r>
        <w:fldChar w:fldCharType="separate"/>
      </w:r>
      <w:r w:rsidRPr="0078619E">
        <w:rPr>
          <w:rStyle w:val="Hyperlink"/>
          <w:rFonts w:ascii="Gilroy" w:hAnsi="Gilroy"/>
          <w:color w:val="000000" w:themeColor="text1"/>
          <w:sz w:val="18"/>
          <w:szCs w:val="18"/>
        </w:rPr>
        <w:t>https://www.met.police.uk/SysSiteAssets/media/downloads/force-content/met/advice/lfr/other-lfr-documents/live-facial-recognition-annual-report-2025.pdf</w:t>
      </w:r>
      <w:r>
        <w:fldChar w:fldCharType="end"/>
      </w:r>
      <w:r>
        <w:rPr>
          <w:rFonts w:ascii="Gilroy" w:hAnsi="Gilroy"/>
          <w:sz w:val="18"/>
          <w:szCs w:val="18"/>
        </w:rPr>
        <w:t xml:space="preserve"> </w:t>
      </w:r>
      <w:r>
        <w:rPr>
          <w:rFonts w:ascii="Gilroy" w:hAnsi="Gilroy"/>
          <w:color w:val="000000" w:themeColor="text1"/>
          <w:sz w:val="18"/>
          <w:szCs w:val="18"/>
        </w:rPr>
        <w:t xml:space="preserve"> </w:t>
      </w:r>
    </w:p>
  </w:footnote>
  <w:footnote w:id="37">
    <w:p w:rsidR="00EB6747" w:rsidRPr="00E51A00" w:rsidP="00E51A00">
      <w:pPr>
        <w:pStyle w:val="Heading1"/>
        <w:spacing w:before="0" w:after="0"/>
        <w:rPr>
          <w:rFonts w:ascii="Gilroy" w:hAnsi="Gilroy"/>
          <w:color w:val="000000" w:themeColor="text1"/>
          <w:sz w:val="18"/>
          <w:szCs w:val="18"/>
        </w:rPr>
      </w:pPr>
      <w:r w:rsidRPr="0078619E">
        <w:rPr>
          <w:rStyle w:val="FootnoteReference"/>
          <w:rFonts w:ascii="Gilroy" w:hAnsi="Gilroy"/>
          <w:color w:val="000000" w:themeColor="text1"/>
          <w:sz w:val="18"/>
          <w:szCs w:val="18"/>
        </w:rPr>
        <w:footnoteRef/>
      </w:r>
      <w:r w:rsidRPr="0078619E">
        <w:rPr>
          <w:rFonts w:ascii="Gilroy" w:hAnsi="Gilroy"/>
          <w:color w:val="000000" w:themeColor="text1"/>
          <w:sz w:val="18"/>
          <w:szCs w:val="18"/>
        </w:rPr>
        <w:t xml:space="preserve"> </w:t>
      </w:r>
      <w:r w:rsidRPr="0078619E">
        <w:rPr>
          <w:rFonts w:ascii="Gilroy" w:hAnsi="Gilroy"/>
          <w:color w:val="000000" w:themeColor="text1"/>
          <w:sz w:val="18"/>
          <w:szCs w:val="18"/>
        </w:rPr>
        <w:t xml:space="preserve">Privacy International, </w:t>
      </w:r>
      <w:r w:rsidRPr="0078619E">
        <w:rPr>
          <w:rStyle w:val="field"/>
          <w:rFonts w:ascii="Gilroy" w:hAnsi="Gilroy"/>
          <w:color w:val="000000" w:themeColor="text1"/>
          <w:sz w:val="18"/>
          <w:szCs w:val="18"/>
        </w:rPr>
        <w:t xml:space="preserve">Remember those IMSI catchers? UK authorities play hide and seek with use of intrusive surveillance technology, 20 January 2023, </w:t>
      </w:r>
      <w:r>
        <w:fldChar w:fldCharType="begin"/>
      </w:r>
      <w:r>
        <w:instrText xml:space="preserve"> HYPERLINK "https://privacyinternational.org/news-analysis/5206/remember-those-imsi-catchers-uk-authorities-play-hide-and-seek-use-intrusive" </w:instrText>
      </w:r>
      <w:r>
        <w:fldChar w:fldCharType="separate"/>
      </w:r>
      <w:r w:rsidRPr="0078619E">
        <w:rPr>
          <w:rStyle w:val="Hyperlink"/>
          <w:rFonts w:ascii="Gilroy" w:hAnsi="Gilroy"/>
          <w:color w:val="000000" w:themeColor="text1"/>
          <w:sz w:val="18"/>
          <w:szCs w:val="18"/>
        </w:rPr>
        <w:t>https://privacyinternational.org/news-analysis/5206/remember-those-imsi-catchers-uk-authorities-play-hide-and-seek-use-intrusive</w:t>
      </w:r>
      <w:r>
        <w:fldChar w:fldCharType="end"/>
      </w:r>
      <w:r>
        <w:rPr>
          <w:rFonts w:ascii="Gilroy" w:hAnsi="Gilroy"/>
          <w:sz w:val="18"/>
          <w:szCs w:val="18"/>
        </w:rPr>
        <w:t xml:space="preserve"> </w:t>
      </w:r>
      <w:r>
        <w:rPr>
          <w:rFonts w:ascii="Gilroy" w:hAnsi="Gilroy"/>
          <w:sz w:val="18"/>
          <w:szCs w:val="18"/>
        </w:rPr>
        <w:t xml:space="preserve"> </w:t>
      </w:r>
      <w:r>
        <w:rPr>
          <w:rStyle w:val="field"/>
          <w:rFonts w:ascii="Gilroy" w:hAnsi="Gilroy"/>
          <w:color w:val="000000" w:themeColor="text1"/>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F7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7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F7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7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F7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373"/>
    <w:rPr>
      <w:rFonts w:eastAsiaTheme="majorEastAsia" w:cstheme="majorBidi"/>
      <w:color w:val="272727" w:themeColor="text1" w:themeTint="D8"/>
    </w:rPr>
  </w:style>
  <w:style w:type="paragraph" w:styleId="Title">
    <w:name w:val="Title"/>
    <w:basedOn w:val="Normal"/>
    <w:next w:val="Normal"/>
    <w:link w:val="TitleChar"/>
    <w:uiPriority w:val="10"/>
    <w:qFormat/>
    <w:rsid w:val="005F7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373"/>
    <w:pPr>
      <w:spacing w:before="160"/>
      <w:jc w:val="center"/>
    </w:pPr>
    <w:rPr>
      <w:i/>
      <w:iCs/>
      <w:color w:val="404040" w:themeColor="text1" w:themeTint="BF"/>
    </w:rPr>
  </w:style>
  <w:style w:type="character" w:customStyle="1" w:styleId="QuoteChar">
    <w:name w:val="Quote Char"/>
    <w:basedOn w:val="DefaultParagraphFont"/>
    <w:link w:val="Quote"/>
    <w:uiPriority w:val="29"/>
    <w:rsid w:val="005F7373"/>
    <w:rPr>
      <w:i/>
      <w:iCs/>
      <w:color w:val="404040" w:themeColor="text1" w:themeTint="BF"/>
    </w:rPr>
  </w:style>
  <w:style w:type="paragraph" w:styleId="ListParagraph">
    <w:name w:val="List Paragraph"/>
    <w:basedOn w:val="Normal"/>
    <w:uiPriority w:val="34"/>
    <w:qFormat/>
    <w:rsid w:val="005F7373"/>
    <w:pPr>
      <w:ind w:left="720"/>
      <w:contextualSpacing/>
    </w:pPr>
  </w:style>
  <w:style w:type="character" w:styleId="IntenseEmphasis">
    <w:name w:val="Intense Emphasis"/>
    <w:basedOn w:val="DefaultParagraphFont"/>
    <w:uiPriority w:val="21"/>
    <w:qFormat/>
    <w:rsid w:val="005F7373"/>
    <w:rPr>
      <w:i/>
      <w:iCs/>
      <w:color w:val="0F4761" w:themeColor="accent1" w:themeShade="BF"/>
    </w:rPr>
  </w:style>
  <w:style w:type="paragraph" w:styleId="IntenseQuote">
    <w:name w:val="Intense Quote"/>
    <w:basedOn w:val="Normal"/>
    <w:next w:val="Normal"/>
    <w:link w:val="IntenseQuoteChar"/>
    <w:uiPriority w:val="30"/>
    <w:qFormat/>
    <w:rsid w:val="005F7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373"/>
    <w:rPr>
      <w:i/>
      <w:iCs/>
      <w:color w:val="0F4761" w:themeColor="accent1" w:themeShade="BF"/>
    </w:rPr>
  </w:style>
  <w:style w:type="character" w:styleId="IntenseReference">
    <w:name w:val="Intense Reference"/>
    <w:basedOn w:val="DefaultParagraphFont"/>
    <w:uiPriority w:val="32"/>
    <w:qFormat/>
    <w:rsid w:val="005F7373"/>
    <w:rPr>
      <w:b/>
      <w:bCs/>
      <w:smallCaps/>
      <w:color w:val="0F4761" w:themeColor="accent1" w:themeShade="BF"/>
      <w:spacing w:val="5"/>
    </w:rPr>
  </w:style>
  <w:style w:type="paragraph" w:styleId="NormalWeb">
    <w:name w:val="Normal (Web)"/>
    <w:basedOn w:val="Normal"/>
    <w:uiPriority w:val="99"/>
    <w:unhideWhenUsed/>
    <w:rsid w:val="005F7373"/>
    <w:pPr>
      <w:spacing w:before="100" w:beforeAutospacing="1" w:after="100" w:afterAutospacing="1" w:line="240" w:lineRule="auto"/>
    </w:pPr>
    <w:rPr>
      <w:rFonts w:ascii="Times New Roman" w:eastAsia="Times New Roman" w:hAnsi="Times New Roman" w:cs="Times New Roman"/>
      <w:kern w:val="0"/>
      <w:lang w:eastAsia="en-GB"/>
    </w:rPr>
  </w:style>
  <w:style w:type="character" w:styleId="Strong">
    <w:name w:val="Strong"/>
    <w:basedOn w:val="DefaultParagraphFont"/>
    <w:uiPriority w:val="22"/>
    <w:qFormat/>
    <w:rsid w:val="005F7373"/>
    <w:rPr>
      <w:b/>
      <w:bCs/>
    </w:rPr>
  </w:style>
  <w:style w:type="character" w:customStyle="1" w:styleId="hgkelc">
    <w:name w:val="hgkelc"/>
    <w:basedOn w:val="DefaultParagraphFont"/>
    <w:rsid w:val="00A6146E"/>
  </w:style>
  <w:style w:type="paragraph" w:styleId="FootnoteText">
    <w:name w:val="footnote text"/>
    <w:basedOn w:val="Normal"/>
    <w:link w:val="FootnoteTextChar"/>
    <w:uiPriority w:val="99"/>
    <w:unhideWhenUsed/>
    <w:rsid w:val="00965E6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65E67"/>
    <w:rPr>
      <w:sz w:val="20"/>
      <w:szCs w:val="20"/>
      <w:lang w:val="en-US"/>
    </w:rPr>
  </w:style>
  <w:style w:type="character" w:styleId="FootnoteReference">
    <w:name w:val="footnote reference"/>
    <w:basedOn w:val="DefaultParagraphFont"/>
    <w:uiPriority w:val="99"/>
    <w:unhideWhenUsed/>
    <w:rsid w:val="00965E67"/>
    <w:rPr>
      <w:vertAlign w:val="superscript"/>
    </w:rPr>
  </w:style>
  <w:style w:type="character" w:styleId="Hyperlink">
    <w:name w:val="Hyperlink"/>
    <w:basedOn w:val="DefaultParagraphFont"/>
    <w:uiPriority w:val="99"/>
    <w:unhideWhenUsed/>
    <w:rsid w:val="00965E67"/>
    <w:rPr>
      <w:color w:val="467886" w:themeColor="hyperlink"/>
      <w:u w:val="single"/>
    </w:rPr>
  </w:style>
  <w:style w:type="character" w:styleId="CommentReference">
    <w:name w:val="annotation reference"/>
    <w:basedOn w:val="DefaultParagraphFont"/>
    <w:uiPriority w:val="99"/>
    <w:semiHidden/>
    <w:unhideWhenUsed/>
    <w:rsid w:val="00965E67"/>
    <w:rPr>
      <w:sz w:val="16"/>
      <w:szCs w:val="16"/>
    </w:rPr>
  </w:style>
  <w:style w:type="paragraph" w:customStyle="1" w:styleId="s5297cec5">
    <w:name w:val="s5297cec5"/>
    <w:basedOn w:val="Normal"/>
    <w:rsid w:val="00F31AF2"/>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s29100277">
    <w:name w:val="s29100277"/>
    <w:basedOn w:val="DefaultParagraphFont"/>
    <w:rsid w:val="00F31AF2"/>
  </w:style>
  <w:style w:type="character" w:customStyle="1" w:styleId="sa36b60a1">
    <w:name w:val="sa36b60a1"/>
    <w:basedOn w:val="DefaultParagraphFont"/>
    <w:rsid w:val="00F31AF2"/>
  </w:style>
  <w:style w:type="paragraph" w:customStyle="1" w:styleId="p1">
    <w:name w:val="p1"/>
    <w:basedOn w:val="Normal"/>
    <w:rsid w:val="00545318"/>
    <w:pPr>
      <w:spacing w:after="0" w:line="240" w:lineRule="auto"/>
    </w:pPr>
    <w:rPr>
      <w:rFonts w:ascii="Helvetica" w:eastAsia="Times New Roman" w:hAnsi="Helvetica" w:cs="Times New Roman"/>
      <w:color w:val="000000"/>
      <w:kern w:val="0"/>
      <w:sz w:val="17"/>
      <w:szCs w:val="17"/>
      <w:lang w:eastAsia="en-GB"/>
    </w:rPr>
  </w:style>
  <w:style w:type="character" w:customStyle="1" w:styleId="s1">
    <w:name w:val="s1"/>
    <w:basedOn w:val="DefaultParagraphFont"/>
    <w:rsid w:val="00545318"/>
    <w:rPr>
      <w:rFonts w:ascii="Helvetica" w:hAnsi="Helvetica" w:hint="default"/>
      <w:sz w:val="11"/>
      <w:szCs w:val="11"/>
    </w:rPr>
  </w:style>
  <w:style w:type="paragraph" w:styleId="HTMLAddress">
    <w:name w:val="HTML Address"/>
    <w:basedOn w:val="Normal"/>
    <w:link w:val="HTMLAddressChar"/>
    <w:uiPriority w:val="99"/>
    <w:unhideWhenUsed/>
    <w:rsid w:val="00AF1982"/>
    <w:pPr>
      <w:spacing w:after="0" w:line="240" w:lineRule="auto"/>
    </w:pPr>
    <w:rPr>
      <w:rFonts w:ascii="Times New Roman" w:eastAsia="Times New Roman" w:hAnsi="Times New Roman" w:cs="Times New Roman"/>
      <w:i/>
      <w:iCs/>
      <w:kern w:val="0"/>
      <w:lang w:eastAsia="en-GB"/>
    </w:rPr>
  </w:style>
  <w:style w:type="character" w:customStyle="1" w:styleId="HTMLAddressChar">
    <w:name w:val="HTML Address Char"/>
    <w:basedOn w:val="DefaultParagraphFont"/>
    <w:link w:val="HTMLAddress"/>
    <w:uiPriority w:val="99"/>
    <w:rsid w:val="00AF1982"/>
    <w:rPr>
      <w:rFonts w:ascii="Times New Roman" w:eastAsia="Times New Roman" w:hAnsi="Times New Roman" w:cs="Times New Roman"/>
      <w:i/>
      <w:iCs/>
      <w:kern w:val="0"/>
      <w:lang w:eastAsia="en-GB"/>
    </w:rPr>
  </w:style>
  <w:style w:type="character" w:customStyle="1" w:styleId="UnresolvedMention1">
    <w:name w:val="Unresolved Mention1"/>
    <w:basedOn w:val="DefaultParagraphFont"/>
    <w:uiPriority w:val="99"/>
    <w:semiHidden/>
    <w:unhideWhenUsed/>
    <w:rsid w:val="00174690"/>
    <w:rPr>
      <w:color w:val="605E5C"/>
      <w:shd w:val="clear" w:color="auto" w:fill="E1DFDD"/>
    </w:rPr>
  </w:style>
  <w:style w:type="character" w:styleId="FollowedHyperlink">
    <w:name w:val="FollowedHyperlink"/>
    <w:basedOn w:val="DefaultParagraphFont"/>
    <w:uiPriority w:val="99"/>
    <w:semiHidden/>
    <w:unhideWhenUsed/>
    <w:rsid w:val="008F31D5"/>
    <w:rPr>
      <w:color w:val="96607D" w:themeColor="followedHyperlink"/>
      <w:u w:val="single"/>
    </w:rPr>
  </w:style>
  <w:style w:type="character" w:customStyle="1" w:styleId="field">
    <w:name w:val="field"/>
    <w:basedOn w:val="DefaultParagraphFont"/>
    <w:rsid w:val="001A2F19"/>
  </w:style>
  <w:style w:type="character" w:customStyle="1" w:styleId="ssrcss-61mhsj-metadatatext">
    <w:name w:val="ssrcss-61mhsj-metadatatext"/>
    <w:basedOn w:val="DefaultParagraphFont"/>
    <w:rsid w:val="006B5985"/>
  </w:style>
  <w:style w:type="paragraph" w:styleId="Revision">
    <w:name w:val="Revision"/>
    <w:hidden/>
    <w:uiPriority w:val="99"/>
    <w:semiHidden/>
    <w:rsid w:val="001B52B2"/>
    <w:pPr>
      <w:spacing w:after="0" w:line="240" w:lineRule="auto"/>
    </w:pPr>
  </w:style>
  <w:style w:type="paragraph" w:styleId="CommentText">
    <w:name w:val="annotation text"/>
    <w:basedOn w:val="Normal"/>
    <w:link w:val="CommentTextChar"/>
    <w:uiPriority w:val="99"/>
    <w:semiHidden/>
    <w:unhideWhenUsed/>
    <w:rsid w:val="001B52B2"/>
    <w:pPr>
      <w:spacing w:line="240" w:lineRule="auto"/>
    </w:pPr>
    <w:rPr>
      <w:sz w:val="20"/>
      <w:szCs w:val="20"/>
    </w:rPr>
  </w:style>
  <w:style w:type="character" w:customStyle="1" w:styleId="CommentTextChar">
    <w:name w:val="Comment Text Char"/>
    <w:basedOn w:val="DefaultParagraphFont"/>
    <w:link w:val="CommentText"/>
    <w:uiPriority w:val="99"/>
    <w:semiHidden/>
    <w:rsid w:val="001B52B2"/>
    <w:rPr>
      <w:sz w:val="20"/>
      <w:szCs w:val="20"/>
    </w:rPr>
  </w:style>
  <w:style w:type="paragraph" w:styleId="CommentSubject">
    <w:name w:val="annotation subject"/>
    <w:basedOn w:val="CommentText"/>
    <w:next w:val="CommentText"/>
    <w:link w:val="CommentSubjectChar"/>
    <w:uiPriority w:val="99"/>
    <w:semiHidden/>
    <w:unhideWhenUsed/>
    <w:rsid w:val="001B52B2"/>
    <w:rPr>
      <w:b/>
      <w:bCs/>
    </w:rPr>
  </w:style>
  <w:style w:type="character" w:customStyle="1" w:styleId="CommentSubjectChar">
    <w:name w:val="Comment Subject Char"/>
    <w:basedOn w:val="CommentTextChar"/>
    <w:link w:val="CommentSubject"/>
    <w:uiPriority w:val="99"/>
    <w:semiHidden/>
    <w:rsid w:val="001B52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B73D0-A47D-544D-950C-D5AD77428D4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SSP0036</dc:title>
  <cp:revision>0</cp:revision>
</cp:coreProperties>
</file>