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830F26" w:rsidRPr="00560C4C" w:rsidP="00830F26">
      <w:pPr>
        <w:spacing w:line="360" w:lineRule="auto"/>
        <w:jc w:val="center"/>
        <w:rPr>
          <w:rFonts w:ascii="Calibri" w:hAnsi="Calibri" w:cs="Calibri"/>
          <w:sz w:val="28"/>
          <w:szCs w:val="28"/>
        </w:rPr>
      </w:pPr>
      <w:r w:rsidRPr="00560C4C">
        <w:rPr>
          <w:rFonts w:ascii="Calibri" w:hAnsi="Calibri" w:cs="Calibri"/>
          <w:sz w:val="28"/>
          <w:szCs w:val="28"/>
        </w:rPr>
        <w:t>Written evidence submitted by</w:t>
      </w:r>
      <w:r w:rsidRPr="003F2896">
        <w:t xml:space="preserve"> </w:t>
      </w:r>
      <w:r>
        <w:br/>
      </w:r>
      <w:r w:rsidRPr="00830F26">
        <w:rPr>
          <w:rFonts w:ascii="Calibri" w:hAnsi="Calibri" w:cs="Calibri"/>
          <w:sz w:val="28"/>
          <w:szCs w:val="28"/>
        </w:rPr>
        <w:t>Greg and Fiona Page-Turner</w:t>
      </w:r>
    </w:p>
    <w:p w:rsidR="005C71B0" w:rsidP="009829EE">
      <w:pPr>
        <w:rPr>
          <w:rFonts w:eastAsia="Times New Roman"/>
          <w:color w:val="000000"/>
        </w:rPr>
      </w:pPr>
    </w:p>
    <w:p w:rsidR="005C71B0" w:rsidP="009829EE">
      <w:pPr>
        <w:rPr>
          <w:rFonts w:eastAsia="Times New Roman"/>
          <w:color w:val="000000"/>
        </w:rPr>
      </w:pP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As an owner of a three-bedroom holiday let in East Devon, which is part of a farming partnership, it is important for the committee to take on board the following points</w:t>
      </w:r>
    </w:p>
    <w:p w:rsidR="005C71B0" w:rsidP="009829EE">
      <w:pPr>
        <w:rPr>
          <w:rFonts w:eastAsia="Times New Roman"/>
          <w:color w:val="000000"/>
        </w:rPr>
      </w:pP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current policy is actively driving decline rather than growth: domestic  3 to 7 night stays have fallen since 2022; registered holiday let properties in England are down 15.5% since 2023; and the UK ranks 113th out of 119 countries for price competitiveness. Families are booking much later in the day, where they try to find last-minute bargains.</w:t>
      </w:r>
    </w:p>
    <w:p w:rsidR="005C71B0" w:rsidP="009829EE">
      <w:pPr>
        <w:rPr>
          <w:rFonts w:eastAsia="Times New Roman"/>
          <w:color w:val="000000"/>
        </w:rPr>
      </w:pP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There is a disproportionate impact on rural and coastal communities, the unassessed cumulative burden on micro-businesses, particularly struggling small farms which have been forced to diversify to survive. They have already been hit hard with fuel and fertiliser costs, falling milk prices and a host of other negative factors.</w:t>
      </w:r>
    </w:p>
    <w:p w:rsidR="005C71B0" w:rsidP="009829EE">
      <w:pPr>
        <w:rPr>
          <w:rFonts w:eastAsia="Times New Roman"/>
          <w:color w:val="000000"/>
        </w:rPr>
      </w:pP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There are lessons England must draw from regulatory overreach in Scotland and Wales.</w:t>
      </w:r>
    </w:p>
    <w:p w:rsidR="005C71B0" w:rsidP="009829EE">
      <w:pPr>
        <w:rPr>
          <w:rFonts w:eastAsia="Times New Roman"/>
          <w:color w:val="000000"/>
        </w:rPr>
      </w:pP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OUR SIX RECOMMENDATIONS</w:t>
      </w:r>
    </w:p>
    <w:p w:rsidR="005C71B0" w:rsidP="009829EE">
      <w:pPr>
        <w:rPr>
          <w:rFonts w:eastAsia="Times New Roman"/>
          <w:color w:val="000000"/>
        </w:rPr>
      </w:pP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1.  Do not introduce an England overnight visitor levy without first reducing VAT, publishing the Visitor Economy Growth Strategy, and completing an independent impact assessment.</w:t>
      </w: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  Recommend a moratorium on further interventions and commission a cumulative regulatory impact assessment.</w:t>
      </w: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3.  Introduce a tourism impact assessment for policy proposals from any government department, and appoint a dedicated cross-departmental lead for tourism.</w:t>
      </w: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4.  Implement the statutory short-term let register in England without further delay.</w:t>
      </w: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5.  Reduce VAT on accommodation and hospitality to 12.5%.</w:t>
      </w: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6.  Publish the National Visitor Economy Strategy with a domestic tourism strand, a target to restore overnight trips to 57.2 million by 2030, and a commitment to review HM Treasury's Green Book treatment of domestic visitor spending.</w:t>
      </w:r>
    </w:p>
    <w:p w:rsidR="005C71B0" w:rsidP="009829EE">
      <w:pPr>
        <w:rPr>
          <w:rFonts w:eastAsia="Times New Roman"/>
          <w:color w:val="000000"/>
        </w:rPr>
      </w:pP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Regards</w:t>
      </w:r>
    </w:p>
    <w:p w:rsidR="005C71B0" w:rsidP="009829EE">
      <w:pPr>
        <w:rPr>
          <w:rFonts w:eastAsia="Times New Roman"/>
          <w:color w:val="000000"/>
        </w:rPr>
      </w:pPr>
    </w:p>
    <w:p w:rsidR="005C71B0" w:rsidP="009829E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Greg and Fiona Page-Turner</w:t>
      </w:r>
    </w:p>
    <w:p w:rsidR="005C71B0"/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829EE"/>
    <w:pPr>
      <w:spacing w:after="0" w:line="240" w:lineRule="auto"/>
    </w:pPr>
    <w:rPr>
      <w:rFonts w:ascii="Aptos" w:hAnsi="Aptos" w:cs="Aptos"/>
      <w:kern w:val="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29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9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9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9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9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9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9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9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9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9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9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9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82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9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82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9EE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82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9EE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</w:rPr>
  </w:style>
  <w:style w:type="character" w:styleId="IntenseEmphasis">
    <w:name w:val="Intense Emphasis"/>
    <w:basedOn w:val="DefaultParagraphFont"/>
    <w:uiPriority w:val="21"/>
    <w:qFormat/>
    <w:rsid w:val="00982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9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29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9EE"/>
    <w:rPr>
      <w:rFonts w:ascii="Aptos" w:hAnsi="Aptos" w:cs="Aptos"/>
      <w:kern w:val="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829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9EE"/>
    <w:rPr>
      <w:rFonts w:ascii="Aptos" w:hAnsi="Aptos" w:cs="Aptos"/>
      <w:kern w:val="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evidence - TOU0010</dc:title>
  <cp:revision>0</cp:revision>
</cp:coreProperties>
</file>