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20/02/relationships/classificationlabels" Target="docMetadata/LabelInfo.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083BEB" w:rsidRPr="00083BEB" w:rsidP="005A078C">
      <w:pPr>
        <w:jc w:val="center"/>
        <w:rPr>
          <w:b/>
          <w:bCs/>
          <w:sz w:val="26"/>
          <w:szCs w:val="26"/>
        </w:rPr>
      </w:pPr>
      <w:r w:rsidRPr="00083BEB">
        <w:rPr>
          <w:b/>
          <w:bCs/>
          <w:sz w:val="26"/>
          <w:szCs w:val="26"/>
        </w:rPr>
        <w:t xml:space="preserve">Written evidence submitted by </w:t>
      </w:r>
      <w:r w:rsidRPr="00083BEB">
        <w:rPr>
          <w:b/>
          <w:bCs/>
          <w:sz w:val="26"/>
          <w:szCs w:val="26"/>
        </w:rPr>
        <w:t>Tellus Natural Capital Ltd</w:t>
      </w:r>
      <w:r w:rsidRPr="00083BEB">
        <w:rPr>
          <w:b/>
          <w:bCs/>
          <w:sz w:val="26"/>
          <w:szCs w:val="26"/>
        </w:rPr>
        <w:t xml:space="preserve"> (CWR0085)</w:t>
      </w:r>
    </w:p>
    <w:p w:rsidR="00083BEB" w:rsidP="005A078C">
      <w:pPr>
        <w:jc w:val="center"/>
        <w:rPr>
          <w:b/>
          <w:bCs/>
        </w:rPr>
      </w:pPr>
    </w:p>
    <w:p w:rsidR="00A656E9" w:rsidRPr="005F1F4A" w:rsidP="005A078C">
      <w:pPr>
        <w:jc w:val="center"/>
        <w:rPr>
          <w:b/>
          <w:bCs/>
        </w:rPr>
      </w:pPr>
      <w:r w:rsidRPr="005F1F4A">
        <w:rPr>
          <w:b/>
          <w:bCs/>
        </w:rPr>
        <w:t xml:space="preserve">EVIDENCE </w:t>
      </w:r>
      <w:r w:rsidRPr="005F1F4A">
        <w:rPr>
          <w:b/>
          <w:bCs/>
        </w:rPr>
        <w:t xml:space="preserve">FOR THE EFRA SELECT COMMITTEE </w:t>
      </w:r>
      <w:r w:rsidRPr="005F1F4A">
        <w:rPr>
          <w:b/>
          <w:bCs/>
        </w:rPr>
        <w:t>ON THE GROWING THREAT OF WILDFIRES</w:t>
      </w:r>
    </w:p>
    <w:p w:rsidR="00A656E9" w:rsidRPr="00C22FC8" w:rsidP="00040AD4">
      <w:pPr>
        <w:spacing w:before="240"/>
        <w:rPr>
          <w:b/>
          <w:bCs/>
        </w:rPr>
      </w:pPr>
      <w:r>
        <w:rPr>
          <w:b/>
          <w:bCs/>
        </w:rPr>
        <w:t>1.0</w:t>
      </w:r>
      <w:r>
        <w:rPr>
          <w:b/>
          <w:bCs/>
        </w:rPr>
        <w:tab/>
      </w:r>
      <w:r w:rsidRPr="00C22FC8">
        <w:rPr>
          <w:b/>
          <w:bCs/>
        </w:rPr>
        <w:t>Introduction</w:t>
      </w:r>
    </w:p>
    <w:p w:rsidR="00A656E9">
      <w:r>
        <w:t>1.1</w:t>
      </w:r>
      <w:r>
        <w:tab/>
        <w:t>My name is Kate Russell</w:t>
      </w:r>
      <w:r>
        <w:t xml:space="preserve"> and I am the</w:t>
      </w:r>
      <w:r>
        <w:t xml:space="preserve"> Managing Director of Tellus Natural Capital Ltd</w:t>
      </w:r>
      <w:r>
        <w:t xml:space="preserve">. I am an Agricultural Valuer, Chartered Surveyor and Chartered Environmentalist with more than 30 years’ experience in rural </w:t>
      </w:r>
      <w:r>
        <w:t>land management</w:t>
      </w:r>
      <w:r>
        <w:t xml:space="preserve"> across</w:t>
      </w:r>
      <w:r>
        <w:t xml:space="preserve"> practice, policy and academia</w:t>
      </w:r>
      <w:r>
        <w:t>, including in both upland and lowland landscapes</w:t>
      </w:r>
      <w:r>
        <w:t>.</w:t>
      </w:r>
      <w:r w:rsidRPr="00C22FC8">
        <w:t xml:space="preserve"> </w:t>
      </w:r>
      <w:r>
        <w:t>For the past 2 years I have been working with the Moorland Association (the MA) on the consenting and licensing of heather burning</w:t>
      </w:r>
      <w:r>
        <w:t xml:space="preserve"> </w:t>
      </w:r>
      <w:r>
        <w:t>–</w:t>
      </w:r>
      <w:r>
        <w:t xml:space="preserve"> </w:t>
      </w:r>
      <w:r>
        <w:t>a</w:t>
      </w:r>
      <w:r>
        <w:t xml:space="preserve"> </w:t>
      </w:r>
      <w:r>
        <w:t>land management tool which has long been used as a method of vegetation control in upland areas to deliver multiple benefits, including reducing the</w:t>
      </w:r>
      <w:r>
        <w:t xml:space="preserve"> spread and severity of wildfire by controlling fuel load. </w:t>
      </w:r>
      <w:r>
        <w:t xml:space="preserve">This evidence </w:t>
      </w:r>
      <w:r>
        <w:t xml:space="preserve">shares </w:t>
      </w:r>
      <w:r>
        <w:t>my experiences in dealing with Defra and Natural England on their conse</w:t>
      </w:r>
      <w:r>
        <w:t>nting and licensing regime.</w:t>
      </w:r>
    </w:p>
    <w:p w:rsidR="00A656E9" w:rsidRPr="00C22FC8" w:rsidP="00040AD4">
      <w:pPr>
        <w:spacing w:before="240"/>
        <w:rPr>
          <w:b/>
          <w:bCs/>
        </w:rPr>
      </w:pPr>
      <w:r>
        <w:rPr>
          <w:b/>
          <w:bCs/>
        </w:rPr>
        <w:t>2.0</w:t>
      </w:r>
      <w:r>
        <w:rPr>
          <w:b/>
          <w:bCs/>
        </w:rPr>
        <w:tab/>
      </w:r>
      <w:r w:rsidRPr="00C22FC8">
        <w:rPr>
          <w:b/>
          <w:bCs/>
        </w:rPr>
        <w:t>Terms of Reference</w:t>
      </w:r>
    </w:p>
    <w:p w:rsidR="00A656E9">
      <w:r>
        <w:t>2.1</w:t>
      </w:r>
      <w:r>
        <w:tab/>
        <w:t xml:space="preserve">This evidence addresses </w:t>
      </w:r>
      <w:r>
        <w:t xml:space="preserve">elements of </w:t>
      </w:r>
      <w:r>
        <w:t xml:space="preserve">the following </w:t>
      </w:r>
      <w:r>
        <w:t>points in the Terms of Reference:</w:t>
      </w:r>
    </w:p>
    <w:p w:rsidR="00A656E9" w:rsidP="004B58BF">
      <w:pPr>
        <w:pStyle w:val="ListParagraph"/>
        <w:numPr>
          <w:ilvl w:val="0"/>
          <w:numId w:val="1"/>
        </w:numPr>
      </w:pPr>
      <w:r>
        <w:t>How can land management techniques be best used at a regional level to prevent and control wildfires whilst balancing the needs of different land users? What evidence-gaps are there and how can they be filled?</w:t>
      </w:r>
    </w:p>
    <w:p w:rsidR="00A656E9" w:rsidP="004B58BF">
      <w:pPr>
        <w:pStyle w:val="ListParagraph"/>
        <w:numPr>
          <w:ilvl w:val="0"/>
          <w:numId w:val="1"/>
        </w:numPr>
      </w:pPr>
      <w:r>
        <w:t>What role do nature-based solutions, such as improving biodiversity and more resilient landscapes, have in the prevention and control of wildfires</w:t>
      </w:r>
      <w:r>
        <w:t>?</w:t>
      </w:r>
    </w:p>
    <w:p w:rsidR="00A656E9" w:rsidP="004B58BF">
      <w:pPr>
        <w:pStyle w:val="ListParagraph"/>
        <w:numPr>
          <w:ilvl w:val="0"/>
          <w:numId w:val="1"/>
        </w:numPr>
      </w:pPr>
      <w:r>
        <w:t>How best can Defra funding schemes be used to support land managers to adapt to the increased risk of wildfires?</w:t>
      </w:r>
    </w:p>
    <w:p w:rsidR="00A656E9" w:rsidP="004B58BF">
      <w:pPr>
        <w:pStyle w:val="ListParagraph"/>
        <w:numPr>
          <w:ilvl w:val="0"/>
          <w:numId w:val="1"/>
        </w:numPr>
      </w:pPr>
      <w:r>
        <w:t>What policies are in place, or are needed, to reduce the severity of wildfires and their socio-economic impacts on both agricultural land and at rural-urban boundaries?</w:t>
      </w:r>
    </w:p>
    <w:p w:rsidR="00A656E9" w:rsidP="004B58BF">
      <w:pPr>
        <w:pStyle w:val="ListParagraph"/>
        <w:numPr>
          <w:ilvl w:val="0"/>
          <w:numId w:val="1"/>
        </w:numPr>
      </w:pPr>
      <w:r>
        <w:t>Given that responsibility is spread across government departments and bodies (e.g. Defra, Forestry Commission, Ministry of Housing Communities and Local Government), how should the government coordinate a cross-departmental approach to tackle the increasing risk of wildfires?</w:t>
      </w:r>
    </w:p>
    <w:p w:rsidR="00A656E9" w:rsidRPr="00971E94" w:rsidP="00040AD4">
      <w:pPr>
        <w:spacing w:before="240"/>
        <w:rPr>
          <w:b/>
          <w:bCs/>
        </w:rPr>
      </w:pPr>
      <w:r>
        <w:rPr>
          <w:b/>
          <w:bCs/>
        </w:rPr>
        <w:t>3.0</w:t>
      </w:r>
      <w:r>
        <w:rPr>
          <w:b/>
          <w:bCs/>
        </w:rPr>
        <w:tab/>
      </w:r>
      <w:r>
        <w:rPr>
          <w:b/>
          <w:bCs/>
        </w:rPr>
        <w:t xml:space="preserve">Policy and </w:t>
      </w:r>
      <w:r>
        <w:rPr>
          <w:b/>
          <w:bCs/>
        </w:rPr>
        <w:t>cross-departmental responsibility: c</w:t>
      </w:r>
      <w:r w:rsidRPr="00971E94">
        <w:rPr>
          <w:b/>
          <w:bCs/>
        </w:rPr>
        <w:t xml:space="preserve">arbon </w:t>
      </w:r>
      <w:r>
        <w:rPr>
          <w:b/>
          <w:bCs/>
        </w:rPr>
        <w:t>tunnel vision</w:t>
      </w:r>
    </w:p>
    <w:p w:rsidR="00A656E9" w:rsidP="00906422">
      <w:r>
        <w:t>3.1</w:t>
      </w:r>
      <w:r>
        <w:tab/>
      </w:r>
      <w:r>
        <w:t>T</w:t>
      </w:r>
      <w:r>
        <w:t>he more closely involved I became in this topic, the more it became apparent that Defra and Natural England see vegetation management in the uplands predominantly through the lens of carbon. Applications for a burning licence are directed to the Peat Protection Team and it was that same team which ran the consultation on changing the 2021 Regulations</w:t>
      </w:r>
      <w:r>
        <w:rPr>
          <w:rStyle w:val="FootnoteReference"/>
        </w:rPr>
        <w:footnoteReference w:id="2"/>
      </w:r>
      <w:r>
        <w:t xml:space="preserve">. </w:t>
      </w:r>
    </w:p>
    <w:p w:rsidR="00A656E9" w:rsidP="00906422">
      <w:r>
        <w:t>3.2</w:t>
      </w:r>
      <w:r>
        <w:tab/>
      </w:r>
      <w:r>
        <w:t xml:space="preserve">Defra </w:t>
      </w:r>
      <w:r>
        <w:t>a</w:t>
      </w:r>
      <w:r>
        <w:t xml:space="preserve">ppears to </w:t>
      </w:r>
      <w:r>
        <w:t xml:space="preserve">regard all “deep peat” as being actual or potential blanket bog, which should be dominated by sphagnum moss and be waterlogged to preserve it in good condition, primarily so that the carbon stores do not release carbon dioxide. </w:t>
      </w:r>
      <w:r>
        <w:t xml:space="preserve">Their narrative is that once restored to this wet state, the landscape is self-maintaining, requiring little or no active management. </w:t>
      </w:r>
      <w:r>
        <w:t>However, when I asked experts</w:t>
      </w:r>
      <w:r>
        <w:t xml:space="preserve"> in this area, </w:t>
      </w:r>
      <w:r>
        <w:t xml:space="preserve">including </w:t>
      </w:r>
      <w:r>
        <w:t>Dr Andreas Heinemeyer of the University of York</w:t>
      </w:r>
      <w:r>
        <w:t xml:space="preserve"> and Professor Rob Marrs of Liv</w:t>
      </w:r>
      <w:r>
        <w:t>erpool University</w:t>
      </w:r>
      <w:r>
        <w:t>,</w:t>
      </w:r>
      <w:r>
        <w:t xml:space="preserve"> how we define “blanket bog”, or even “peat”, it became apparent that there was a lack of consensus and that much depended on the context</w:t>
      </w:r>
      <w:r>
        <w:t>. E</w:t>
      </w:r>
      <w:r>
        <w:t xml:space="preserve">levation, aspect, topography, underlying geology and local climate all influence the movement of </w:t>
      </w:r>
      <w:r>
        <w:t xml:space="preserve">water in the landscape and the type of vegetation which can thrive. Defra </w:t>
      </w:r>
      <w:r>
        <w:t xml:space="preserve">does not sufficiently acknowledge </w:t>
      </w:r>
      <w:r>
        <w:t xml:space="preserve">this broader </w:t>
      </w:r>
      <w:r>
        <w:t xml:space="preserve">and more complex </w:t>
      </w:r>
      <w:r>
        <w:t>picture</w:t>
      </w:r>
      <w:r>
        <w:t xml:space="preserve"> </w:t>
      </w:r>
      <w:r>
        <w:t>or</w:t>
      </w:r>
      <w:r>
        <w:t xml:space="preserve"> the need for very context-specific </w:t>
      </w:r>
      <w:r>
        <w:t xml:space="preserve">and active </w:t>
      </w:r>
      <w:r>
        <w:t>management</w:t>
      </w:r>
      <w:r>
        <w:t xml:space="preserve">. </w:t>
      </w:r>
    </w:p>
    <w:p w:rsidR="00A656E9" w:rsidP="00293618">
      <w:r>
        <w:t>3.3</w:t>
      </w:r>
      <w:r>
        <w:tab/>
      </w:r>
      <w:r>
        <w:t>I became concerned that Defra’s focus on peat protection blind</w:t>
      </w:r>
      <w:r>
        <w:t xml:space="preserve">s it </w:t>
      </w:r>
      <w:r>
        <w:t xml:space="preserve">to the wider </w:t>
      </w:r>
      <w:r>
        <w:t xml:space="preserve">issues arising from </w:t>
      </w:r>
      <w:r>
        <w:t xml:space="preserve">unmanaged vegetation in upland landscapes, </w:t>
      </w:r>
      <w:r>
        <w:t>including the increased risk</w:t>
      </w:r>
      <w:r>
        <w:t xml:space="preserve"> </w:t>
      </w:r>
      <w:r>
        <w:t xml:space="preserve">of severe </w:t>
      </w:r>
      <w:r>
        <w:t>wildfire</w:t>
      </w:r>
      <w:r>
        <w:t xml:space="preserve">. In my engagement with Defra and NE over the past two years, I have seen no evidence of any </w:t>
      </w:r>
      <w:r>
        <w:t>joined-up thinking at Department level, let alone inter-departmentally</w:t>
      </w:r>
      <w:r>
        <w:t xml:space="preserve">, to consider the </w:t>
      </w:r>
      <w:r>
        <w:t xml:space="preserve">full </w:t>
      </w:r>
      <w:r>
        <w:t>consequences of</w:t>
      </w:r>
      <w:r>
        <w:t xml:space="preserve"> this carbon-centric policy approach</w:t>
      </w:r>
      <w:r>
        <w:t xml:space="preserve"> on wildfire risk</w:t>
      </w:r>
      <w:r>
        <w:t xml:space="preserve">. </w:t>
      </w:r>
    </w:p>
    <w:p w:rsidR="00A656E9" w:rsidP="00293618">
      <w:r>
        <w:t>3.4</w:t>
      </w:r>
      <w:r>
        <w:tab/>
        <w:t>The irony is that</w:t>
      </w:r>
      <w:r>
        <w:t xml:space="preserve"> by adopting a carbon-centric approach,</w:t>
      </w:r>
      <w:r>
        <w:t xml:space="preserve"> Defra and NE are putting the very landscape they are seeking to protect at increasing risk of severe damage due to wildfire</w:t>
      </w:r>
      <w:r>
        <w:t xml:space="preserve"> because of the increasing</w:t>
      </w:r>
      <w:r>
        <w:t xml:space="preserve"> vegetation</w:t>
      </w:r>
      <w:r>
        <w:t xml:space="preserve"> fuel load</w:t>
      </w:r>
      <w:r>
        <w:t>. The loss of stored carbon, complex vegetation assemblages and wildlife in a wildfire is catastrophic and can take decades to recover</w:t>
      </w:r>
      <w:r>
        <w:t>, as has been shown countless times, including last year in the North York Moors</w:t>
      </w:r>
      <w:r>
        <w:t xml:space="preserve">. </w:t>
      </w:r>
    </w:p>
    <w:p w:rsidR="00A656E9" w:rsidRPr="00A92DF6" w:rsidP="00040AD4">
      <w:pPr>
        <w:spacing w:before="240"/>
        <w:rPr>
          <w:b/>
          <w:bCs/>
        </w:rPr>
      </w:pPr>
      <w:r>
        <w:rPr>
          <w:b/>
          <w:bCs/>
        </w:rPr>
        <w:t>4.0</w:t>
      </w:r>
      <w:r>
        <w:rPr>
          <w:b/>
          <w:bCs/>
        </w:rPr>
        <w:tab/>
      </w:r>
      <w:r w:rsidRPr="00A92DF6">
        <w:rPr>
          <w:b/>
          <w:bCs/>
        </w:rPr>
        <w:t>Land management techniques and nature-based solutions</w:t>
      </w:r>
    </w:p>
    <w:p w:rsidR="00A656E9" w:rsidP="00906422">
      <w:r>
        <w:t>4.1</w:t>
      </w:r>
      <w:r>
        <w:tab/>
      </w:r>
      <w:r>
        <w:t>O</w:t>
      </w:r>
      <w:r>
        <w:t>ur upland moorlands are</w:t>
      </w:r>
      <w:r w:rsidRPr="00706FB3">
        <w:t xml:space="preserve"> </w:t>
      </w:r>
      <w:r>
        <w:t>very diverse and different</w:t>
      </w:r>
      <w:r>
        <w:t xml:space="preserve">: </w:t>
      </w:r>
      <w:r>
        <w:t xml:space="preserve">some are wetter, colder, higher or </w:t>
      </w:r>
      <w:r>
        <w:t xml:space="preserve">more exposed </w:t>
      </w:r>
      <w:r>
        <w:t xml:space="preserve">than others and consequently </w:t>
      </w:r>
      <w:r>
        <w:t>the vegetation</w:t>
      </w:r>
      <w:r>
        <w:t xml:space="preserve"> </w:t>
      </w:r>
      <w:r>
        <w:t>types and growth rates vary. Some are closer to</w:t>
      </w:r>
      <w:r>
        <w:t xml:space="preserve"> centres of population</w:t>
      </w:r>
      <w:r>
        <w:t xml:space="preserve"> and so suffer more from pressure of public access and associated risk of </w:t>
      </w:r>
      <w:r>
        <w:t xml:space="preserve">accidental ignition from barbecues or deliberate acts of arson. This means that the appropriate </w:t>
      </w:r>
      <w:r>
        <w:t xml:space="preserve">land and vegetation </w:t>
      </w:r>
      <w:r>
        <w:t xml:space="preserve">management regime will also vary </w:t>
      </w:r>
      <w:r>
        <w:t xml:space="preserve">from place to place, </w:t>
      </w:r>
      <w:r>
        <w:t xml:space="preserve">so it is vitally important that land managers have a </w:t>
      </w:r>
      <w:r>
        <w:t>full suite of tools at their disposal</w:t>
      </w:r>
      <w:r>
        <w:t xml:space="preserve"> to manage fuel loads against wildfire risk</w:t>
      </w:r>
      <w:r>
        <w:t xml:space="preserve">: </w:t>
      </w:r>
      <w:r>
        <w:t xml:space="preserve">mowing, grazing, re-wetting and controlled burning all have a role to play in different areas and in different seasons. </w:t>
      </w:r>
    </w:p>
    <w:p w:rsidR="00A656E9" w:rsidP="00906422">
      <w:r>
        <w:t>4.2</w:t>
      </w:r>
      <w:r>
        <w:tab/>
      </w:r>
      <w:r>
        <w:t xml:space="preserve">Defra and NE have made it very difficult for land managers to get consent for controlled burning </w:t>
      </w:r>
      <w:r>
        <w:t xml:space="preserve">across much of the English uplands, removing a land </w:t>
      </w:r>
      <w:r>
        <w:t xml:space="preserve">and fuel-load </w:t>
      </w:r>
      <w:r>
        <w:t>management tool which is familiar, cheap to deploy</w:t>
      </w:r>
      <w:r>
        <w:t xml:space="preserve"> and</w:t>
      </w:r>
      <w:r>
        <w:t xml:space="preserve"> effective</w:t>
      </w:r>
      <w:r>
        <w:t xml:space="preserve">. </w:t>
      </w:r>
      <w:r>
        <w:t xml:space="preserve">The same </w:t>
      </w:r>
      <w:r>
        <w:t>is</w:t>
      </w:r>
      <w:r>
        <w:t xml:space="preserve"> also </w:t>
      </w:r>
      <w:r>
        <w:t>true</w:t>
      </w:r>
      <w:r>
        <w:t xml:space="preserve"> of grazing: NE’s </w:t>
      </w:r>
      <w:r>
        <w:t>long-standing pressure on farmers to reduce sheep numbers on the hills</w:t>
      </w:r>
      <w:r>
        <w:t xml:space="preserve"> </w:t>
      </w:r>
      <w:r>
        <w:t>has reduced grazing pressure, removing another land management tool to control fuel load in remote upland areas.</w:t>
      </w:r>
    </w:p>
    <w:p w:rsidR="00A656E9" w:rsidP="00906422">
      <w:r>
        <w:t>4.3</w:t>
      </w:r>
      <w:r>
        <w:tab/>
      </w:r>
      <w:r>
        <w:t>T</w:t>
      </w:r>
      <w:r>
        <w:t xml:space="preserve">he re-wetting techniques which Defra and NE advocate as an alternative are unproven </w:t>
      </w:r>
      <w:r>
        <w:t>in terms of their impact</w:t>
      </w:r>
      <w:r>
        <w:t xml:space="preserve"> in the short, medium and long term and</w:t>
      </w:r>
      <w:r>
        <w:t xml:space="preserve"> can be expensive to deliver (requiring</w:t>
      </w:r>
      <w:r>
        <w:t>,</w:t>
      </w:r>
      <w:r>
        <w:t xml:space="preserve"> </w:t>
      </w:r>
      <w:r>
        <w:t>for example</w:t>
      </w:r>
      <w:r>
        <w:t>,</w:t>
      </w:r>
      <w:r>
        <w:t xml:space="preserve"> </w:t>
      </w:r>
      <w:r>
        <w:t>excavators to be deployed in remote locations, or using helicopters to deliver stone to make dams)</w:t>
      </w:r>
      <w:r>
        <w:t>. Re-wetting, like the other vegetation control measures, will not work uniformly everywhere</w:t>
      </w:r>
      <w:r>
        <w:t xml:space="preserve">. Defra and NE are placing a great deal of faith in an untested, unproven and expensive option. </w:t>
      </w:r>
      <w:r>
        <w:t xml:space="preserve"> </w:t>
      </w:r>
      <w:r>
        <w:t xml:space="preserve"> </w:t>
      </w:r>
    </w:p>
    <w:p w:rsidR="00A656E9" w:rsidRPr="00357F1B" w:rsidP="00040AD4">
      <w:pPr>
        <w:spacing w:before="240"/>
        <w:rPr>
          <w:b/>
          <w:bCs/>
        </w:rPr>
      </w:pPr>
      <w:r>
        <w:rPr>
          <w:b/>
          <w:bCs/>
        </w:rPr>
        <w:t>5.0</w:t>
      </w:r>
      <w:r>
        <w:rPr>
          <w:b/>
          <w:bCs/>
        </w:rPr>
        <w:tab/>
      </w:r>
      <w:r w:rsidRPr="00357F1B">
        <w:rPr>
          <w:b/>
          <w:bCs/>
        </w:rPr>
        <w:t>The consenting and licensing process</w:t>
      </w:r>
      <w:r>
        <w:rPr>
          <w:b/>
          <w:bCs/>
        </w:rPr>
        <w:t xml:space="preserve"> </w:t>
      </w:r>
      <w:r>
        <w:rPr>
          <w:b/>
          <w:bCs/>
        </w:rPr>
        <w:t>–</w:t>
      </w:r>
      <w:r>
        <w:rPr>
          <w:b/>
          <w:bCs/>
        </w:rPr>
        <w:t xml:space="preserve"> </w:t>
      </w:r>
      <w:r>
        <w:rPr>
          <w:b/>
          <w:bCs/>
        </w:rPr>
        <w:t>frustrating fuel load management</w:t>
      </w:r>
    </w:p>
    <w:p w:rsidR="00A656E9">
      <w:r>
        <w:t>5.1</w:t>
      </w:r>
      <w:r>
        <w:tab/>
      </w:r>
      <w:r>
        <w:t xml:space="preserve">During my work to brief MA members </w:t>
      </w:r>
      <w:r>
        <w:t xml:space="preserve">I found </w:t>
      </w:r>
      <w:r>
        <w:t xml:space="preserve">the </w:t>
      </w:r>
      <w:r>
        <w:t>consenting and licensing process for heather burning</w:t>
      </w:r>
      <w:r>
        <w:t xml:space="preserve"> to be</w:t>
      </w:r>
      <w:r>
        <w:t xml:space="preserve"> incredibly bureaucratic</w:t>
      </w:r>
      <w:r>
        <w:t>,</w:t>
      </w:r>
      <w:r>
        <w:t xml:space="preserve"> with </w:t>
      </w:r>
      <w:r>
        <w:t xml:space="preserve">evidence requirements </w:t>
      </w:r>
      <w:r>
        <w:t xml:space="preserve">that </w:t>
      </w:r>
      <w:r>
        <w:t xml:space="preserve">are disproportionate to the </w:t>
      </w:r>
      <w:r>
        <w:t>activity</w:t>
      </w:r>
      <w:r>
        <w:t xml:space="preserve">. </w:t>
      </w:r>
      <w:r>
        <w:t>Indeed, it frequently appears that the system is designed to frustrate the applicant.</w:t>
      </w:r>
    </w:p>
    <w:p w:rsidR="00A656E9">
      <w:r>
        <w:t>5.2</w:t>
      </w:r>
      <w:r>
        <w:tab/>
      </w:r>
      <w:r>
        <w:t>In brief, there are two parts to the regime:</w:t>
      </w:r>
    </w:p>
    <w:p w:rsidR="00A656E9" w:rsidP="00040AD4">
      <w:pPr>
        <w:pStyle w:val="ListParagraph"/>
        <w:numPr>
          <w:ilvl w:val="0"/>
          <w:numId w:val="8"/>
        </w:numPr>
      </w:pPr>
      <w:r>
        <w:t>Natural England</w:t>
      </w:r>
      <w:r>
        <w:t xml:space="preserve"> (NE)</w:t>
      </w:r>
      <w:r>
        <w:t xml:space="preserve"> consent is required for </w:t>
      </w:r>
      <w:r>
        <w:t>certain specified activities on a Site of Special Scientific Interest</w:t>
      </w:r>
      <w:r>
        <w:t xml:space="preserve"> (SSSI)</w:t>
      </w:r>
      <w:r>
        <w:t xml:space="preserve">. These are known as Operations Requiring Natural England Consent (ORNECs) and </w:t>
      </w:r>
      <w:r>
        <w:t xml:space="preserve">on most SSSI sites </w:t>
      </w:r>
      <w:r>
        <w:t xml:space="preserve">consent is required for </w:t>
      </w:r>
      <w:r>
        <w:t xml:space="preserve">burning or changes to the burning regime. Huge swathes of moorlands are </w:t>
      </w:r>
      <w:r>
        <w:t>covered by SSSI designations</w:t>
      </w:r>
      <w:r>
        <w:t xml:space="preserve"> and t</w:t>
      </w:r>
      <w:r>
        <w:t xml:space="preserve">his is a longstanding requirement with which land managers are familiar. In some cases, their </w:t>
      </w:r>
      <w:r>
        <w:t xml:space="preserve">existing SSSI site management agreements included a consent to </w:t>
      </w:r>
      <w:r>
        <w:t>burn</w:t>
      </w:r>
      <w:r>
        <w:t>, recognising the role of controlled burning in managing upland habitats</w:t>
      </w:r>
      <w:r>
        <w:t>.</w:t>
      </w:r>
    </w:p>
    <w:p w:rsidR="00A656E9" w:rsidP="00040AD4">
      <w:pPr>
        <w:pStyle w:val="ListParagraph"/>
        <w:numPr>
          <w:ilvl w:val="0"/>
          <w:numId w:val="8"/>
        </w:numPr>
        <w:contextualSpacing w:val="0"/>
      </w:pPr>
      <w:r>
        <w:t xml:space="preserve">In 2021 </w:t>
      </w:r>
      <w:r>
        <w:t>new Regulations</w:t>
      </w:r>
      <w:r>
        <w:t xml:space="preserve"> introduced a</w:t>
      </w:r>
      <w:r>
        <w:t xml:space="preserve"> separate and additional</w:t>
      </w:r>
      <w:r>
        <w:t xml:space="preserve"> requirement for a licence to burn heather or other vegetation on land </w:t>
      </w:r>
      <w:r>
        <w:t xml:space="preserve">where the peat depth exceeds </w:t>
      </w:r>
      <w:r>
        <w:t>4</w:t>
      </w:r>
      <w:r>
        <w:t xml:space="preserve">0cm </w:t>
      </w:r>
      <w:r>
        <w:t>within a SSSI</w:t>
      </w:r>
      <w:r>
        <w:t xml:space="preserve"> which is also an SAC or SPA.</w:t>
      </w:r>
      <w:r>
        <w:t xml:space="preserve"> </w:t>
      </w:r>
      <w:r>
        <w:t>The licences are granted by Defra.</w:t>
      </w:r>
      <w:r>
        <w:t xml:space="preserve"> In 2025</w:t>
      </w:r>
      <w:r>
        <w:t>, after consultation,</w:t>
      </w:r>
      <w:r>
        <w:t xml:space="preserve"> th</w:t>
      </w:r>
      <w:r>
        <w:t xml:space="preserve">e Regulations were amended so that a licence is now required for any burning on land where the peat depth exceeds </w:t>
      </w:r>
      <w:r>
        <w:t>3</w:t>
      </w:r>
      <w:r>
        <w:t xml:space="preserve">0cm, anywhere in a Less Favoured Area. </w:t>
      </w:r>
      <w:r>
        <w:t>In its response to the consultation</w:t>
      </w:r>
      <w:r>
        <w:rPr>
          <w:rStyle w:val="FootnoteReference"/>
        </w:rPr>
        <w:footnoteReference w:id="3"/>
      </w:r>
      <w:r>
        <w:t>, Defra noted that “</w:t>
      </w:r>
      <w:r w:rsidRPr="00BF2CF8">
        <w:t>these changes will increase the total area of deep peat protected from 246,156 hectares to over 676,000 hectares</w:t>
      </w:r>
      <w:r>
        <w:t>”</w:t>
      </w:r>
      <w:r>
        <w:t>.</w:t>
      </w:r>
    </w:p>
    <w:p w:rsidR="00A656E9">
      <w:r>
        <w:t>5.3</w:t>
      </w:r>
      <w:r>
        <w:tab/>
        <w:t>If land is within a SSSI</w:t>
      </w:r>
      <w:r>
        <w:t xml:space="preserve"> and includes areas where the peat depth exceeds 30cm</w:t>
      </w:r>
      <w:r>
        <w:t xml:space="preserve">, a moorland manager must now firstly apply to NE for its consent to the burning operation </w:t>
      </w:r>
      <w:r>
        <w:t>(</w:t>
      </w:r>
      <w:r>
        <w:t xml:space="preserve">if there is no existing </w:t>
      </w:r>
      <w:r>
        <w:t xml:space="preserve">consent </w:t>
      </w:r>
      <w:r>
        <w:t xml:space="preserve">in a site management agreement) </w:t>
      </w:r>
      <w:r>
        <w:t xml:space="preserve">and then apply to Defra for a licence to carry out the burn. NE allows itself up to 4 months to respond to an </w:t>
      </w:r>
      <w:r>
        <w:t xml:space="preserve">ORNEC </w:t>
      </w:r>
      <w:r>
        <w:t>application</w:t>
      </w:r>
      <w:r>
        <w:t xml:space="preserve"> and Defra allows itself 12 weeks</w:t>
      </w:r>
      <w:r>
        <w:t xml:space="preserve"> to respond to a licence application</w:t>
      </w:r>
      <w:r>
        <w:t xml:space="preserve">, </w:t>
      </w:r>
      <w:r>
        <w:t xml:space="preserve">so that an applicant may have to wait for 7 months for a decision on whether it </w:t>
      </w:r>
      <w:r>
        <w:t xml:space="preserve">can carry out controlled burning – a land management practice which is long established and routine. </w:t>
      </w:r>
    </w:p>
    <w:p w:rsidR="00A656E9">
      <w:r>
        <w:t>5.4</w:t>
      </w:r>
      <w:r>
        <w:tab/>
        <w:t>Where land is outside a SSSI and includes areas where the peat depth exceeds 30cm, the applicant applies straight to Defra</w:t>
      </w:r>
      <w:r>
        <w:t xml:space="preserve"> and has to</w:t>
      </w:r>
      <w:r>
        <w:t xml:space="preserve"> wait up to 12 weeks. However, NE is one of the consultees that Defra will consult, so they may comment on an application even when it is outside a designated area. </w:t>
      </w:r>
    </w:p>
    <w:p w:rsidR="00A656E9">
      <w:r>
        <w:t>5.5</w:t>
      </w:r>
      <w:r>
        <w:tab/>
      </w:r>
      <w:r>
        <w:t>Defra confirmed</w:t>
      </w:r>
      <w:r>
        <w:t xml:space="preserve"> to the MA</w:t>
      </w:r>
      <w:r>
        <w:t xml:space="preserve"> that </w:t>
      </w:r>
      <w:r>
        <w:t>ten</w:t>
      </w:r>
      <w:r>
        <w:t xml:space="preserve"> licence applications had been received in th</w:t>
      </w:r>
      <w:r>
        <w:t xml:space="preserve">e first 3 years </w:t>
      </w:r>
      <w:r>
        <w:t xml:space="preserve">after the 2021 Regulations were introduced. Further research </w:t>
      </w:r>
      <w:r>
        <w:t>revealed</w:t>
      </w:r>
      <w:r>
        <w:t xml:space="preserve"> that</w:t>
      </w:r>
      <w:r>
        <w:t xml:space="preserve"> </w:t>
      </w:r>
      <w:r>
        <w:t>three</w:t>
      </w:r>
      <w:r>
        <w:t xml:space="preserve"> of those </w:t>
      </w:r>
      <w:r>
        <w:t>ten</w:t>
      </w:r>
      <w:r>
        <w:t xml:space="preserve"> </w:t>
      </w:r>
      <w:r>
        <w:t>licence</w:t>
      </w:r>
      <w:r>
        <w:t xml:space="preserve"> application</w:t>
      </w:r>
      <w:r>
        <w:t>s were granted</w:t>
      </w:r>
      <w:r>
        <w:t>,</w:t>
      </w:r>
      <w:r>
        <w:t xml:space="preserve"> </w:t>
      </w:r>
      <w:r>
        <w:t>but</w:t>
      </w:r>
      <w:r>
        <w:t xml:space="preserve"> only one was </w:t>
      </w:r>
      <w:r>
        <w:t xml:space="preserve">useable because the conditions attached to the other </w:t>
      </w:r>
      <w:r>
        <w:t>two</w:t>
      </w:r>
      <w:r>
        <w:t xml:space="preserve"> made them impractical to use. Defra </w:t>
      </w:r>
      <w:r>
        <w:t>seemed to take</w:t>
      </w:r>
      <w:r>
        <w:t xml:space="preserve"> this as evidence of a lack of demand for </w:t>
      </w:r>
      <w:r>
        <w:t>burning licences, whereas our conversations with moorland managers found that there were several reasons</w:t>
      </w:r>
      <w:r>
        <w:t xml:space="preserve"> why they were no</w:t>
      </w:r>
      <w:r>
        <w:t>t applying</w:t>
      </w:r>
      <w:r>
        <w:t>, including:</w:t>
      </w:r>
    </w:p>
    <w:p w:rsidR="00A656E9" w:rsidP="009A4995">
      <w:pPr>
        <w:pStyle w:val="ListParagraph"/>
        <w:numPr>
          <w:ilvl w:val="0"/>
          <w:numId w:val="3"/>
        </w:numPr>
      </w:pPr>
      <w:r>
        <w:t>Lack of familiarity with the new regime</w:t>
      </w:r>
    </w:p>
    <w:p w:rsidR="00A656E9" w:rsidP="009A4995">
      <w:pPr>
        <w:pStyle w:val="ListParagraph"/>
        <w:numPr>
          <w:ilvl w:val="0"/>
          <w:numId w:val="3"/>
        </w:numPr>
      </w:pPr>
      <w:r>
        <w:t>A perception that the application process was unduly burdensome</w:t>
      </w:r>
    </w:p>
    <w:p w:rsidR="00A656E9" w:rsidP="009A4995">
      <w:pPr>
        <w:pStyle w:val="ListParagraph"/>
        <w:numPr>
          <w:ilvl w:val="0"/>
          <w:numId w:val="3"/>
        </w:numPr>
      </w:pPr>
      <w:r>
        <w:t xml:space="preserve">A belief that they would be wasting their time, as </w:t>
      </w:r>
      <w:r>
        <w:t>an application was likely to be refused</w:t>
      </w:r>
    </w:p>
    <w:p w:rsidR="00A656E9" w:rsidP="009A4995">
      <w:pPr>
        <w:pStyle w:val="ListParagraph"/>
        <w:numPr>
          <w:ilvl w:val="0"/>
          <w:numId w:val="3"/>
        </w:numPr>
      </w:pPr>
      <w:r>
        <w:t>A preference to try other management techniques, such as cutting, or</w:t>
      </w:r>
      <w:r w:rsidRPr="0081231D">
        <w:t xml:space="preserve"> </w:t>
      </w:r>
      <w:r>
        <w:t>to delay burning for a few years while waiting for the new application process to bed in.</w:t>
      </w:r>
    </w:p>
    <w:p w:rsidR="00A656E9" w:rsidP="0081231D">
      <w:r>
        <w:t>5.6</w:t>
      </w:r>
      <w:r>
        <w:tab/>
      </w:r>
      <w:r>
        <w:t xml:space="preserve">In the </w:t>
      </w:r>
      <w:r>
        <w:t xml:space="preserve">seven months since the 2025 Regulations came into effect, the MA has supported its members to make </w:t>
      </w:r>
      <w:r w:rsidRPr="00FA0D23">
        <w:t>16 applications for controlled burning</w:t>
      </w:r>
      <w:r w:rsidRPr="00FA0D23">
        <w:t xml:space="preserve">, </w:t>
      </w:r>
      <w:r w:rsidRPr="00FA0D23">
        <w:t>10</w:t>
      </w:r>
      <w:r w:rsidRPr="00FA0D23">
        <w:t xml:space="preserve"> of which included </w:t>
      </w:r>
      <w:r w:rsidRPr="00FA0D23">
        <w:t>wildfire risk management</w:t>
      </w:r>
      <w:r>
        <w:t xml:space="preserve"> as one of the reasons for the burns</w:t>
      </w:r>
      <w:r>
        <w:t>. The main</w:t>
      </w:r>
      <w:r>
        <w:t xml:space="preserve"> reason </w:t>
      </w:r>
      <w:r>
        <w:t>why</w:t>
      </w:r>
      <w:r>
        <w:t xml:space="preserve"> not all of the applications included wildfire risk as a reason for burning was that the applicants had not all completed a full wildfire </w:t>
      </w:r>
      <w:r>
        <w:t>management plan</w:t>
      </w:r>
      <w:r>
        <w:t xml:space="preserve"> </w:t>
      </w:r>
      <w:r>
        <w:t>using the 21 page template provided by Defra</w:t>
      </w:r>
      <w:r>
        <w:t xml:space="preserve"> (some had their own wildfire management plans, but not in the correct format)</w:t>
      </w:r>
      <w:r>
        <w:t>.</w:t>
      </w:r>
      <w:r>
        <w:t xml:space="preserve"> M</w:t>
      </w:r>
      <w:r>
        <w:t>any m</w:t>
      </w:r>
      <w:r>
        <w:t>ore moorland managers are preparing their applications now for the 2026/27 burning season</w:t>
      </w:r>
      <w:r>
        <w:t xml:space="preserve"> with support from the MA</w:t>
      </w:r>
      <w:r>
        <w:t xml:space="preserve">, including </w:t>
      </w:r>
      <w:r>
        <w:t>developing and updating their</w:t>
      </w:r>
      <w:r>
        <w:t xml:space="preserve"> wildfire </w:t>
      </w:r>
      <w:r>
        <w:t>management plans</w:t>
      </w:r>
      <w:r>
        <w:t xml:space="preserve">. We know that moorland managers want to be able to use controlled burning as one of their wildfire risk management tools, but we also know that Defra and NE are </w:t>
      </w:r>
      <w:r>
        <w:t>making this very difficult.</w:t>
      </w:r>
    </w:p>
    <w:p w:rsidR="00A656E9" w:rsidRPr="00474530" w:rsidP="00040AD4">
      <w:pPr>
        <w:spacing w:before="240"/>
        <w:rPr>
          <w:b/>
          <w:bCs/>
        </w:rPr>
      </w:pPr>
      <w:r>
        <w:rPr>
          <w:b/>
          <w:bCs/>
        </w:rPr>
        <w:t>6.0</w:t>
      </w:r>
      <w:r>
        <w:rPr>
          <w:b/>
          <w:bCs/>
        </w:rPr>
        <w:tab/>
      </w:r>
      <w:r w:rsidRPr="00474530">
        <w:rPr>
          <w:b/>
          <w:bCs/>
        </w:rPr>
        <w:t>The licence application process</w:t>
      </w:r>
    </w:p>
    <w:p w:rsidR="00A656E9" w:rsidP="0081231D">
      <w:r>
        <w:t>6.1</w:t>
      </w:r>
      <w:r>
        <w:tab/>
      </w:r>
      <w:r>
        <w:t>The licence application process</w:t>
      </w:r>
      <w:r>
        <w:t xml:space="preserve"> demands a huge amount of data</w:t>
      </w:r>
      <w:r>
        <w:t xml:space="preserve"> to be collected and </w:t>
      </w:r>
      <w:r>
        <w:t>presented to Defra</w:t>
      </w:r>
      <w:r>
        <w:t xml:space="preserve">. </w:t>
      </w:r>
    </w:p>
    <w:p w:rsidR="00A656E9" w:rsidP="0081231D">
      <w:r>
        <w:t>6.2</w:t>
      </w:r>
      <w:r>
        <w:tab/>
        <w:t xml:space="preserve">When planning their burn sites, </w:t>
      </w:r>
      <w:r>
        <w:t>managers must check and record the peat depth to ensure that it is bel</w:t>
      </w:r>
      <w:r>
        <w:t xml:space="preserve">ow </w:t>
      </w:r>
      <w:r>
        <w:t>30cm deep.</w:t>
      </w:r>
      <w:r>
        <w:t xml:space="preserve"> Peatland maps (including the England Peat Map) are notoriously </w:t>
      </w:r>
      <w:r>
        <w:t xml:space="preserve">inaccurate and cannot be relied upon for this purpose, so each site has to be checked </w:t>
      </w:r>
      <w:r>
        <w:t xml:space="preserve">using a probe to </w:t>
      </w:r>
      <w:r>
        <w:t>measure</w:t>
      </w:r>
      <w:r>
        <w:t xml:space="preserve"> peat depth in the 4 corners and centre of the proposed burn area</w:t>
      </w:r>
      <w:r>
        <w:t>.</w:t>
      </w:r>
      <w:r>
        <w:t xml:space="preserve"> </w:t>
      </w:r>
      <w:r>
        <w:t>Controlled burn sites are typically small</w:t>
      </w:r>
      <w:r>
        <w:t xml:space="preserve"> and scattered, to create a resilient mosaic of different aged vegetation</w:t>
      </w:r>
      <w:r>
        <w:t>, so m</w:t>
      </w:r>
      <w:r>
        <w:t>oorland managers may wish to</w:t>
      </w:r>
      <w:r>
        <w:t xml:space="preserve"> burn d</w:t>
      </w:r>
      <w:r>
        <w:t xml:space="preserve">ozens, or even hundreds of small patches across their moor in a season. </w:t>
      </w:r>
      <w:r>
        <w:t xml:space="preserve"> </w:t>
      </w:r>
    </w:p>
    <w:p w:rsidR="00A656E9" w:rsidP="0081231D">
      <w:r>
        <w:t>6.3</w:t>
      </w:r>
      <w:r>
        <w:tab/>
      </w:r>
      <w:r>
        <w:t xml:space="preserve">If the peat is more than 30cm deep in an area where </w:t>
      </w:r>
      <w:r>
        <w:t xml:space="preserve">controlled burning is the most appropriate tool to manage </w:t>
      </w:r>
      <w:r>
        <w:t>the vegetation fuel load,</w:t>
      </w:r>
      <w:r>
        <w:t xml:space="preserve"> then a licence application must be made. </w:t>
      </w:r>
      <w:r>
        <w:t>It</w:t>
      </w:r>
      <w:r>
        <w:t xml:space="preserve"> must </w:t>
      </w:r>
      <w:r>
        <w:t>include</w:t>
      </w:r>
    </w:p>
    <w:p w:rsidR="00A656E9" w:rsidP="006728EF">
      <w:pPr>
        <w:pStyle w:val="ListParagraph"/>
        <w:numPr>
          <w:ilvl w:val="0"/>
          <w:numId w:val="5"/>
        </w:numPr>
        <w:spacing w:before="0"/>
      </w:pPr>
      <w:r>
        <w:t>a copy of a valid SSSI consent from Natural England, if required</w:t>
      </w:r>
    </w:p>
    <w:p w:rsidR="00A656E9" w:rsidP="006728EF">
      <w:pPr>
        <w:pStyle w:val="ListParagraph"/>
        <w:numPr>
          <w:ilvl w:val="0"/>
          <w:numId w:val="5"/>
        </w:numPr>
        <w:spacing w:before="0"/>
      </w:pPr>
      <w:r>
        <w:t>a map of the land showing the boundaries of the landholding</w:t>
      </w:r>
    </w:p>
    <w:p w:rsidR="00A656E9" w:rsidP="006728EF">
      <w:pPr>
        <w:pStyle w:val="ListParagraph"/>
        <w:numPr>
          <w:ilvl w:val="0"/>
          <w:numId w:val="5"/>
        </w:numPr>
        <w:spacing w:before="0"/>
      </w:pPr>
      <w:r>
        <w:t>an 8-figure Ordnance Survey grid reference of each burn location</w:t>
      </w:r>
    </w:p>
    <w:p w:rsidR="00A656E9" w:rsidP="006728EF">
      <w:pPr>
        <w:pStyle w:val="ListParagraph"/>
        <w:numPr>
          <w:ilvl w:val="0"/>
          <w:numId w:val="5"/>
        </w:numPr>
        <w:spacing w:before="0"/>
      </w:pPr>
      <w:r>
        <w:t>the reason for each burn</w:t>
      </w:r>
    </w:p>
    <w:p w:rsidR="00A656E9" w:rsidP="006728EF">
      <w:pPr>
        <w:pStyle w:val="ListParagraph"/>
        <w:numPr>
          <w:ilvl w:val="0"/>
          <w:numId w:val="5"/>
        </w:numPr>
        <w:spacing w:before="0"/>
      </w:pPr>
      <w:r>
        <w:t>the size of each burn plot</w:t>
      </w:r>
    </w:p>
    <w:p w:rsidR="00A656E9" w:rsidP="006728EF">
      <w:pPr>
        <w:pStyle w:val="ListParagraph"/>
        <w:numPr>
          <w:ilvl w:val="0"/>
          <w:numId w:val="5"/>
        </w:numPr>
        <w:spacing w:before="0"/>
      </w:pPr>
      <w:r>
        <w:t>de</w:t>
      </w:r>
      <w:r>
        <w:t>scription</w:t>
      </w:r>
      <w:r>
        <w:t xml:space="preserve"> of the vegetation in each burn plot (type, age, average height</w:t>
      </w:r>
      <w:r>
        <w:t>, % of each species)</w:t>
      </w:r>
    </w:p>
    <w:p w:rsidR="00A656E9" w:rsidP="006728EF">
      <w:pPr>
        <w:pStyle w:val="ListParagraph"/>
        <w:numPr>
          <w:ilvl w:val="0"/>
          <w:numId w:val="5"/>
        </w:numPr>
        <w:spacing w:before="0"/>
      </w:pPr>
      <w:r>
        <w:t>information about any agri-environment or other scheme which applies to the land</w:t>
      </w:r>
    </w:p>
    <w:p w:rsidR="00A656E9" w:rsidP="006728EF">
      <w:pPr>
        <w:pStyle w:val="ListParagraph"/>
        <w:numPr>
          <w:ilvl w:val="0"/>
          <w:numId w:val="5"/>
        </w:numPr>
        <w:spacing w:before="0"/>
      </w:pPr>
      <w:r>
        <w:t xml:space="preserve">proof that </w:t>
      </w:r>
      <w:r>
        <w:t>the applicant has</w:t>
      </w:r>
      <w:r>
        <w:t xml:space="preserve"> the agreement of any other parties who have either rights to burn or a valid SSSI consent on the same land</w:t>
      </w:r>
    </w:p>
    <w:p w:rsidR="00A656E9" w:rsidP="006728EF">
      <w:pPr>
        <w:pStyle w:val="ListParagraph"/>
        <w:numPr>
          <w:ilvl w:val="0"/>
          <w:numId w:val="5"/>
        </w:numPr>
        <w:spacing w:before="0"/>
      </w:pPr>
      <w:r>
        <w:t>information about training</w:t>
      </w:r>
      <w:r>
        <w:t xml:space="preserve"> and</w:t>
      </w:r>
      <w:r>
        <w:t xml:space="preserve"> qualifications </w:t>
      </w:r>
      <w:r>
        <w:t xml:space="preserve">to </w:t>
      </w:r>
      <w:r>
        <w:t>show</w:t>
      </w:r>
      <w:r>
        <w:t xml:space="preserve"> that the burn</w:t>
      </w:r>
      <w:r>
        <w:t xml:space="preserve">s will be managed </w:t>
      </w:r>
      <w:r>
        <w:t>safely</w:t>
      </w:r>
      <w:r>
        <w:t>.</w:t>
      </w:r>
    </w:p>
    <w:p w:rsidR="00A656E9" w:rsidP="00152495">
      <w:r>
        <w:t>6.4</w:t>
      </w:r>
      <w:r>
        <w:tab/>
        <w:t xml:space="preserve">Where wildfire risk management is the reason for the burning, </w:t>
      </w:r>
      <w:r>
        <w:t>the application must also include a full wildfire management plan</w:t>
      </w:r>
      <w:r>
        <w:t xml:space="preserve"> which includes:</w:t>
      </w:r>
    </w:p>
    <w:p w:rsidR="00A656E9" w:rsidP="008117EC">
      <w:pPr>
        <w:pStyle w:val="ListParagraph"/>
        <w:numPr>
          <w:ilvl w:val="0"/>
          <w:numId w:val="6"/>
        </w:numPr>
        <w:spacing w:before="0"/>
        <w:ind w:left="788" w:hanging="431"/>
      </w:pPr>
      <w:r>
        <w:t xml:space="preserve">Description of </w:t>
      </w:r>
      <w:r w:rsidRPr="00813E4D">
        <w:t>landholding, habitats and existing management aims</w:t>
      </w:r>
    </w:p>
    <w:p w:rsidR="00A656E9" w:rsidP="00813E4D">
      <w:pPr>
        <w:pStyle w:val="ListParagraph"/>
        <w:numPr>
          <w:ilvl w:val="0"/>
          <w:numId w:val="6"/>
        </w:numPr>
      </w:pPr>
      <w:r w:rsidRPr="00813E4D">
        <w:t xml:space="preserve">Wildfire Risk Assessment </w:t>
      </w:r>
    </w:p>
    <w:p w:rsidR="00A656E9" w:rsidP="00813E4D">
      <w:pPr>
        <w:pStyle w:val="ListParagraph"/>
        <w:numPr>
          <w:ilvl w:val="0"/>
          <w:numId w:val="6"/>
        </w:numPr>
      </w:pPr>
      <w:r w:rsidRPr="00813E4D">
        <w:t>Control Measures: plans for fire breaks and fuel management</w:t>
      </w:r>
      <w:r>
        <w:t>; explanation of</w:t>
      </w:r>
      <w:r w:rsidRPr="00813E4D">
        <w:t xml:space="preserve"> why burning is necessary over alternatives like cutting. </w:t>
      </w:r>
      <w:r>
        <w:t>Description of w</w:t>
      </w:r>
      <w:r w:rsidRPr="00813E4D">
        <w:t xml:space="preserve">hat else </w:t>
      </w:r>
      <w:r>
        <w:t>is being done</w:t>
      </w:r>
      <w:r w:rsidRPr="00813E4D">
        <w:t xml:space="preserve"> to build the habitat's natural resilience and reduce the need for future burning</w:t>
      </w:r>
      <w:r>
        <w:t>. (</w:t>
      </w:r>
      <w:r w:rsidRPr="00230B23">
        <w:rPr>
          <w:i/>
          <w:iCs/>
        </w:rPr>
        <w:t>NB this particular point illustrates Defra’s rejection of controlled burning as a valid land management tool</w:t>
      </w:r>
      <w:r>
        <w:rPr>
          <w:i/>
          <w:iCs/>
        </w:rPr>
        <w:t>)</w:t>
      </w:r>
      <w:r w:rsidRPr="00813E4D">
        <w:t xml:space="preserve"> </w:t>
      </w:r>
    </w:p>
    <w:p w:rsidR="00A656E9" w:rsidP="00813E4D">
      <w:pPr>
        <w:pStyle w:val="ListParagraph"/>
        <w:numPr>
          <w:ilvl w:val="0"/>
          <w:numId w:val="6"/>
        </w:numPr>
      </w:pPr>
      <w:r w:rsidRPr="00813E4D">
        <w:t xml:space="preserve">Maps and Evidence </w:t>
      </w:r>
    </w:p>
    <w:p w:rsidR="00A656E9" w:rsidP="00813E4D">
      <w:pPr>
        <w:pStyle w:val="ListParagraph"/>
        <w:numPr>
          <w:ilvl w:val="0"/>
          <w:numId w:val="6"/>
        </w:numPr>
      </w:pPr>
      <w:r w:rsidRPr="00813E4D">
        <w:t>Consultation: Document</w:t>
      </w:r>
      <w:r>
        <w:t>ing</w:t>
      </w:r>
      <w:r w:rsidRPr="00813E4D">
        <w:t xml:space="preserve"> </w:t>
      </w:r>
      <w:r>
        <w:t>any</w:t>
      </w:r>
      <w:r w:rsidRPr="00813E4D">
        <w:t xml:space="preserve"> feedback from stakeholders </w:t>
      </w:r>
      <w:r>
        <w:t>(</w:t>
      </w:r>
      <w:r w:rsidRPr="00813E4D">
        <w:t>local Fire and Rescue Service, N</w:t>
      </w:r>
      <w:r>
        <w:t>E</w:t>
      </w:r>
      <w:r w:rsidRPr="00813E4D">
        <w:t>, neighbour</w:t>
      </w:r>
      <w:r>
        <w:t>s etc)</w:t>
      </w:r>
      <w:r>
        <w:t>.</w:t>
      </w:r>
    </w:p>
    <w:p w:rsidR="00A656E9" w:rsidRPr="009356A7" w:rsidP="00040AD4">
      <w:pPr>
        <w:spacing w:before="240"/>
        <w:rPr>
          <w:b/>
          <w:bCs/>
        </w:rPr>
      </w:pPr>
      <w:r>
        <w:rPr>
          <w:b/>
          <w:bCs/>
        </w:rPr>
        <w:t>7.0</w:t>
      </w:r>
      <w:r>
        <w:rPr>
          <w:b/>
          <w:bCs/>
        </w:rPr>
        <w:tab/>
      </w:r>
      <w:r w:rsidRPr="009356A7">
        <w:rPr>
          <w:b/>
          <w:bCs/>
        </w:rPr>
        <w:t>The application form</w:t>
      </w:r>
    </w:p>
    <w:p w:rsidR="00A656E9" w:rsidP="006E76BB">
      <w:r>
        <w:t>7.1</w:t>
      </w:r>
      <w:r>
        <w:tab/>
      </w:r>
      <w:r>
        <w:t xml:space="preserve">Prior to September 2025, this information had to be completed using a Word document template which could be downloaded from the Defra website. After the 2025 </w:t>
      </w:r>
      <w:r>
        <w:t>amendments came into force on 30/9/25, a new online form was published. This was designed with no consultation at all with users</w:t>
      </w:r>
      <w:r>
        <w:t xml:space="preserve"> and was presented online in such a way that the applicant could not see question 2 until they had answered question 1. This made it impossible for applicants to know what data was required at which point</w:t>
      </w:r>
      <w:r>
        <w:t>, making the applicati</w:t>
      </w:r>
      <w:r>
        <w:t>on process particularly onerous. The MA sought to assist applicants by working through a mock application and taking screenshots of each page, then publishing the whole as a pdf as part of its online guidance</w:t>
      </w:r>
      <w:r>
        <w:rPr>
          <w:rStyle w:val="FootnoteReference"/>
        </w:rPr>
        <w:footnoteReference w:id="4"/>
      </w:r>
      <w:r>
        <w:t>.</w:t>
      </w:r>
      <w:r>
        <w:t xml:space="preserve"> </w:t>
      </w:r>
      <w:r>
        <w:t xml:space="preserve">The MA Handbook now extends to 10 pages of guidance and includes links to 11 </w:t>
      </w:r>
      <w:r>
        <w:t xml:space="preserve">other forms, guidance documents and pieces of </w:t>
      </w:r>
      <w:r>
        <w:t xml:space="preserve">legislation. All this </w:t>
      </w:r>
      <w:r>
        <w:t xml:space="preserve">is deemed necessary </w:t>
      </w:r>
      <w:r>
        <w:t xml:space="preserve">to enable experienced moorland managers to carry out controlled burning </w:t>
      </w:r>
      <w:r>
        <w:t>of upland vegetation</w:t>
      </w:r>
      <w:r>
        <w:t xml:space="preserve"> – an activity which has been carried out for</w:t>
      </w:r>
      <w:r>
        <w:t xml:space="preserve"> many</w:t>
      </w:r>
      <w:r>
        <w:t xml:space="preserve"> decades in this country and centuries </w:t>
      </w:r>
      <w:r>
        <w:t>in other parts of the world</w:t>
      </w:r>
      <w:r>
        <w:t xml:space="preserve">. It is disproportionate and </w:t>
      </w:r>
      <w:r>
        <w:t>appears designed to deter appl</w:t>
      </w:r>
      <w:r>
        <w:t>ications.</w:t>
      </w:r>
    </w:p>
    <w:p w:rsidR="00A656E9" w:rsidRPr="00C03297" w:rsidP="00040AD4">
      <w:pPr>
        <w:spacing w:before="240"/>
        <w:ind w:left="709" w:hanging="709"/>
        <w:rPr>
          <w:b/>
          <w:bCs/>
        </w:rPr>
      </w:pPr>
      <w:r>
        <w:rPr>
          <w:b/>
          <w:bCs/>
        </w:rPr>
        <w:t>8.0</w:t>
      </w:r>
      <w:r>
        <w:rPr>
          <w:b/>
          <w:bCs/>
        </w:rPr>
        <w:tab/>
      </w:r>
      <w:r w:rsidRPr="00C03297">
        <w:rPr>
          <w:b/>
          <w:bCs/>
        </w:rPr>
        <w:t>Next steps</w:t>
      </w:r>
    </w:p>
    <w:p w:rsidR="00A656E9" w:rsidP="00937554">
      <w:r>
        <w:t>8.1</w:t>
      </w:r>
      <w:r>
        <w:tab/>
      </w:r>
      <w:r>
        <w:t>Defra’s</w:t>
      </w:r>
      <w:r>
        <w:t xml:space="preserve"> </w:t>
      </w:r>
      <w:r>
        <w:t xml:space="preserve">policy </w:t>
      </w:r>
      <w:r>
        <w:t xml:space="preserve">of restricting </w:t>
      </w:r>
      <w:r>
        <w:t xml:space="preserve">controlled burning </w:t>
      </w:r>
      <w:r>
        <w:t>means that unman</w:t>
      </w:r>
      <w:r>
        <w:t>aged fuel load is</w:t>
      </w:r>
      <w:r>
        <w:t xml:space="preserve"> increasing </w:t>
      </w:r>
      <w:r>
        <w:t xml:space="preserve">the risk of </w:t>
      </w:r>
      <w:r>
        <w:t>serious wildfire</w:t>
      </w:r>
      <w:r>
        <w:t xml:space="preserve">. </w:t>
      </w:r>
      <w:r>
        <w:t xml:space="preserve">The NE consenting process already controls </w:t>
      </w:r>
      <w:r>
        <w:t xml:space="preserve">activity on </w:t>
      </w:r>
      <w:r>
        <w:t>designated sites</w:t>
      </w:r>
      <w:r>
        <w:t xml:space="preserve">, so what is </w:t>
      </w:r>
      <w:r>
        <w:t xml:space="preserve">the </w:t>
      </w:r>
      <w:r>
        <w:t xml:space="preserve">additional </w:t>
      </w:r>
      <w:r>
        <w:t>Defra licensing process</w:t>
      </w:r>
      <w:r>
        <w:t xml:space="preserve"> </w:t>
      </w:r>
      <w:r>
        <w:t xml:space="preserve">achieving? Is it </w:t>
      </w:r>
      <w:r>
        <w:t xml:space="preserve">necessary </w:t>
      </w:r>
      <w:r>
        <w:t>or should it be scrapped</w:t>
      </w:r>
      <w:r>
        <w:t>?</w:t>
      </w:r>
      <w:r>
        <w:t xml:space="preserve"> </w:t>
      </w:r>
    </w:p>
    <w:p w:rsidR="00A656E9" w:rsidP="00937554">
      <w:r>
        <w:t>8.2</w:t>
      </w:r>
      <w:r>
        <w:tab/>
      </w:r>
      <w:r>
        <w:t xml:space="preserve">If </w:t>
      </w:r>
      <w:r>
        <w:t>the Defra lic</w:t>
      </w:r>
      <w:r>
        <w:t xml:space="preserve">ensing regime is absolutely necessary and proven to be delivering Government objectives, </w:t>
      </w:r>
      <w:r>
        <w:t xml:space="preserve">which we question, </w:t>
      </w:r>
      <w:r>
        <w:t xml:space="preserve">then the process </w:t>
      </w:r>
      <w:r>
        <w:t>must be improved. W</w:t>
      </w:r>
      <w:r>
        <w:t xml:space="preserve">e are </w:t>
      </w:r>
      <w:r>
        <w:t>now</w:t>
      </w:r>
      <w:r>
        <w:t xml:space="preserve"> </w:t>
      </w:r>
      <w:r>
        <w:t xml:space="preserve">working on proposals to streamline the application process, reduce the amount of </w:t>
      </w:r>
      <w:r>
        <w:t xml:space="preserve">evidence required to that which is essential for making a decision and </w:t>
      </w:r>
      <w:r>
        <w:t xml:space="preserve">make it quicker and easier for applicants to secure a licence for fuel load management. </w:t>
      </w:r>
    </w:p>
    <w:p w:rsidR="00A656E9" w:rsidRPr="00C03297" w:rsidP="00040AD4">
      <w:pPr>
        <w:spacing w:before="240"/>
        <w:ind w:left="709" w:hanging="709"/>
        <w:rPr>
          <w:b/>
          <w:bCs/>
        </w:rPr>
      </w:pPr>
      <w:r>
        <w:rPr>
          <w:b/>
          <w:bCs/>
        </w:rPr>
        <w:t>9.0</w:t>
      </w:r>
      <w:r>
        <w:rPr>
          <w:b/>
          <w:bCs/>
        </w:rPr>
        <w:tab/>
      </w:r>
      <w:r>
        <w:rPr>
          <w:b/>
          <w:bCs/>
        </w:rPr>
        <w:t xml:space="preserve">Lessons from </w:t>
      </w:r>
      <w:r w:rsidRPr="00C03297">
        <w:rPr>
          <w:b/>
          <w:bCs/>
        </w:rPr>
        <w:t>Scotland</w:t>
      </w:r>
    </w:p>
    <w:p w:rsidR="00A656E9" w:rsidP="00582AE7">
      <w:r>
        <w:t>9.1</w:t>
      </w:r>
      <w:r>
        <w:tab/>
      </w:r>
      <w:r>
        <w:t>At a Wildfire Commission meeting in London in April 2026, it was informative to hear from Ross Ewing of Scottish Land and Estates about muirburn policy in Scotland</w:t>
      </w:r>
      <w:r>
        <w:t>. The Scottish Government had been on the point of introducing tighter restrictions on muirburn</w:t>
      </w:r>
      <w:r>
        <w:t xml:space="preserve">, when the Dava and Carrbridge fire devastated </w:t>
      </w:r>
      <w:r>
        <w:t>nearly 12,000</w:t>
      </w:r>
      <w:r w:rsidRPr="00C33E0E">
        <w:t xml:space="preserve"> hectares of moorland and woodland</w:t>
      </w:r>
      <w:r>
        <w:t xml:space="preserve"> in summer 2025</w:t>
      </w:r>
      <w:r w:rsidRPr="00C33E0E">
        <w:t xml:space="preserve">. </w:t>
      </w:r>
      <w:r>
        <w:t>This horrendous event caused the Scottish Government to pause and re-think its approach</w:t>
      </w:r>
      <w:r>
        <w:t>,</w:t>
      </w:r>
      <w:r>
        <w:t xml:space="preserve"> </w:t>
      </w:r>
      <w:r>
        <w:t xml:space="preserve">removing an implicit ban on muirburn </w:t>
      </w:r>
      <w:r>
        <w:t xml:space="preserve">and </w:t>
      </w:r>
      <w:r>
        <w:t>advocat</w:t>
      </w:r>
      <w:r>
        <w:t>ing</w:t>
      </w:r>
      <w:r>
        <w:t xml:space="preserve"> </w:t>
      </w:r>
      <w:r>
        <w:t>l</w:t>
      </w:r>
      <w:r>
        <w:t>and management plans</w:t>
      </w:r>
      <w:r>
        <w:t xml:space="preserve"> which consider </w:t>
      </w:r>
      <w:r>
        <w:t>the management of fuel load</w:t>
      </w:r>
      <w:r>
        <w:t>s</w:t>
      </w:r>
      <w:r>
        <w:t xml:space="preserve">. </w:t>
      </w:r>
      <w:r>
        <w:t xml:space="preserve">Policy engagement has been cross-departmental and we urgently need the same joined-up approach in England. </w:t>
      </w:r>
    </w:p>
    <w:p w:rsidR="00A656E9" w:rsidRPr="00F16DFD" w:rsidP="00040AD4">
      <w:pPr>
        <w:tabs>
          <w:tab w:val="left" w:pos="709"/>
        </w:tabs>
        <w:spacing w:before="240"/>
        <w:rPr>
          <w:b/>
          <w:bCs/>
        </w:rPr>
      </w:pPr>
      <w:r>
        <w:rPr>
          <w:b/>
          <w:bCs/>
        </w:rPr>
        <w:t>10.0</w:t>
      </w:r>
      <w:r>
        <w:rPr>
          <w:b/>
          <w:bCs/>
        </w:rPr>
        <w:tab/>
      </w:r>
      <w:r w:rsidRPr="00F16DFD">
        <w:rPr>
          <w:b/>
          <w:bCs/>
        </w:rPr>
        <w:t>Conclusions</w:t>
      </w:r>
    </w:p>
    <w:p w:rsidR="00A656E9" w:rsidP="00C24B97">
      <w:pPr>
        <w:pStyle w:val="ListParagraph"/>
        <w:numPr>
          <w:ilvl w:val="0"/>
          <w:numId w:val="7"/>
        </w:numPr>
      </w:pPr>
      <w:r>
        <w:t xml:space="preserve">Defra’s policy on controlled burning seems to have arisen from </w:t>
      </w:r>
      <w:r>
        <w:t>its “carbon tunnel vision” and is proving to be dangerous for fuel load management</w:t>
      </w:r>
      <w:r>
        <w:t xml:space="preserve">. </w:t>
      </w:r>
    </w:p>
    <w:p w:rsidR="00A656E9" w:rsidP="00C24B97">
      <w:pPr>
        <w:pStyle w:val="ListParagraph"/>
        <w:numPr>
          <w:ilvl w:val="0"/>
          <w:numId w:val="7"/>
        </w:numPr>
      </w:pPr>
      <w:r>
        <w:t>We question whether Defra needs to licence controlled burning at all.</w:t>
      </w:r>
    </w:p>
    <w:p w:rsidR="00A656E9" w:rsidP="00C24B97">
      <w:pPr>
        <w:pStyle w:val="ListParagraph"/>
        <w:numPr>
          <w:ilvl w:val="0"/>
          <w:numId w:val="7"/>
        </w:numPr>
      </w:pPr>
      <w:r>
        <w:t xml:space="preserve">If it </w:t>
      </w:r>
      <w:r>
        <w:t xml:space="preserve">really </w:t>
      </w:r>
      <w:r>
        <w:t xml:space="preserve">does need to licence controlled burning, then the process must be made far more manageable and </w:t>
      </w:r>
      <w:r>
        <w:t>proportionate to the task.</w:t>
      </w:r>
      <w:r>
        <w:t xml:space="preserve"> </w:t>
      </w:r>
    </w:p>
    <w:p w:rsidR="00A656E9" w:rsidP="00C24B97">
      <w:pPr>
        <w:pStyle w:val="ListParagraph"/>
        <w:numPr>
          <w:ilvl w:val="0"/>
          <w:numId w:val="7"/>
        </w:numPr>
      </w:pPr>
      <w:r>
        <w:t>The Scottish Government approach may offer useful lessons.</w:t>
      </w:r>
    </w:p>
    <w:p w:rsidR="00A656E9"/>
    <w:p w:rsidR="00A656E9" w:rsidRPr="00083BEB">
      <w:pPr>
        <w:rPr>
          <w:i/>
          <w:iCs/>
        </w:rPr>
      </w:pPr>
      <w:r>
        <w:t xml:space="preserve"> </w:t>
      </w:r>
      <w:r w:rsidRPr="00083BEB" w:rsidR="00083BEB">
        <w:rPr>
          <w:i/>
          <w:iCs/>
        </w:rPr>
        <w:t>May 2026</w:t>
      </w:r>
    </w:p>
    <w:sectPr>
      <w:footerReference w:type="default" r:id="rId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656E9" w:rsidP="00777AC1">
    <w:pPr>
      <w:pStyle w:val="Footer"/>
      <w:jc w:val="center"/>
    </w:pPr>
  </w:p>
  <w:p w:rsidR="00A656E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footnote w:type="separator" w:id="0">
    <w:p w:rsidR="00A656E9" w:rsidP="006D69B6">
      <w:pPr>
        <w:spacing w:before="0" w:line="240" w:lineRule="auto"/>
      </w:pPr>
      <w:r>
        <w:separator/>
      </w:r>
    </w:p>
  </w:footnote>
  <w:footnote w:type="continuationSeparator" w:id="1">
    <w:p w:rsidR="00A656E9" w:rsidP="006D69B6">
      <w:pPr>
        <w:spacing w:before="0" w:line="240" w:lineRule="auto"/>
      </w:pPr>
      <w:r>
        <w:continuationSeparator/>
      </w:r>
    </w:p>
  </w:footnote>
  <w:footnote w:id="2">
    <w:p w:rsidR="00A656E9" w:rsidP="00906422">
      <w:pPr>
        <w:pStyle w:val="FootnoteText"/>
      </w:pPr>
      <w:r>
        <w:rPr>
          <w:rStyle w:val="FootnoteReference"/>
        </w:rPr>
        <w:footnoteRef/>
      </w:r>
      <w:r>
        <w:t xml:space="preserve"> </w:t>
      </w:r>
      <w:r>
        <w:fldChar w:fldCharType="begin"/>
      </w:r>
      <w:r>
        <w:instrText xml:space="preserve"> HYPERLINK "https://consult.defra.gov.uk/peatland-protection-team/heather-and-grass-burning-in-england/" </w:instrText>
      </w:r>
      <w:r>
        <w:fldChar w:fldCharType="separate"/>
      </w:r>
      <w:r w:rsidRPr="008A0188">
        <w:rPr>
          <w:rStyle w:val="Hyperlink"/>
        </w:rPr>
        <w:t>https://consult.defra.gov.uk/peatland-protection-team/heather-and-grass-burning-in-england/</w:t>
      </w:r>
      <w:r>
        <w:fldChar w:fldCharType="end"/>
      </w:r>
      <w:r>
        <w:t xml:space="preserve"> </w:t>
      </w:r>
    </w:p>
  </w:footnote>
  <w:footnote w:id="3">
    <w:p w:rsidR="00A656E9">
      <w:pPr>
        <w:pStyle w:val="FootnoteText"/>
      </w:pPr>
      <w:r>
        <w:rPr>
          <w:rStyle w:val="FootnoteReference"/>
        </w:rPr>
        <w:footnoteRef/>
      </w:r>
      <w:r>
        <w:t xml:space="preserve"> </w:t>
      </w:r>
      <w:r>
        <w:fldChar w:fldCharType="begin"/>
      </w:r>
      <w:r>
        <w:instrText xml:space="preserve"> HYPERLINK "https://www.gov.uk/government/consultations/heather-and-grass-burning-in-england/outcome/summary-of-responses-and-government-response" </w:instrText>
      </w:r>
      <w:r>
        <w:fldChar w:fldCharType="separate"/>
      </w:r>
      <w:r w:rsidRPr="008A0188">
        <w:rPr>
          <w:rStyle w:val="Hyperlink"/>
        </w:rPr>
        <w:t>https://www.gov.uk/government/consultations/heather-and-grass-burning-in-england/outcome/summary-of-responses-and-government-response</w:t>
      </w:r>
      <w:r>
        <w:fldChar w:fldCharType="end"/>
      </w:r>
      <w:r>
        <w:t xml:space="preserve"> </w:t>
      </w:r>
    </w:p>
  </w:footnote>
  <w:footnote w:id="4">
    <w:p w:rsidR="00A656E9">
      <w:pPr>
        <w:pStyle w:val="FootnoteText"/>
      </w:pPr>
      <w:r>
        <w:rPr>
          <w:rStyle w:val="FootnoteReference"/>
        </w:rPr>
        <w:footnoteRef/>
      </w:r>
      <w:r>
        <w:t xml:space="preserve"> </w:t>
      </w:r>
      <w:r>
        <w:fldChar w:fldCharType="begin"/>
      </w:r>
      <w:r>
        <w:instrText xml:space="preserve"> HYPERLINK "https://www.moorlandassociation.org/post/ma-handbook-applying-for-a-defra-licence-to-burn-on-deep-peat" </w:instrText>
      </w:r>
      <w:r>
        <w:fldChar w:fldCharType="separate"/>
      </w:r>
      <w:r w:rsidRPr="008A0188">
        <w:rPr>
          <w:rStyle w:val="Hyperlink"/>
        </w:rPr>
        <w:t>https://www.moorlandassociation.org/post/ma-handbook-applying-for-a-defra-licence-to-burn-on-deep-peat</w:t>
      </w:r>
      <w:r>
        <w:fldChar w:fldCharType="end"/>
      </w:r>
      <w:r>
        <w:t xml:space="preserve">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5663988"/>
    <w:multiLevelType w:val="hybridMultilevel"/>
    <w:tmpl w:val="D100763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12AC76E7"/>
    <w:multiLevelType w:val="hybridMultilevel"/>
    <w:tmpl w:val="94B08C4A"/>
    <w:lvl w:ilvl="0">
      <w:start w:val="0"/>
      <w:numFmt w:val="bullet"/>
      <w:lvlText w:val="•"/>
      <w:lvlJc w:val="left"/>
      <w:pPr>
        <w:ind w:left="790" w:hanging="430"/>
      </w:pPr>
      <w:rPr>
        <w:rFonts w:ascii="Calibri" w:hAnsi="Calibri" w:eastAsiaTheme="minorHAnsi" w:cs="Calibri"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2E1641BE"/>
    <w:multiLevelType w:val="hybridMultilevel"/>
    <w:tmpl w:val="E7A09214"/>
    <w:lvl w:ilvl="0">
      <w:start w:val="1"/>
      <w:numFmt w:val="bullet"/>
      <w:lvlText w:val="-"/>
      <w:lvlJc w:val="left"/>
      <w:pPr>
        <w:ind w:left="720" w:hanging="360"/>
      </w:pPr>
      <w:rPr>
        <w:rFonts w:ascii="Calibri" w:hAnsi="Calibri" w:eastAsiaTheme="minorHAnsi" w:cs="Calibri"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3CEF53E5"/>
    <w:multiLevelType w:val="hybridMultilevel"/>
    <w:tmpl w:val="EA1CEC30"/>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533F63CC"/>
    <w:multiLevelType w:val="hybridMultilevel"/>
    <w:tmpl w:val="873A3AEC"/>
    <w:lvl w:ilvl="0">
      <w:start w:val="1"/>
      <w:numFmt w:val="bullet"/>
      <w:lvlText w:val="-"/>
      <w:lvlJc w:val="left"/>
      <w:pPr>
        <w:ind w:left="720" w:hanging="360"/>
      </w:pPr>
      <w:rPr>
        <w:rFonts w:ascii="Calibri" w:hAnsi="Calibri" w:eastAsiaTheme="minorHAnsi" w:cs="Calibri"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nsid w:val="53C6128C"/>
    <w:multiLevelType w:val="hybridMultilevel"/>
    <w:tmpl w:val="75025A1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
    <w:nsid w:val="5DAB217D"/>
    <w:multiLevelType w:val="hybridMultilevel"/>
    <w:tmpl w:val="40BAB2F0"/>
    <w:lvl w:ilvl="0">
      <w:start w:val="0"/>
      <w:numFmt w:val="bullet"/>
      <w:lvlText w:val="•"/>
      <w:lvlJc w:val="left"/>
      <w:pPr>
        <w:ind w:left="790" w:hanging="430"/>
      </w:pPr>
      <w:rPr>
        <w:rFonts w:ascii="Calibri" w:hAnsi="Calibri" w:eastAsiaTheme="minorHAnsi" w:cs="Calibri"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
    <w:nsid w:val="78216AED"/>
    <w:multiLevelType w:val="hybridMultilevel"/>
    <w:tmpl w:val="5B7658B6"/>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5"/>
  </w:num>
  <w:num w:numId="2">
    <w:abstractNumId w:val="3"/>
  </w:num>
  <w:num w:numId="3">
    <w:abstractNumId w:val="2"/>
  </w:num>
  <w:num w:numId="4">
    <w:abstractNumId w:val="4"/>
  </w:num>
  <w:num w:numId="5">
    <w:abstractNumId w:val="6"/>
  </w:num>
  <w:num w:numId="6">
    <w:abstractNumId w:val="1"/>
  </w:num>
  <w:num w:numId="7">
    <w:abstractNumId w:val="0"/>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NotTrackMoves/>
  <w:defaultTabStop w:val="720"/>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4"/>
        <w:szCs w:val="24"/>
        <w:lang w:val="en-GB" w:eastAsia="en-US"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A2093"/>
    <w:pPr>
      <w:spacing w:before="120" w:after="0" w:line="259" w:lineRule="auto"/>
    </w:pPr>
    <w:rPr>
      <w:rFonts w:ascii="Calibri" w:hAnsi="Calibri"/>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B58BF"/>
    <w:pPr>
      <w:ind w:left="720"/>
      <w:contextualSpacing/>
    </w:pPr>
  </w:style>
  <w:style w:type="paragraph" w:styleId="FootnoteText">
    <w:name w:val="footnote text"/>
    <w:basedOn w:val="Normal"/>
    <w:link w:val="FootnoteTextChar"/>
    <w:uiPriority w:val="99"/>
    <w:semiHidden/>
    <w:unhideWhenUsed/>
    <w:rsid w:val="006D69B6"/>
    <w:pPr>
      <w:spacing w:before="0" w:line="240" w:lineRule="auto"/>
    </w:pPr>
    <w:rPr>
      <w:sz w:val="20"/>
      <w:szCs w:val="20"/>
    </w:rPr>
  </w:style>
  <w:style w:type="character" w:customStyle="1" w:styleId="FootnoteTextChar">
    <w:name w:val="Footnote Text Char"/>
    <w:basedOn w:val="DefaultParagraphFont"/>
    <w:link w:val="FootnoteText"/>
    <w:uiPriority w:val="99"/>
    <w:semiHidden/>
    <w:rsid w:val="006D69B6"/>
    <w:rPr>
      <w:rFonts w:ascii="Calibri" w:hAnsi="Calibri"/>
      <w:sz w:val="20"/>
      <w:szCs w:val="20"/>
    </w:rPr>
  </w:style>
  <w:style w:type="character" w:styleId="FootnoteReference">
    <w:name w:val="footnote reference"/>
    <w:basedOn w:val="DefaultParagraphFont"/>
    <w:uiPriority w:val="99"/>
    <w:semiHidden/>
    <w:unhideWhenUsed/>
    <w:rsid w:val="006D69B6"/>
    <w:rPr>
      <w:vertAlign w:val="superscript"/>
    </w:rPr>
  </w:style>
  <w:style w:type="character" w:styleId="Hyperlink">
    <w:name w:val="Hyperlink"/>
    <w:basedOn w:val="DefaultParagraphFont"/>
    <w:uiPriority w:val="99"/>
    <w:unhideWhenUsed/>
    <w:rsid w:val="006D69B6"/>
    <w:rPr>
      <w:color w:val="0563C1" w:themeColor="hyperlink"/>
      <w:u w:val="single"/>
    </w:rPr>
  </w:style>
  <w:style w:type="character" w:customStyle="1" w:styleId="UnresolvedMention1">
    <w:name w:val="Unresolved Mention1"/>
    <w:basedOn w:val="DefaultParagraphFont"/>
    <w:uiPriority w:val="99"/>
    <w:semiHidden/>
    <w:unhideWhenUsed/>
    <w:rsid w:val="006D69B6"/>
    <w:rPr>
      <w:color w:val="605E5C"/>
      <w:shd w:val="clear" w:color="auto" w:fill="E1DFDD"/>
    </w:rPr>
  </w:style>
  <w:style w:type="paragraph" w:styleId="Header">
    <w:name w:val="header"/>
    <w:basedOn w:val="Normal"/>
    <w:link w:val="HeaderChar"/>
    <w:uiPriority w:val="99"/>
    <w:unhideWhenUsed/>
    <w:rsid w:val="00EB2E8D"/>
    <w:pPr>
      <w:tabs>
        <w:tab w:val="center" w:pos="4513"/>
        <w:tab w:val="right" w:pos="9026"/>
      </w:tabs>
      <w:spacing w:before="0" w:line="240" w:lineRule="auto"/>
    </w:pPr>
  </w:style>
  <w:style w:type="character" w:customStyle="1" w:styleId="HeaderChar">
    <w:name w:val="Header Char"/>
    <w:basedOn w:val="DefaultParagraphFont"/>
    <w:link w:val="Header"/>
    <w:uiPriority w:val="99"/>
    <w:rsid w:val="00EB2E8D"/>
    <w:rPr>
      <w:rFonts w:ascii="Calibri" w:hAnsi="Calibri"/>
      <w:sz w:val="22"/>
    </w:rPr>
  </w:style>
  <w:style w:type="paragraph" w:styleId="Footer">
    <w:name w:val="footer"/>
    <w:basedOn w:val="Normal"/>
    <w:link w:val="FooterChar"/>
    <w:uiPriority w:val="99"/>
    <w:unhideWhenUsed/>
    <w:rsid w:val="00EB2E8D"/>
    <w:pPr>
      <w:tabs>
        <w:tab w:val="center" w:pos="4513"/>
        <w:tab w:val="right" w:pos="9026"/>
      </w:tabs>
      <w:spacing w:before="0" w:line="240" w:lineRule="auto"/>
    </w:pPr>
  </w:style>
  <w:style w:type="character" w:customStyle="1" w:styleId="FooterChar">
    <w:name w:val="Footer Char"/>
    <w:basedOn w:val="DefaultParagraphFont"/>
    <w:link w:val="Footer"/>
    <w:uiPriority w:val="99"/>
    <w:rsid w:val="00EB2E8D"/>
    <w:rPr>
      <w:rFonts w:ascii="Calibri" w:hAnsi="Calibri"/>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footnotes" Target="footnot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footer" Target="footer1.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0C22F2-C900-4781-AA49-A2F705D0388A}">
  <ds:schemaRefs>
    <ds:schemaRef ds:uri="http://schemas.openxmlformats.org/officeDocument/2006/bibliography"/>
  </ds:schemaRefs>
</ds:datastoreItem>
</file>

<file path=docMetadata/LabelInfo.xml><?xml version="1.0" encoding="utf-8"?>
<clbl:labelList xmlns:clbl="http://schemas.microsoft.com/office/2020/mipLabelMetadata">
  <clbl:label id="{a8f77787-5df4-43b6-a2a8-8d8b678a318b}" enabled="1" method="Standard" siteId="{1ce6dd9e-b337-4088-be5e-8dbbec04b34a}" contentBits="0" removed="0"/>
</clbl:labelList>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Written evidence - CWR0085</dc:title>
  <cp:revision>0</cp:revision>
</cp:coreProperties>
</file>