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E1CB5" w:rsidRPr="00BD056F" w:rsidP="00BD056F">
      <w:pPr>
        <w:jc w:val="center"/>
        <w:rPr>
          <w:rFonts w:ascii="Calibri" w:hAnsi="Calibri" w:cs="Calibri"/>
          <w:b/>
          <w:bCs/>
          <w:color w:val="000000" w:themeColor="text1"/>
          <w:lang w:val="en-GB"/>
        </w:rPr>
      </w:pPr>
      <w:r w:rsidRPr="00BD056F">
        <w:rPr>
          <w:rFonts w:ascii="Calibri" w:hAnsi="Calibri" w:cs="Calibri"/>
          <w:b/>
          <w:bCs/>
          <w:color w:val="000000" w:themeColor="text1"/>
          <w:lang w:val="en-GB"/>
        </w:rPr>
        <w:t>WRITTEN EVIDENCE SUBMITTED BY STOPWATCH</w:t>
      </w:r>
    </w:p>
    <w:p w:rsidR="00BD056F" w:rsidRPr="00BD056F" w:rsidP="00BD056F">
      <w:pPr>
        <w:jc w:val="center"/>
        <w:rPr>
          <w:rFonts w:ascii="Calibri" w:hAnsi="Calibri" w:cs="Calibri"/>
          <w:b/>
          <w:bCs/>
          <w:color w:val="000000" w:themeColor="text1"/>
          <w:lang w:val="en-GB"/>
        </w:rPr>
      </w:pPr>
    </w:p>
    <w:p w:rsidR="00BD056F" w:rsidRPr="00BD056F" w:rsidP="00BD056F">
      <w:pPr>
        <w:jc w:val="center"/>
        <w:rPr>
          <w:rFonts w:ascii="Calibri" w:hAnsi="Calibri" w:cs="Calibri"/>
          <w:b/>
          <w:bCs/>
          <w:color w:val="000000" w:themeColor="text1"/>
          <w:lang w:val="en-GB"/>
        </w:rPr>
      </w:pPr>
      <w:r w:rsidRPr="00BD056F">
        <w:rPr>
          <w:rFonts w:ascii="Calibri" w:hAnsi="Calibri" w:cs="Calibri"/>
          <w:b/>
          <w:bCs/>
          <w:color w:val="000000" w:themeColor="text1"/>
          <w:lang w:val="en-GB"/>
        </w:rPr>
        <w:t>(SSP0016)</w:t>
      </w:r>
    </w:p>
    <w:p w:rsidR="00AE1CB5" w:rsidRPr="00BD056F" w:rsidP="00AD2942">
      <w:pPr>
        <w:jc w:val="both"/>
        <w:rPr>
          <w:rFonts w:ascii="Segoe UI" w:hAnsi="Segoe UI" w:cs="Segoe UI"/>
          <w:color w:val="000000" w:themeColor="text1"/>
          <w:lang w:val="en-GB"/>
        </w:rPr>
      </w:pPr>
    </w:p>
    <w:p w:rsidR="00AE1CB5" w:rsidRPr="00BD056F" w:rsidP="00A52A03">
      <w:pPr>
        <w:jc w:val="both"/>
        <w:rPr>
          <w:rFonts w:ascii="Segoe UI" w:hAnsi="Segoe UI" w:cs="Segoe UI"/>
          <w:color w:val="000000" w:themeColor="text1"/>
          <w:lang w:val="en-GB"/>
        </w:rPr>
      </w:pPr>
      <w:r w:rsidRPr="00BD056F">
        <w:rPr>
          <w:rFonts w:ascii="Segoe UI" w:hAnsi="Segoe UI" w:cs="Segoe UI"/>
          <w:color w:val="000000" w:themeColor="text1"/>
          <w:lang w:val="en-GB"/>
        </w:rPr>
        <w:t>StopWatch</w:t>
      </w:r>
      <w:r w:rsidRPr="00BD056F">
        <w:rPr>
          <w:rFonts w:ascii="Segoe UI" w:hAnsi="Segoe UI" w:cs="Segoe UI"/>
          <w:color w:val="000000" w:themeColor="text1"/>
          <w:lang w:val="en-GB"/>
        </w:rPr>
        <w:t xml:space="preserve"> formed in 2010 as a coalition of academics, activists, marginalised youth, and legal experts seeking to challenge police use of stop and search powers by drawing attention to the realities for those on the receiving end of them.</w:t>
      </w:r>
    </w:p>
    <w:p w:rsidR="00AE1CB5" w:rsidRPr="00BD056F" w:rsidP="00CB42FA">
      <w:pPr>
        <w:pStyle w:val="Body"/>
        <w:ind w:firstLine="0"/>
        <w:rPr>
          <w:rFonts w:ascii="Segoe UI" w:hAnsi="Segoe UI" w:cs="Segoe UI"/>
          <w:color w:val="000000" w:themeColor="text1"/>
          <w:sz w:val="24"/>
          <w:szCs w:val="24"/>
          <w:lang w:val="en-GB"/>
        </w:rPr>
      </w:pPr>
    </w:p>
    <w:p w:rsidR="00AE1CB5" w:rsidRPr="00BD056F" w:rsidP="00BA5C6C">
      <w:pPr>
        <w:pStyle w:val="Body"/>
        <w:ind w:firstLine="0"/>
        <w:rPr>
          <w:rFonts w:ascii="Public Sans" w:hAnsi="Public Sans" w:cs="Segoe UI"/>
          <w:b/>
          <w:bCs/>
          <w:color w:val="000000" w:themeColor="text1"/>
          <w:sz w:val="28"/>
          <w:szCs w:val="28"/>
          <w:lang w:val="en-GB"/>
        </w:rPr>
      </w:pPr>
      <w:r w:rsidRPr="00BD056F">
        <w:rPr>
          <w:rFonts w:ascii="Public Sans" w:hAnsi="Public Sans" w:cs="Segoe UI"/>
          <w:b/>
          <w:bCs/>
          <w:color w:val="000000" w:themeColor="text1"/>
          <w:sz w:val="28"/>
          <w:szCs w:val="28"/>
          <w:lang w:val="en-GB"/>
        </w:rPr>
        <w:t>Summary</w:t>
      </w:r>
    </w:p>
    <w:p w:rsidR="00AE1CB5" w:rsidRPr="00BD056F" w:rsidP="0040793C">
      <w:pPr>
        <w:jc w:val="both"/>
        <w:rPr>
          <w:rFonts w:ascii="Segoe UI" w:hAnsi="Segoe UI" w:cs="Segoe UI"/>
          <w:color w:val="000000" w:themeColor="text1"/>
          <w:lang w:val="en-GB"/>
        </w:rPr>
      </w:pPr>
      <w:r w:rsidRPr="00BD056F">
        <w:rPr>
          <w:rFonts w:ascii="Segoe UI" w:hAnsi="Segoe UI" w:cs="Segoe UI"/>
          <w:color w:val="000000" w:themeColor="text1"/>
          <w:lang w:val="en-GB"/>
        </w:rPr>
        <w:t>The proliferation of overlapping police protest powers</w:t>
      </w:r>
      <w:r w:rsidRPr="00BD056F">
        <w:rPr>
          <w:rFonts w:ascii="Segoe UI" w:hAnsi="Segoe UI" w:cs="Segoe UI"/>
          <w:color w:val="000000" w:themeColor="text1"/>
          <w:lang w:val="en-GB"/>
        </w:rPr>
        <w:t xml:space="preserve"> in conjunction with data-driven technologies such as live facial recognition and the extension of stop and search powers</w:t>
      </w:r>
      <w:r w:rsidRPr="00BD056F">
        <w:rPr>
          <w:rFonts w:ascii="Segoe UI" w:hAnsi="Segoe UI" w:cs="Segoe UI"/>
          <w:color w:val="000000" w:themeColor="text1"/>
          <w:lang w:val="en-GB"/>
        </w:rPr>
        <w:t xml:space="preserve"> has normalised restrictive measures on protests which undermine Articles 10 and 11 under the pretext of framing protest as a security threat. In so doing, this legislation has entrenched repressive policing tactics and surveillance, both of which have chilling effects which contravene freedom of assembly and expression</w:t>
      </w:r>
      <w:r w:rsidRPr="00BD056F">
        <w:rPr>
          <w:rFonts w:ascii="Segoe UI" w:hAnsi="Segoe UI" w:cs="Segoe UI"/>
          <w:color w:val="000000" w:themeColor="text1"/>
          <w:lang w:val="en-GB"/>
        </w:rPr>
        <w:t xml:space="preserve"> and undermine the presumption of innocence</w:t>
      </w:r>
      <w:r w:rsidRPr="00BD056F">
        <w:rPr>
          <w:rFonts w:ascii="Segoe UI" w:hAnsi="Segoe UI" w:cs="Segoe UI"/>
          <w:color w:val="000000" w:themeColor="text1"/>
          <w:lang w:val="en-GB"/>
        </w:rPr>
        <w:t>.</w:t>
      </w:r>
    </w:p>
    <w:p w:rsidR="00AE1CB5" w:rsidRPr="00BD056F" w:rsidP="0040793C">
      <w:pPr>
        <w:rPr>
          <w:color w:val="000000" w:themeColor="text1"/>
          <w:lang w:val="en-GB"/>
        </w:rPr>
      </w:pPr>
    </w:p>
    <w:p w:rsidR="00AE1CB5" w:rsidRPr="00BD056F" w:rsidP="00BA5C6C">
      <w:pPr>
        <w:pStyle w:val="Body"/>
        <w:ind w:firstLine="0"/>
        <w:rPr>
          <w:rFonts w:ascii="Public Sans" w:hAnsi="Public Sans" w:cs="Segoe UI"/>
          <w:b/>
          <w:bCs/>
          <w:color w:val="000000" w:themeColor="text1"/>
          <w:sz w:val="28"/>
          <w:szCs w:val="28"/>
          <w:lang w:val="en-GB"/>
        </w:rPr>
      </w:pPr>
      <w:r w:rsidRPr="00BD056F">
        <w:rPr>
          <w:rFonts w:ascii="Public Sans" w:hAnsi="Public Sans" w:cs="Segoe UI"/>
          <w:b/>
          <w:bCs/>
          <w:color w:val="000000" w:themeColor="text1"/>
          <w:sz w:val="28"/>
          <w:szCs w:val="28"/>
          <w:lang w:val="en-GB"/>
        </w:rPr>
        <w:t>Response</w:t>
      </w:r>
    </w:p>
    <w:p w:rsidR="00AE1CB5" w:rsidRPr="00BD056F" w:rsidP="001514D0">
      <w:pPr>
        <w:rPr>
          <w:color w:val="000000" w:themeColor="text1"/>
          <w:lang w:val="en-GB"/>
        </w:rPr>
      </w:pPr>
    </w:p>
    <w:p w:rsidR="00AE1CB5" w:rsidRPr="00BD056F" w:rsidP="00666091">
      <w:pPr>
        <w:pStyle w:val="Heading2"/>
        <w:rPr>
          <w:color w:val="000000" w:themeColor="text1"/>
          <w:sz w:val="22"/>
          <w:szCs w:val="22"/>
        </w:rPr>
      </w:pPr>
      <w:r w:rsidRPr="00BD056F">
        <w:rPr>
          <w:color w:val="000000" w:themeColor="text1"/>
          <w:sz w:val="22"/>
          <w:szCs w:val="22"/>
        </w:rPr>
        <w:t>1) Recent legislation such as the Police, Crime, Sentencing and Courts Act 2022 and the Public Order Act 2023 have strengthened police powers to restrict protests and expanded the criminalisation of protest related activities. What has been the impact of recent legislation on the right to protest?</w:t>
      </w:r>
    </w:p>
    <w:p w:rsidR="00AE1CB5" w:rsidRPr="00BD056F" w:rsidP="00A07269">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 xml:space="preserve">The </w:t>
      </w:r>
      <w:r w:rsidRPr="00BD056F">
        <w:rPr>
          <w:rFonts w:ascii="Segoe UI" w:hAnsi="Segoe UI" w:cs="Segoe UI"/>
          <w:color w:val="000000" w:themeColor="text1"/>
          <w:lang w:val="en-GB"/>
        </w:rPr>
        <w:t xml:space="preserve">Police, Crime, Sentencing and Courts Act 2022 and the Public Order Act 2023 </w:t>
      </w:r>
      <w:r w:rsidRPr="00BD056F">
        <w:rPr>
          <w:rFonts w:ascii="Segoe UI" w:hAnsi="Segoe UI" w:cs="Segoe UI"/>
          <w:color w:val="000000" w:themeColor="text1"/>
          <w:lang w:val="en-GB"/>
        </w:rPr>
        <w:t xml:space="preserve">impose restrictions on civil liberties generally and the right to </w:t>
      </w:r>
      <w:r w:rsidRPr="00BD056F">
        <w:rPr>
          <w:rFonts w:ascii="Segoe UI" w:hAnsi="Segoe UI" w:cs="Segoe UI"/>
          <w:color w:val="000000" w:themeColor="text1"/>
          <w:lang w:val="en-GB"/>
        </w:rPr>
        <w:t>protest in particular</w:t>
      </w:r>
      <w:r w:rsidRPr="00BD056F">
        <w:rPr>
          <w:rFonts w:ascii="Segoe UI" w:hAnsi="Segoe UI" w:cs="Segoe UI"/>
          <w:color w:val="000000" w:themeColor="text1"/>
          <w:lang w:val="en-GB"/>
        </w:rPr>
        <w:t xml:space="preserve">. </w:t>
      </w:r>
      <w:r w:rsidRPr="00BD056F">
        <w:rPr>
          <w:rFonts w:ascii="Segoe UI" w:hAnsi="Segoe UI" w:cs="Segoe UI"/>
          <w:color w:val="000000" w:themeColor="text1"/>
          <w:lang w:val="en-GB"/>
        </w:rPr>
        <w:t xml:space="preserve">A report by the joint committee on human rights </w:t>
      </w:r>
      <w:r w:rsidRPr="00BD056F">
        <w:rPr>
          <w:rFonts w:ascii="Segoe UI" w:hAnsi="Segoe UI" w:cs="Segoe UI"/>
          <w:color w:val="000000" w:themeColor="text1"/>
          <w:lang w:val="en-GB"/>
        </w:rPr>
        <w:t>made the following observation</w:t>
      </w:r>
      <w:r w:rsidRPr="00BD056F">
        <w:rPr>
          <w:rFonts w:ascii="Segoe UI" w:hAnsi="Segoe UI" w:cs="Segoe UI"/>
          <w:color w:val="000000" w:themeColor="text1"/>
          <w:lang w:val="en-GB"/>
        </w:rPr>
        <w:t xml:space="preserve"> on </w:t>
      </w:r>
      <w:r w:rsidRPr="00BD056F">
        <w:rPr>
          <w:rFonts w:ascii="Segoe UI" w:hAnsi="Segoe UI" w:cs="Segoe UI"/>
          <w:color w:val="000000" w:themeColor="text1"/>
          <w:lang w:val="en-GB"/>
        </w:rPr>
        <w:t>the Public Order Bill prior to it becoming an Act</w:t>
      </w:r>
      <w:r w:rsidRPr="00BD056F">
        <w:rPr>
          <w:rFonts w:ascii="Segoe UI" w:hAnsi="Segoe UI" w:cs="Segoe UI"/>
          <w:color w:val="000000" w:themeColor="text1"/>
          <w:lang w:val="en-GB"/>
        </w:rPr>
        <w:t>:</w:t>
      </w:r>
    </w:p>
    <w:p w:rsidR="00AE1CB5" w:rsidRPr="00BD056F" w:rsidP="003C07D2">
      <w:pPr>
        <w:pStyle w:val="Body"/>
        <w:ind w:left="720" w:firstLine="0"/>
        <w:rPr>
          <w:rFonts w:ascii="Segoe UI" w:hAnsi="Segoe UI" w:cs="Segoe UI"/>
          <w:color w:val="000000" w:themeColor="text1"/>
          <w:lang w:val="en-GB"/>
        </w:rPr>
      </w:pPr>
    </w:p>
    <w:p w:rsidR="00AE1CB5" w:rsidRPr="00BD056F" w:rsidP="00A52A03">
      <w:pPr>
        <w:pStyle w:val="Body"/>
        <w:ind w:left="720" w:firstLine="0"/>
        <w:rPr>
          <w:rFonts w:ascii="Segoe UI" w:hAnsi="Segoe UI" w:cs="Segoe UI"/>
          <w:color w:val="000000" w:themeColor="text1"/>
          <w:lang w:val="en-GB"/>
        </w:rPr>
      </w:pPr>
      <w:r w:rsidRPr="00BD056F">
        <w:rPr>
          <w:rFonts w:ascii="Segoe UI" w:hAnsi="Segoe UI" w:cs="Segoe UI"/>
          <w:color w:val="000000" w:themeColor="text1"/>
          <w:lang w:val="en-GB"/>
        </w:rPr>
        <w:t>‘</w:t>
      </w:r>
      <w:r w:rsidRPr="00BD056F">
        <w:rPr>
          <w:rFonts w:ascii="Segoe UI" w:hAnsi="Segoe UI" w:cs="Segoe UI"/>
          <w:color w:val="000000" w:themeColor="text1"/>
          <w:lang w:val="en-GB"/>
        </w:rPr>
        <w:t>While the stated intention behind the Bill is to strengthen police powers to tackle dangerous and highly disruptive protest tactics, its measures go beyond this, to the extent that we believe they pose an unacceptable threat to the fundamental right to engage in peaceful protest.’</w:t>
      </w:r>
    </w:p>
    <w:p w:rsidR="00AE1CB5" w:rsidRPr="00BD056F" w:rsidP="005F4B8B">
      <w:pPr>
        <w:pStyle w:val="Body"/>
        <w:ind w:firstLine="0"/>
        <w:rPr>
          <w:rFonts w:ascii="Segoe UI" w:hAnsi="Segoe UI" w:cs="Segoe UI"/>
          <w:color w:val="000000" w:themeColor="text1"/>
          <w:lang w:val="en-GB"/>
        </w:rPr>
      </w:pPr>
    </w:p>
    <w:p w:rsidR="00AE1CB5" w:rsidRPr="00BD056F" w:rsidP="00A52A03">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 xml:space="preserve">Recent legislation has introduced </w:t>
      </w:r>
      <w:r w:rsidRPr="00BD056F">
        <w:rPr>
          <w:rFonts w:ascii="Segoe UI" w:hAnsi="Segoe UI" w:cs="Segoe UI"/>
          <w:color w:val="000000" w:themeColor="text1"/>
          <w:lang w:val="en-GB"/>
        </w:rPr>
        <w:t xml:space="preserve">unnecessary </w:t>
      </w:r>
      <w:r w:rsidRPr="00BD056F">
        <w:rPr>
          <w:rFonts w:ascii="Segoe UI" w:hAnsi="Segoe UI" w:cs="Segoe UI"/>
          <w:color w:val="000000" w:themeColor="text1"/>
          <w:lang w:val="en-GB"/>
        </w:rPr>
        <w:t>sweeping and overreaching powers which duplicate and extend the police’s existing strong powers</w:t>
      </w:r>
      <w:r w:rsidRPr="00BD056F">
        <w:rPr>
          <w:rFonts w:ascii="Segoe UI" w:hAnsi="Segoe UI" w:cs="Segoe UI"/>
          <w:color w:val="000000" w:themeColor="text1"/>
          <w:lang w:val="en-GB"/>
        </w:rPr>
        <w:t xml:space="preserve">, </w:t>
      </w:r>
      <w:r w:rsidRPr="00BD056F">
        <w:rPr>
          <w:rFonts w:ascii="Segoe UI" w:hAnsi="Segoe UI" w:cs="Segoe UI"/>
          <w:color w:val="000000" w:themeColor="text1"/>
          <w:lang w:val="en-GB"/>
        </w:rPr>
        <w:t>exceeding</w:t>
      </w:r>
      <w:r w:rsidRPr="00BD056F">
        <w:rPr>
          <w:rFonts w:ascii="Segoe UI" w:hAnsi="Segoe UI" w:cs="Segoe UI"/>
          <w:color w:val="000000" w:themeColor="text1"/>
          <w:lang w:val="en-GB"/>
        </w:rPr>
        <w:t xml:space="preserve"> far beyond what is necessary to uphold public safety.</w:t>
      </w:r>
      <w:r w:rsidRPr="00BD056F">
        <w:rPr>
          <w:rFonts w:ascii="Segoe UI" w:hAnsi="Segoe UI" w:cs="Segoe UI"/>
          <w:color w:val="000000" w:themeColor="text1"/>
          <w:lang w:val="en-GB"/>
        </w:rPr>
        <w:t xml:space="preserve"> The Home Office data release shows that </w:t>
      </w:r>
      <w:r w:rsidRPr="00BD056F">
        <w:rPr>
          <w:rFonts w:ascii="Segoe UI" w:hAnsi="Segoe UI" w:cs="Segoe UI"/>
          <w:color w:val="000000" w:themeColor="text1"/>
          <w:lang w:val="en-GB"/>
        </w:rPr>
        <w:t xml:space="preserve">in the year ending March 2025, the extension of police powers correlated with a 230% increase in the use of powers to restrict assemblies under </w:t>
      </w:r>
      <w:r w:rsidRPr="00BD056F">
        <w:rPr>
          <w:rFonts w:ascii="Segoe UI" w:hAnsi="Segoe UI" w:cs="Segoe UI"/>
          <w:color w:val="000000" w:themeColor="text1"/>
          <w:lang w:val="en-GB"/>
        </w:rPr>
        <w:t>s</w:t>
      </w:r>
      <w:r w:rsidRPr="00BD056F">
        <w:rPr>
          <w:rFonts w:ascii="Segoe UI" w:hAnsi="Segoe UI" w:cs="Segoe UI"/>
          <w:color w:val="000000" w:themeColor="text1"/>
          <w:lang w:val="en-GB"/>
        </w:rPr>
        <w:t>ection 14.</w:t>
      </w:r>
      <w:r>
        <w:rPr>
          <w:rStyle w:val="EndnoteReference"/>
          <w:rFonts w:ascii="Segoe UI" w:hAnsi="Segoe UI" w:cs="Segoe UI"/>
          <w:color w:val="000000" w:themeColor="text1"/>
          <w:lang w:val="en-GB"/>
        </w:rPr>
        <w:endnoteReference w:id="2"/>
      </w:r>
      <w:r w:rsidRPr="00BD056F">
        <w:rPr>
          <w:rFonts w:ascii="Segoe UI" w:hAnsi="Segoe UI" w:cs="Segoe UI"/>
          <w:color w:val="000000" w:themeColor="text1"/>
          <w:lang w:val="en-GB"/>
        </w:rPr>
        <w:t xml:space="preserve"> </w:t>
      </w:r>
      <w:r w:rsidRPr="00BD056F">
        <w:rPr>
          <w:rFonts w:ascii="Segoe UI" w:hAnsi="Segoe UI" w:cs="Segoe UI"/>
          <w:color w:val="000000" w:themeColor="text1"/>
          <w:lang w:val="en-GB"/>
        </w:rPr>
        <w:t xml:space="preserve">The Metropolitan Police Service is responsible for exercising 73.5% of powers under </w:t>
      </w:r>
      <w:r w:rsidRPr="00BD056F">
        <w:rPr>
          <w:rFonts w:ascii="Segoe UI" w:hAnsi="Segoe UI" w:cs="Segoe UI"/>
          <w:color w:val="000000" w:themeColor="text1"/>
          <w:lang w:val="en-GB"/>
        </w:rPr>
        <w:t>s</w:t>
      </w:r>
      <w:r w:rsidRPr="00BD056F">
        <w:rPr>
          <w:rFonts w:ascii="Segoe UI" w:hAnsi="Segoe UI" w:cs="Segoe UI"/>
          <w:color w:val="000000" w:themeColor="text1"/>
          <w:lang w:val="en-GB"/>
        </w:rPr>
        <w:t>ection 12 and 14 and 92% of protest-related arrests</w:t>
      </w:r>
      <w:r w:rsidRPr="00BD056F">
        <w:rPr>
          <w:rFonts w:ascii="Segoe UI" w:hAnsi="Segoe UI" w:cs="Segoe UI"/>
          <w:color w:val="000000" w:themeColor="text1"/>
          <w:lang w:val="en-GB"/>
        </w:rPr>
        <w:t xml:space="preserve">, yet the force reported that </w:t>
      </w:r>
      <w:r w:rsidRPr="00BD056F">
        <w:rPr>
          <w:rFonts w:ascii="Segoe UI" w:hAnsi="Segoe UI" w:cs="Segoe UI"/>
          <w:color w:val="000000" w:themeColor="text1"/>
          <w:lang w:val="en-GB"/>
        </w:rPr>
        <w:t xml:space="preserve">in a third of </w:t>
      </w:r>
      <w:r w:rsidRPr="00BD056F">
        <w:rPr>
          <w:rFonts w:ascii="Segoe UI" w:hAnsi="Segoe UI" w:cs="Segoe UI"/>
          <w:color w:val="000000" w:themeColor="text1"/>
          <w:lang w:val="en-GB"/>
        </w:rPr>
        <w:t>s</w:t>
      </w:r>
      <w:r w:rsidRPr="00BD056F">
        <w:rPr>
          <w:rFonts w:ascii="Segoe UI" w:hAnsi="Segoe UI" w:cs="Segoe UI"/>
          <w:color w:val="000000" w:themeColor="text1"/>
          <w:lang w:val="en-GB"/>
        </w:rPr>
        <w:t xml:space="preserve">ection 14 uses, </w:t>
      </w:r>
      <w:r w:rsidRPr="00BD056F">
        <w:rPr>
          <w:rFonts w:ascii="Segoe UI" w:hAnsi="Segoe UI" w:cs="Segoe UI"/>
          <w:color w:val="000000" w:themeColor="text1"/>
          <w:lang w:val="en-GB"/>
        </w:rPr>
        <w:t xml:space="preserve">there was no ‘trigger’ </w:t>
      </w:r>
      <w:r w:rsidRPr="00BD056F">
        <w:rPr>
          <w:rFonts w:ascii="Segoe UI" w:hAnsi="Segoe UI" w:cs="Segoe UI"/>
          <w:color w:val="000000" w:themeColor="text1"/>
          <w:lang w:val="en-GB"/>
        </w:rPr>
        <w:t>for its decision to impose restrictions.</w:t>
      </w:r>
    </w:p>
    <w:p w:rsidR="00AE1CB5" w:rsidRPr="00BD056F" w:rsidP="005F4B8B">
      <w:pPr>
        <w:pStyle w:val="Body"/>
        <w:ind w:firstLine="0"/>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 xml:space="preserve">The data </w:t>
      </w:r>
      <w:r w:rsidRPr="00BD056F">
        <w:rPr>
          <w:rFonts w:ascii="Segoe UI" w:hAnsi="Segoe UI" w:cs="Segoe UI"/>
          <w:color w:val="000000" w:themeColor="text1"/>
          <w:lang w:val="en-GB"/>
        </w:rPr>
        <w:t xml:space="preserve">reveals that </w:t>
      </w:r>
      <w:r w:rsidRPr="00BD056F">
        <w:rPr>
          <w:rFonts w:ascii="Segoe UI" w:hAnsi="Segoe UI" w:cs="Segoe UI"/>
          <w:color w:val="000000" w:themeColor="text1"/>
          <w:lang w:val="en-GB"/>
        </w:rPr>
        <w:t xml:space="preserve">the police impose restrictions pre-emptively on </w:t>
      </w:r>
      <w:r w:rsidRPr="00BD056F">
        <w:rPr>
          <w:rFonts w:ascii="Segoe UI" w:hAnsi="Segoe UI" w:cs="Segoe UI"/>
          <w:color w:val="000000" w:themeColor="text1"/>
          <w:lang w:val="en-GB"/>
        </w:rPr>
        <w:t xml:space="preserve">approximately two thirds </w:t>
      </w:r>
      <w:r w:rsidRPr="00BD056F">
        <w:rPr>
          <w:rFonts w:ascii="Segoe UI" w:hAnsi="Segoe UI" w:cs="Segoe UI"/>
          <w:color w:val="000000" w:themeColor="text1"/>
          <w:lang w:val="en-GB"/>
        </w:rPr>
        <w:t>of protest</w:t>
      </w:r>
      <w:r w:rsidRPr="00BD056F">
        <w:rPr>
          <w:rFonts w:ascii="Segoe UI" w:hAnsi="Segoe UI" w:cs="Segoe UI"/>
          <w:color w:val="000000" w:themeColor="text1"/>
          <w:lang w:val="en-GB"/>
        </w:rPr>
        <w:t>s, most of which impact London-based protests.</w:t>
      </w:r>
      <w:r>
        <w:rPr>
          <w:rStyle w:val="EndnoteReference"/>
          <w:rFonts w:ascii="Segoe UI" w:hAnsi="Segoe UI" w:cs="Segoe UI"/>
          <w:color w:val="000000" w:themeColor="text1"/>
          <w:lang w:val="en-GB"/>
        </w:rPr>
        <w:endnoteReference w:id="3"/>
      </w:r>
      <w:r w:rsidRPr="00BD056F">
        <w:rPr>
          <w:rFonts w:ascii="Segoe UI" w:hAnsi="Segoe UI" w:cs="Segoe UI"/>
          <w:color w:val="000000" w:themeColor="text1"/>
          <w:lang w:val="en-GB"/>
        </w:rPr>
        <w:t xml:space="preserve"> </w:t>
      </w:r>
      <w:r w:rsidRPr="00BD056F">
        <w:rPr>
          <w:rFonts w:ascii="Segoe UI" w:hAnsi="Segoe UI" w:cs="Segoe UI"/>
          <w:color w:val="000000" w:themeColor="text1"/>
          <w:lang w:val="en-GB"/>
        </w:rPr>
        <w:t>Whereas</w:t>
      </w:r>
      <w:r w:rsidRPr="00BD056F">
        <w:rPr>
          <w:rFonts w:ascii="Segoe UI" w:hAnsi="Segoe UI" w:cs="Segoe UI"/>
          <w:color w:val="000000" w:themeColor="text1"/>
          <w:lang w:val="en-GB"/>
        </w:rPr>
        <w:t>,</w:t>
      </w:r>
      <w:r w:rsidRPr="00BD056F">
        <w:rPr>
          <w:rFonts w:ascii="Segoe UI" w:hAnsi="Segoe UI" w:cs="Segoe UI"/>
          <w:color w:val="000000" w:themeColor="text1"/>
          <w:lang w:val="en-GB"/>
        </w:rPr>
        <w:t xml:space="preserve"> protests outside of London </w:t>
      </w:r>
      <w:r w:rsidRPr="00BD056F">
        <w:rPr>
          <w:rFonts w:ascii="Segoe UI" w:hAnsi="Segoe UI" w:cs="Segoe UI"/>
          <w:color w:val="000000" w:themeColor="text1"/>
          <w:lang w:val="en-GB"/>
        </w:rPr>
        <w:t xml:space="preserve">tend to have restrictions imposed during events. This </w:t>
      </w:r>
      <w:r w:rsidRPr="00BD056F">
        <w:rPr>
          <w:rFonts w:ascii="Segoe UI" w:hAnsi="Segoe UI" w:cs="Segoe UI"/>
          <w:color w:val="000000" w:themeColor="text1"/>
          <w:lang w:val="en-GB"/>
        </w:rPr>
        <w:t>discrepancy</w:t>
      </w:r>
      <w:r w:rsidRPr="00BD056F">
        <w:rPr>
          <w:rFonts w:ascii="Segoe UI" w:hAnsi="Segoe UI" w:cs="Segoe UI"/>
          <w:color w:val="000000" w:themeColor="text1"/>
          <w:lang w:val="en-GB"/>
        </w:rPr>
        <w:t xml:space="preserve"> suggests that the Metropolitan Police tend to view protests as potential risks to be controlled, rather than as fundamental rights warranting strong protection, while other police forces adopt a more reactive approach to policing spontaneous or contentious demonstrations.</w:t>
      </w:r>
      <w:r w:rsidRPr="00BD056F">
        <w:rPr>
          <w:rFonts w:ascii="Segoe UI" w:hAnsi="Segoe UI" w:cs="Segoe UI"/>
          <w:color w:val="000000" w:themeColor="text1"/>
          <w:lang w:val="en-GB"/>
        </w:rPr>
        <w:t xml:space="preserve"> The variability in </w:t>
      </w:r>
      <w:r w:rsidRPr="00BD056F">
        <w:rPr>
          <w:rFonts w:ascii="Segoe UI" w:hAnsi="Segoe UI" w:cs="Segoe UI"/>
          <w:color w:val="000000" w:themeColor="text1"/>
          <w:lang w:val="en-GB"/>
        </w:rPr>
        <w:t xml:space="preserve">police forces’ use of the powers </w:t>
      </w:r>
      <w:r w:rsidRPr="00BD056F">
        <w:rPr>
          <w:rFonts w:ascii="Segoe UI" w:hAnsi="Segoe UI" w:cs="Segoe UI"/>
          <w:color w:val="000000" w:themeColor="text1"/>
          <w:lang w:val="en-GB"/>
        </w:rPr>
        <w:t xml:space="preserve">demonstrates that </w:t>
      </w:r>
      <w:r w:rsidRPr="00BD056F">
        <w:rPr>
          <w:rFonts w:ascii="Segoe UI" w:hAnsi="Segoe UI" w:cs="Segoe UI"/>
          <w:color w:val="000000" w:themeColor="text1"/>
          <w:lang w:val="en-GB"/>
        </w:rPr>
        <w:t xml:space="preserve">recent legislation offers a high degree of discretion to individual forces, </w:t>
      </w:r>
      <w:r w:rsidRPr="00BD056F">
        <w:rPr>
          <w:rFonts w:ascii="Segoe UI" w:hAnsi="Segoe UI" w:cs="Segoe UI"/>
          <w:color w:val="000000" w:themeColor="text1"/>
          <w:lang w:val="en-GB"/>
        </w:rPr>
        <w:t>heightening</w:t>
      </w:r>
      <w:r w:rsidRPr="00BD056F">
        <w:rPr>
          <w:rFonts w:ascii="Segoe UI" w:hAnsi="Segoe UI" w:cs="Segoe UI"/>
          <w:color w:val="000000" w:themeColor="text1"/>
          <w:lang w:val="en-GB"/>
        </w:rPr>
        <w:t xml:space="preserve"> the risk of mis</w:t>
      </w:r>
      <w:r w:rsidRPr="00BD056F">
        <w:rPr>
          <w:rFonts w:ascii="Segoe UI" w:hAnsi="Segoe UI" w:cs="Segoe UI"/>
          <w:color w:val="000000" w:themeColor="text1"/>
          <w:lang w:val="en-GB"/>
        </w:rPr>
        <w:t>use of these powers</w:t>
      </w:r>
      <w:r w:rsidRPr="00BD056F">
        <w:rPr>
          <w:rFonts w:ascii="Segoe UI" w:hAnsi="Segoe UI" w:cs="Segoe UI"/>
          <w:color w:val="000000" w:themeColor="text1"/>
          <w:lang w:val="en-GB"/>
        </w:rPr>
        <w:t xml:space="preserve"> and undermining the right to protest.</w:t>
      </w:r>
    </w:p>
    <w:p w:rsidR="00AE1CB5" w:rsidRPr="00BD056F" w:rsidP="001719E5">
      <w:pPr>
        <w:pStyle w:val="Body"/>
        <w:ind w:firstLine="0"/>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Section 10 of the Act expands existing suspicion-based stop and search powers. If a police officer believes that a person is carrying items which would enable them to commit certain offences defined by the Public Order Act, they can stop and search that person.</w:t>
      </w:r>
    </w:p>
    <w:p w:rsidR="00AE1CB5" w:rsidRPr="00BD056F" w:rsidP="001719E5">
      <w:pPr>
        <w:pStyle w:val="Body"/>
        <w:ind w:firstLine="0"/>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It is not entirely clear what sort of items police officers might look for. The Act defines prohibited items as those ‘for use in the course of or in connection with an offence’ - so presumably things like tripods, padlocks, and super glue (for lock-</w:t>
      </w:r>
      <w:r w:rsidRPr="00BD056F">
        <w:rPr>
          <w:rFonts w:ascii="Segoe UI" w:hAnsi="Segoe UI" w:cs="Segoe UI"/>
          <w:color w:val="000000" w:themeColor="text1"/>
          <w:lang w:val="en-GB"/>
        </w:rPr>
        <w:t>ons</w:t>
      </w:r>
      <w:r w:rsidRPr="00BD056F">
        <w:rPr>
          <w:rFonts w:ascii="Segoe UI" w:hAnsi="Segoe UI" w:cs="Segoe UI"/>
          <w:color w:val="000000" w:themeColor="text1"/>
          <w:lang w:val="en-GB"/>
        </w:rPr>
        <w:t xml:space="preserve"> and obstruction), or pickaxes and shovels (for digging). Since ‘causing public nuisance’ is one of the offences, objects like megaphones, speakers, or even placards could also be included.</w:t>
      </w:r>
    </w:p>
    <w:p w:rsidR="00AE1CB5" w:rsidRPr="00BD056F" w:rsidP="0001663F">
      <w:pPr>
        <w:pStyle w:val="Body"/>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 xml:space="preserve">It should be noted that creating noise or disruption is not automatically classed as ‘causing public nuisance’. The particulars of this offence are made out if a person, by act or omission, creates a risk of, or causes ‘serious harm to the public or a section of the public, or obstructs the exercise or enjoyment of their rights. The acts that constitute ‘serious harm’ are exhaustive and </w:t>
      </w:r>
      <w:r w:rsidRPr="00BD056F">
        <w:rPr>
          <w:rFonts w:ascii="Segoe UI" w:hAnsi="Segoe UI" w:cs="Segoe UI"/>
          <w:color w:val="000000" w:themeColor="text1"/>
          <w:lang w:val="en-GB"/>
        </w:rPr>
        <w:t>encompass:</w:t>
      </w:r>
      <w:r w:rsidRPr="00BD056F">
        <w:rPr>
          <w:rFonts w:ascii="Segoe UI" w:hAnsi="Segoe UI" w:cs="Segoe UI"/>
          <w:color w:val="000000" w:themeColor="text1"/>
          <w:lang w:val="en-GB"/>
        </w:rPr>
        <w:t xml:space="preserve"> death, personal injury or disease; loss of, or damage to, property; and/or serious distress, annoyance, inconvenience or loss of amenity. To that end, carrying a loudspeaker at a protest may not necessarily constitute grounds for stop and search due to the threshold of severity required to make out a ‘public nuisance’ offence. Even so, research has shown that police rely less on laws and policies to make decisions than on their own discretion.</w:t>
      </w:r>
      <w:r>
        <w:rPr>
          <w:rStyle w:val="EndnoteReference"/>
          <w:rFonts w:ascii="Segoe UI" w:hAnsi="Segoe UI" w:cs="Segoe UI"/>
          <w:color w:val="000000" w:themeColor="text1"/>
          <w:lang w:val="en-GB"/>
        </w:rPr>
        <w:endnoteReference w:id="4"/>
      </w:r>
      <w:r w:rsidRPr="00BD056F">
        <w:rPr>
          <w:rFonts w:ascii="Segoe UI" w:hAnsi="Segoe UI" w:cs="Segoe UI"/>
          <w:color w:val="000000" w:themeColor="text1"/>
          <w:lang w:val="en-GB"/>
        </w:rPr>
        <w:t xml:space="preserve"> The broadly formulated provisions of the Act also make it difficult to predict the </w:t>
      </w:r>
      <w:r w:rsidRPr="00BD056F">
        <w:rPr>
          <w:rFonts w:ascii="Segoe UI" w:hAnsi="Segoe UI" w:cs="Segoe UI"/>
          <w:color w:val="000000" w:themeColor="text1"/>
          <w:lang w:val="en-GB"/>
        </w:rPr>
        <w:t>particular activities</w:t>
      </w:r>
      <w:r w:rsidRPr="00BD056F">
        <w:rPr>
          <w:rFonts w:ascii="Segoe UI" w:hAnsi="Segoe UI" w:cs="Segoe UI"/>
          <w:color w:val="000000" w:themeColor="text1"/>
          <w:lang w:val="en-GB"/>
        </w:rPr>
        <w:t xml:space="preserve"> that might be criminalised under the offence of ‘causing public nuisance’. In essence, the Public Order Act enables officers to conduct searches with the aim of finding any protest-related object, which they are then entitled to seize.</w:t>
      </w:r>
    </w:p>
    <w:p w:rsidR="00AE1CB5" w:rsidRPr="00BD056F" w:rsidP="001719E5">
      <w:pPr>
        <w:pStyle w:val="Body"/>
        <w:ind w:firstLine="0"/>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 xml:space="preserve">Section 11 introduces a new power to officers of or above the rank of inspector to conduct stop and searches without suspicion ‘anywhere within a specified locality… for a period not exceeding 24 hours' which can be extended for another 24 hours. In this respect, section 11 effectively amounts to a protest-related version of ‘section 60’ </w:t>
      </w:r>
      <w:r w:rsidRPr="00BD056F">
        <w:rPr>
          <w:rFonts w:ascii="Segoe UI" w:hAnsi="Segoe UI" w:cs="Segoe UI"/>
          <w:color w:val="000000" w:themeColor="text1"/>
          <w:lang w:val="en-GB"/>
        </w:rPr>
        <w:t>suspicionless</w:t>
      </w:r>
      <w:r w:rsidRPr="00BD056F">
        <w:rPr>
          <w:rFonts w:ascii="Segoe UI" w:hAnsi="Segoe UI" w:cs="Segoe UI"/>
          <w:color w:val="000000" w:themeColor="text1"/>
          <w:lang w:val="en-GB"/>
        </w:rPr>
        <w:t xml:space="preserve"> stop and search powers, affording a high degree of subjective decision-making and discretion to individual officers on how to apply to powers. </w:t>
      </w:r>
    </w:p>
    <w:p w:rsidR="00AE1CB5" w:rsidRPr="00BD056F" w:rsidP="00094835">
      <w:pPr>
        <w:pStyle w:val="Body"/>
        <w:ind w:firstLine="0"/>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The aforementioned Joint Committee on Human Rights stated that the proposed stop and search powers risked violating people’s Article 8, 10, 11, and 14 human rights: ‘This risk is substantially higher in relation to powers to stop and search without the need for reasonable suspicion, which have previously been considered necessary only to protect against serious violence and terrorism. Stop and search without reasonable suspicion should be removed from the Bill’.</w:t>
      </w:r>
    </w:p>
    <w:p w:rsidR="00AE1CB5" w:rsidRPr="00BD056F" w:rsidP="00094835">
      <w:pPr>
        <w:pStyle w:val="Body"/>
        <w:ind w:firstLine="0"/>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rPr>
      </w:pPr>
      <w:r w:rsidRPr="00BD056F">
        <w:rPr>
          <w:rFonts w:ascii="Segoe UI" w:hAnsi="Segoe UI" w:cs="Segoe UI"/>
          <w:color w:val="000000" w:themeColor="text1"/>
        </w:rPr>
        <w:t>Likewise, the UK supreme court in </w:t>
      </w:r>
      <w:r w:rsidRPr="00BD056F">
        <w:rPr>
          <w:rFonts w:ascii="Segoe UI" w:hAnsi="Segoe UI" w:cs="Segoe UI"/>
          <w:i/>
          <w:iCs/>
          <w:color w:val="000000" w:themeColor="text1"/>
        </w:rPr>
        <w:t>Roberts v Commissioner of Police</w:t>
      </w:r>
      <w:r w:rsidRPr="00BD056F">
        <w:rPr>
          <w:rFonts w:ascii="Segoe UI" w:hAnsi="Segoe UI" w:cs="Segoe UI"/>
          <w:color w:val="000000" w:themeColor="text1"/>
        </w:rPr>
        <w:t> warned in its considerations that ‘[a]</w:t>
      </w:r>
      <w:r w:rsidRPr="00BD056F">
        <w:rPr>
          <w:rFonts w:ascii="Segoe UI" w:hAnsi="Segoe UI" w:cs="Segoe UI"/>
          <w:color w:val="000000" w:themeColor="text1"/>
        </w:rPr>
        <w:t>ny</w:t>
      </w:r>
      <w:r w:rsidRPr="00BD056F">
        <w:rPr>
          <w:rFonts w:ascii="Segoe UI" w:hAnsi="Segoe UI" w:cs="Segoe UI"/>
          <w:color w:val="000000" w:themeColor="text1"/>
        </w:rPr>
        <w:t xml:space="preserve"> random “</w:t>
      </w:r>
      <w:r w:rsidRPr="00BD056F">
        <w:rPr>
          <w:rFonts w:ascii="Segoe UI" w:hAnsi="Segoe UI" w:cs="Segoe UI"/>
          <w:color w:val="000000" w:themeColor="text1"/>
        </w:rPr>
        <w:t>suspicionless</w:t>
      </w:r>
      <w:r w:rsidRPr="00BD056F">
        <w:rPr>
          <w:rFonts w:ascii="Segoe UI" w:hAnsi="Segoe UI" w:cs="Segoe UI"/>
          <w:color w:val="000000" w:themeColor="text1"/>
        </w:rPr>
        <w:t>” power of stop and search carries with it the risk that it will be used in an arbitrary or discriminatory manner in individual cases.’</w:t>
      </w:r>
      <w:r>
        <w:rPr>
          <w:rStyle w:val="EndnoteReference"/>
          <w:rFonts w:ascii="Segoe UI" w:hAnsi="Segoe UI" w:cs="Segoe UI"/>
          <w:color w:val="000000" w:themeColor="text1"/>
        </w:rPr>
        <w:endnoteReference w:id="5"/>
      </w:r>
      <w:r w:rsidRPr="00BD056F">
        <w:rPr>
          <w:rFonts w:ascii="Segoe UI" w:hAnsi="Segoe UI" w:cs="Segoe UI"/>
          <w:color w:val="000000" w:themeColor="text1"/>
        </w:rPr>
        <w:t xml:space="preserve"> The ECtHR has long </w:t>
      </w:r>
      <w:r w:rsidRPr="00BD056F">
        <w:rPr>
          <w:rFonts w:ascii="Segoe UI" w:hAnsi="Segoe UI" w:cs="Segoe UI"/>
          <w:color w:val="000000" w:themeColor="text1"/>
        </w:rPr>
        <w:t>recognised</w:t>
      </w:r>
      <w:r w:rsidRPr="00BD056F">
        <w:rPr>
          <w:rFonts w:ascii="Segoe UI" w:hAnsi="Segoe UI" w:cs="Segoe UI"/>
          <w:color w:val="000000" w:themeColor="text1"/>
        </w:rPr>
        <w:t xml:space="preserve"> the danger of arbitrary police powers, as well as the risks of direct or indirect discrimination arising from </w:t>
      </w:r>
      <w:r w:rsidRPr="00BD056F">
        <w:rPr>
          <w:rFonts w:ascii="Segoe UI" w:hAnsi="Segoe UI" w:cs="Segoe UI"/>
          <w:color w:val="000000" w:themeColor="text1"/>
        </w:rPr>
        <w:t>suspicionless</w:t>
      </w:r>
      <w:r w:rsidRPr="00BD056F">
        <w:rPr>
          <w:rFonts w:ascii="Segoe UI" w:hAnsi="Segoe UI" w:cs="Segoe UI"/>
          <w:color w:val="000000" w:themeColor="text1"/>
        </w:rPr>
        <w:t xml:space="preserve"> based stop and search. In </w:t>
      </w:r>
      <w:r w:rsidRPr="00BD056F">
        <w:rPr>
          <w:rFonts w:ascii="Segoe UI" w:hAnsi="Segoe UI" w:cs="Segoe UI"/>
          <w:i/>
          <w:iCs/>
          <w:color w:val="000000" w:themeColor="text1"/>
        </w:rPr>
        <w:t>Gillan and Quinton v UK</w:t>
      </w:r>
      <w:r w:rsidRPr="00BD056F">
        <w:rPr>
          <w:rFonts w:ascii="Segoe UI" w:hAnsi="Segoe UI" w:cs="Segoe UI"/>
          <w:color w:val="000000" w:themeColor="text1"/>
        </w:rPr>
        <w:t xml:space="preserve">, the ECtHR ruled that </w:t>
      </w:r>
      <w:r w:rsidRPr="00BD056F">
        <w:rPr>
          <w:rFonts w:ascii="Segoe UI" w:hAnsi="Segoe UI" w:cs="Segoe UI"/>
          <w:color w:val="000000" w:themeColor="text1"/>
        </w:rPr>
        <w:t>suspicionless</w:t>
      </w:r>
      <w:r w:rsidRPr="00BD056F">
        <w:rPr>
          <w:rFonts w:ascii="Segoe UI" w:hAnsi="Segoe UI" w:cs="Segoe UI"/>
          <w:color w:val="000000" w:themeColor="text1"/>
        </w:rPr>
        <w:t xml:space="preserve"> searches under section 44 of the Terrorism Act 2000 violated the applicants’ right to respect for private and family life under Article 8 of </w:t>
      </w:r>
      <w:r w:rsidRPr="00BD056F">
        <w:rPr>
          <w:rFonts w:ascii="Segoe UI" w:hAnsi="Segoe UI" w:cs="Segoe UI"/>
          <w:color w:val="000000" w:themeColor="text1"/>
        </w:rPr>
        <w:t>the ECHR.</w:t>
      </w:r>
      <w:r>
        <w:rPr>
          <w:rStyle w:val="EndnoteReference"/>
          <w:rFonts w:ascii="Segoe UI" w:hAnsi="Segoe UI" w:cs="Segoe UI"/>
          <w:color w:val="000000" w:themeColor="text1"/>
        </w:rPr>
        <w:endnoteReference w:id="6"/>
      </w:r>
      <w:r w:rsidRPr="00BD056F">
        <w:rPr>
          <w:rFonts w:ascii="Segoe UI" w:hAnsi="Segoe UI" w:cs="Segoe UI"/>
          <w:color w:val="000000" w:themeColor="text1"/>
        </w:rPr>
        <w:t xml:space="preserve"> Similarly, the ECHR's decision in </w:t>
      </w:r>
      <w:r w:rsidRPr="00BD056F">
        <w:rPr>
          <w:rFonts w:ascii="Segoe UI" w:hAnsi="Segoe UI" w:cs="Segoe UI"/>
          <w:i/>
          <w:iCs/>
          <w:color w:val="000000" w:themeColor="text1"/>
        </w:rPr>
        <w:t>Beghal</w:t>
      </w:r>
      <w:r w:rsidRPr="00BD056F">
        <w:rPr>
          <w:rFonts w:ascii="Segoe UI" w:hAnsi="Segoe UI" w:cs="Segoe UI"/>
          <w:i/>
          <w:iCs/>
          <w:color w:val="000000" w:themeColor="text1"/>
        </w:rPr>
        <w:t xml:space="preserve"> v United Kingdom</w:t>
      </w:r>
      <w:r w:rsidRPr="00BD056F">
        <w:rPr>
          <w:rFonts w:ascii="Segoe UI" w:hAnsi="Segoe UI" w:cs="Segoe UI"/>
          <w:color w:val="000000" w:themeColor="text1"/>
        </w:rPr>
        <w:t xml:space="preserve"> ruled that </w:t>
      </w:r>
      <w:r w:rsidRPr="00BD056F">
        <w:rPr>
          <w:rFonts w:ascii="Segoe UI" w:hAnsi="Segoe UI" w:cs="Segoe UI"/>
          <w:color w:val="000000" w:themeColor="text1"/>
        </w:rPr>
        <w:t>suspicionless</w:t>
      </w:r>
      <w:r w:rsidRPr="00BD056F">
        <w:rPr>
          <w:rFonts w:ascii="Segoe UI" w:hAnsi="Segoe UI" w:cs="Segoe UI"/>
          <w:color w:val="000000" w:themeColor="text1"/>
        </w:rPr>
        <w:t xml:space="preserve"> stop and search powers under schedule 7 of the Terrorism Act 2000 (i</w:t>
      </w:r>
      <w:r w:rsidRPr="00BD056F">
        <w:rPr>
          <w:rFonts w:ascii="Segoe UI" w:hAnsi="Segoe UI" w:cs="Segoe UI"/>
          <w:color w:val="000000" w:themeColor="text1"/>
        </w:rPr>
        <w:t>.</w:t>
      </w:r>
      <w:r w:rsidRPr="00BD056F">
        <w:rPr>
          <w:rFonts w:ascii="Segoe UI" w:hAnsi="Segoe UI" w:cs="Segoe UI"/>
          <w:color w:val="000000" w:themeColor="text1"/>
        </w:rPr>
        <w:t>e</w:t>
      </w:r>
      <w:r w:rsidRPr="00BD056F">
        <w:rPr>
          <w:rFonts w:ascii="Segoe UI" w:hAnsi="Segoe UI" w:cs="Segoe UI"/>
          <w:color w:val="000000" w:themeColor="text1"/>
        </w:rPr>
        <w:t>.</w:t>
      </w:r>
      <w:r w:rsidRPr="00BD056F">
        <w:rPr>
          <w:rFonts w:ascii="Segoe UI" w:hAnsi="Segoe UI" w:cs="Segoe UI"/>
          <w:color w:val="000000" w:themeColor="text1"/>
        </w:rPr>
        <w:t xml:space="preserve"> applying to searches at the border) amounted to a violation of Article 8 of the ECHR.</w:t>
      </w:r>
      <w:r>
        <w:rPr>
          <w:rStyle w:val="EndnoteReference"/>
          <w:rFonts w:ascii="Segoe UI" w:hAnsi="Segoe UI" w:cs="Segoe UI"/>
          <w:color w:val="000000" w:themeColor="text1"/>
        </w:rPr>
        <w:endnoteReference w:id="7"/>
      </w:r>
      <w:r w:rsidRPr="00BD056F">
        <w:rPr>
          <w:rFonts w:ascii="Segoe UI" w:hAnsi="Segoe UI" w:cs="Segoe UI"/>
          <w:color w:val="000000" w:themeColor="text1"/>
        </w:rPr>
        <w:t xml:space="preserve"> In </w:t>
      </w:r>
      <w:r w:rsidRPr="00BD056F">
        <w:rPr>
          <w:rFonts w:ascii="Segoe UI" w:hAnsi="Segoe UI" w:cs="Segoe UI"/>
          <w:i/>
          <w:iCs/>
          <w:color w:val="000000" w:themeColor="text1"/>
        </w:rPr>
        <w:t>Gillan</w:t>
      </w:r>
      <w:r w:rsidRPr="00BD056F">
        <w:rPr>
          <w:rFonts w:ascii="Segoe UI" w:hAnsi="Segoe UI" w:cs="Segoe UI"/>
          <w:color w:val="000000" w:themeColor="text1"/>
        </w:rPr>
        <w:t> and </w:t>
      </w:r>
      <w:r w:rsidRPr="00BD056F">
        <w:rPr>
          <w:rFonts w:ascii="Segoe UI" w:hAnsi="Segoe UI" w:cs="Segoe UI"/>
          <w:i/>
          <w:iCs/>
          <w:color w:val="000000" w:themeColor="text1"/>
        </w:rPr>
        <w:t>Beghal</w:t>
      </w:r>
      <w:r w:rsidRPr="00BD056F">
        <w:rPr>
          <w:rFonts w:ascii="Segoe UI" w:hAnsi="Segoe UI" w:cs="Segoe UI"/>
          <w:color w:val="000000" w:themeColor="text1"/>
        </w:rPr>
        <w:t xml:space="preserve">, the ECtHR observed that there were insufficient legal safeguards against </w:t>
      </w:r>
      <w:r w:rsidRPr="00BD056F">
        <w:rPr>
          <w:rFonts w:ascii="Segoe UI" w:hAnsi="Segoe UI" w:cs="Segoe UI"/>
          <w:color w:val="000000" w:themeColor="text1"/>
        </w:rPr>
        <w:t>suspicionless</w:t>
      </w:r>
      <w:r w:rsidRPr="00BD056F">
        <w:rPr>
          <w:rFonts w:ascii="Segoe UI" w:hAnsi="Segoe UI" w:cs="Segoe UI"/>
          <w:color w:val="000000" w:themeColor="text1"/>
        </w:rPr>
        <w:t xml:space="preserve"> search powers being abused, as well as </w:t>
      </w:r>
      <w:r w:rsidRPr="00BD056F">
        <w:rPr>
          <w:rFonts w:ascii="Segoe UI" w:hAnsi="Segoe UI" w:cs="Segoe UI"/>
          <w:color w:val="000000" w:themeColor="text1"/>
        </w:rPr>
        <w:t>recognising</w:t>
      </w:r>
      <w:r w:rsidRPr="00BD056F">
        <w:rPr>
          <w:rFonts w:ascii="Segoe UI" w:hAnsi="Segoe UI" w:cs="Segoe UI"/>
          <w:color w:val="000000" w:themeColor="text1"/>
        </w:rPr>
        <w:t xml:space="preserve"> the risks of such powers being used in a discriminatory manner against ethnic minorities.</w:t>
      </w:r>
    </w:p>
    <w:p w:rsidR="00AE1CB5" w:rsidRPr="00BD056F" w:rsidP="001719E5">
      <w:pPr>
        <w:pStyle w:val="Body"/>
        <w:ind w:firstLine="0"/>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 xml:space="preserve">Protest powers granting officers the right to stop and search </w:t>
      </w:r>
      <w:r w:rsidRPr="00BD056F">
        <w:rPr>
          <w:rFonts w:ascii="Segoe UI" w:hAnsi="Segoe UI" w:cs="Segoe UI"/>
          <w:color w:val="000000" w:themeColor="text1"/>
        </w:rPr>
        <w:t>seriously interferes with the right to respect for private life.</w:t>
      </w:r>
      <w:r w:rsidRPr="00BD056F">
        <w:rPr>
          <w:rFonts w:ascii="Segoe UI" w:hAnsi="Segoe UI" w:cs="Segoe UI"/>
          <w:color w:val="000000" w:themeColor="text1"/>
          <w:lang w:val="en-GB"/>
        </w:rPr>
        <w:t xml:space="preserve"> </w:t>
      </w:r>
      <w:r w:rsidRPr="00BD056F">
        <w:rPr>
          <w:rFonts w:ascii="Segoe UI" w:hAnsi="Segoe UI" w:cs="Segoe UI"/>
          <w:color w:val="000000" w:themeColor="text1"/>
        </w:rPr>
        <w:t>As expounded in the ECHR case </w:t>
      </w:r>
      <w:r w:rsidRPr="00BD056F">
        <w:rPr>
          <w:rFonts w:ascii="Segoe UI" w:hAnsi="Segoe UI" w:cs="Segoe UI"/>
          <w:i/>
          <w:iCs/>
          <w:color w:val="000000" w:themeColor="text1"/>
        </w:rPr>
        <w:t>Gillan and Quinton v the United Kingdom</w:t>
      </w:r>
      <w:r w:rsidRPr="00BD056F">
        <w:rPr>
          <w:rFonts w:ascii="Segoe UI" w:hAnsi="Segoe UI" w:cs="Segoe UI"/>
          <w:color w:val="000000" w:themeColor="text1"/>
        </w:rPr>
        <w:t> over police searches made under section 44 of the Terrorism Act 2000, ‘coercive powers conferred by the legislation to require an individual to submit to a detailed search of his person, his clothing and his personal belongings amount to a clear interference with the right to respect for private life.’ Stop and search provisions under recent legislation are similarly coerciv</w:t>
      </w:r>
      <w:r w:rsidRPr="00BD056F">
        <w:rPr>
          <w:rFonts w:ascii="Segoe UI" w:hAnsi="Segoe UI" w:cs="Segoe UI"/>
          <w:color w:val="000000" w:themeColor="text1"/>
        </w:rPr>
        <w:t>e, therefore may interfere with Article 8 of the HRA and ECHR.</w:t>
      </w:r>
    </w:p>
    <w:p w:rsidR="00AE1CB5" w:rsidRPr="00BD056F" w:rsidP="001719E5">
      <w:pPr>
        <w:pStyle w:val="Body"/>
        <w:ind w:firstLine="0"/>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rPr>
      </w:pPr>
      <w:r w:rsidRPr="00BD056F">
        <w:rPr>
          <w:rFonts w:ascii="Segoe UI" w:hAnsi="Segoe UI" w:cs="Segoe UI"/>
          <w:color w:val="000000" w:themeColor="text1"/>
        </w:rPr>
        <w:t>Suspicionless</w:t>
      </w:r>
      <w:r w:rsidRPr="00BD056F">
        <w:rPr>
          <w:rFonts w:ascii="Segoe UI" w:hAnsi="Segoe UI" w:cs="Segoe UI"/>
          <w:color w:val="000000" w:themeColor="text1"/>
        </w:rPr>
        <w:t xml:space="preserve"> stop and search powers compound discrimination against ethnic minorities,</w:t>
      </w:r>
      <w:r>
        <w:rPr>
          <w:rStyle w:val="EndnoteReference"/>
          <w:rFonts w:ascii="Segoe UI" w:hAnsi="Segoe UI" w:cs="Segoe UI"/>
          <w:color w:val="000000" w:themeColor="text1"/>
        </w:rPr>
        <w:endnoteReference w:id="8"/>
      </w:r>
      <w:r w:rsidRPr="00BD056F">
        <w:rPr>
          <w:rFonts w:ascii="Segoe UI" w:hAnsi="Segoe UI" w:cs="Segoe UI"/>
          <w:color w:val="000000" w:themeColor="text1"/>
        </w:rPr>
        <w:t xml:space="preserve"> in contradiction to ECHR Article 14. </w:t>
      </w:r>
      <w:r w:rsidRPr="00BD056F">
        <w:rPr>
          <w:rFonts w:ascii="Segoe UI" w:hAnsi="Segoe UI" w:cs="Segoe UI"/>
          <w:color w:val="000000" w:themeColor="text1"/>
        </w:rPr>
        <w:t>At the time of its introduction, the government conceded that t</w:t>
      </w:r>
      <w:r w:rsidRPr="00BD056F">
        <w:rPr>
          <w:rFonts w:ascii="Segoe UI" w:hAnsi="Segoe UI" w:cs="Segoe UI"/>
          <w:color w:val="000000" w:themeColor="text1"/>
        </w:rPr>
        <w:t xml:space="preserve">he powers are often implemented in a discriminatory fashion, raising the risk that </w:t>
      </w:r>
      <w:r w:rsidRPr="00BD056F">
        <w:rPr>
          <w:rFonts w:ascii="Segoe UI" w:hAnsi="Segoe UI" w:cs="Segoe UI"/>
          <w:color w:val="000000" w:themeColor="text1"/>
        </w:rPr>
        <w:t>suspicionless</w:t>
      </w:r>
      <w:r w:rsidRPr="00BD056F">
        <w:rPr>
          <w:rFonts w:ascii="Segoe UI" w:hAnsi="Segoe UI" w:cs="Segoe UI"/>
          <w:color w:val="000000" w:themeColor="text1"/>
        </w:rPr>
        <w:t xml:space="preserve"> searches trap people in cycles of </w:t>
      </w:r>
      <w:r w:rsidRPr="00BD056F">
        <w:rPr>
          <w:rFonts w:ascii="Segoe UI" w:hAnsi="Segoe UI" w:cs="Segoe UI"/>
          <w:color w:val="000000" w:themeColor="text1"/>
        </w:rPr>
        <w:t>criminalisation</w:t>
      </w:r>
      <w:r w:rsidRPr="00BD056F">
        <w:rPr>
          <w:rFonts w:ascii="Segoe UI" w:hAnsi="Segoe UI" w:cs="Segoe UI"/>
          <w:color w:val="000000" w:themeColor="text1"/>
        </w:rPr>
        <w:t xml:space="preserve"> and harm.</w:t>
      </w:r>
    </w:p>
    <w:p w:rsidR="00AE1CB5" w:rsidRPr="00BD056F" w:rsidP="001719E5">
      <w:pPr>
        <w:pStyle w:val="Body"/>
        <w:ind w:firstLine="0"/>
        <w:rPr>
          <w:rFonts w:ascii="Segoe UI" w:hAnsi="Segoe UI" w:cs="Segoe UI"/>
          <w:color w:val="000000" w:themeColor="text1"/>
        </w:rPr>
      </w:pPr>
    </w:p>
    <w:p w:rsidR="00AE1CB5" w:rsidRPr="00BD056F" w:rsidP="003C07D2">
      <w:pPr>
        <w:pStyle w:val="Body"/>
        <w:numPr>
          <w:ilvl w:val="0"/>
          <w:numId w:val="21"/>
        </w:numPr>
        <w:rPr>
          <w:rFonts w:ascii="Segoe UI" w:hAnsi="Segoe UI" w:cs="Segoe UI"/>
          <w:color w:val="000000" w:themeColor="text1"/>
        </w:rPr>
      </w:pPr>
      <w:r w:rsidRPr="00BD056F">
        <w:rPr>
          <w:rFonts w:ascii="Segoe UI" w:hAnsi="Segoe UI" w:cs="Segoe UI"/>
          <w:color w:val="000000" w:themeColor="text1"/>
        </w:rPr>
        <w:t xml:space="preserve">These stop and search powers only add to the legislative complexity </w:t>
      </w:r>
      <w:r w:rsidRPr="00BD056F">
        <w:rPr>
          <w:rFonts w:ascii="Segoe UI" w:hAnsi="Segoe UI" w:cs="Segoe UI"/>
          <w:color w:val="000000" w:themeColor="text1"/>
        </w:rPr>
        <w:t>in the area of</w:t>
      </w:r>
      <w:r w:rsidRPr="00BD056F">
        <w:rPr>
          <w:rFonts w:ascii="Segoe UI" w:hAnsi="Segoe UI" w:cs="Segoe UI"/>
          <w:color w:val="000000" w:themeColor="text1"/>
        </w:rPr>
        <w:t xml:space="preserve"> stop and search - which has the potential to exacerbate existing issues in relation to the abuse or misuse of police powers.</w:t>
      </w:r>
    </w:p>
    <w:p w:rsidR="00AE1CB5" w:rsidRPr="00BD056F" w:rsidP="001719E5">
      <w:pPr>
        <w:pStyle w:val="Body"/>
        <w:ind w:firstLine="0"/>
        <w:rPr>
          <w:rFonts w:ascii="Segoe UI" w:hAnsi="Segoe UI" w:cs="Segoe UI"/>
          <w:color w:val="000000" w:themeColor="text1"/>
          <w:lang w:val="en-GB"/>
        </w:rPr>
      </w:pPr>
    </w:p>
    <w:p w:rsidR="00AE1CB5" w:rsidRPr="00BD056F" w:rsidP="001719E5">
      <w:pPr>
        <w:pStyle w:val="Heading2"/>
        <w:rPr>
          <w:color w:val="000000" w:themeColor="text1"/>
          <w:sz w:val="22"/>
          <w:szCs w:val="22"/>
        </w:rPr>
      </w:pPr>
      <w:r w:rsidRPr="00BD056F">
        <w:rPr>
          <w:color w:val="000000" w:themeColor="text1"/>
          <w:sz w:val="22"/>
          <w:szCs w:val="22"/>
        </w:rPr>
        <w:t>3) To what extent are restrictions on individuals taking part in protest, for example Serious Disruption Prevention Orders, compatible with Articles 10 and 11 in design and in practice? </w:t>
      </w: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The</w:t>
      </w:r>
      <w:r w:rsidRPr="00BD056F">
        <w:rPr>
          <w:rFonts w:ascii="Segoe UI" w:hAnsi="Segoe UI" w:cs="Segoe UI"/>
          <w:color w:val="000000" w:themeColor="text1"/>
          <w:lang w:val="en-GB"/>
        </w:rPr>
        <w:t xml:space="preserve"> proliferation of overlapping </w:t>
      </w:r>
      <w:r w:rsidRPr="00BD056F">
        <w:rPr>
          <w:rFonts w:ascii="Segoe UI" w:hAnsi="Segoe UI" w:cs="Segoe UI"/>
          <w:color w:val="000000" w:themeColor="text1"/>
          <w:lang w:val="en-GB"/>
        </w:rPr>
        <w:t xml:space="preserve">police protest powers has normalised </w:t>
      </w:r>
      <w:r w:rsidRPr="00BD056F">
        <w:rPr>
          <w:rFonts w:ascii="Segoe UI" w:hAnsi="Segoe UI" w:cs="Segoe UI"/>
          <w:color w:val="000000" w:themeColor="text1"/>
          <w:lang w:val="en-GB"/>
        </w:rPr>
        <w:t>restrictive measures on protests which undermine</w:t>
      </w:r>
      <w:r w:rsidRPr="00BD056F">
        <w:rPr>
          <w:rFonts w:ascii="Segoe UI" w:hAnsi="Segoe UI" w:cs="Segoe UI"/>
          <w:color w:val="000000" w:themeColor="text1"/>
          <w:lang w:val="en-GB"/>
        </w:rPr>
        <w:t xml:space="preserve"> Articles 10 and 11 under the pretext of </w:t>
      </w:r>
      <w:r w:rsidRPr="00BD056F">
        <w:rPr>
          <w:rFonts w:ascii="Segoe UI" w:hAnsi="Segoe UI" w:cs="Segoe UI"/>
          <w:color w:val="000000" w:themeColor="text1"/>
          <w:lang w:val="en-GB"/>
        </w:rPr>
        <w:t>framing protest as a security threat</w:t>
      </w:r>
      <w:r w:rsidRPr="00BD056F">
        <w:rPr>
          <w:rFonts w:ascii="Segoe UI" w:hAnsi="Segoe UI" w:cs="Segoe UI"/>
          <w:color w:val="000000" w:themeColor="text1"/>
          <w:lang w:val="en-GB"/>
        </w:rPr>
        <w:t>. In so doing, this legislation has entrenched</w:t>
      </w:r>
      <w:r w:rsidRPr="00BD056F">
        <w:rPr>
          <w:rFonts w:ascii="Segoe UI" w:hAnsi="Segoe UI" w:cs="Segoe UI"/>
          <w:color w:val="000000" w:themeColor="text1"/>
          <w:lang w:val="en-GB"/>
        </w:rPr>
        <w:t xml:space="preserve"> </w:t>
      </w:r>
      <w:r w:rsidRPr="00BD056F">
        <w:rPr>
          <w:rFonts w:ascii="Segoe UI" w:hAnsi="Segoe UI" w:cs="Segoe UI"/>
          <w:color w:val="000000" w:themeColor="text1"/>
          <w:lang w:val="en-GB"/>
        </w:rPr>
        <w:t xml:space="preserve">repressive policing tactics and </w:t>
      </w:r>
      <w:r w:rsidRPr="00BD056F">
        <w:rPr>
          <w:rFonts w:ascii="Segoe UI" w:hAnsi="Segoe UI" w:cs="Segoe UI"/>
          <w:color w:val="000000" w:themeColor="text1"/>
          <w:lang w:val="en-GB"/>
        </w:rPr>
        <w:t>surveillance</w:t>
      </w:r>
      <w:r w:rsidRPr="00BD056F">
        <w:rPr>
          <w:rFonts w:ascii="Segoe UI" w:hAnsi="Segoe UI" w:cs="Segoe UI"/>
          <w:color w:val="000000" w:themeColor="text1"/>
          <w:lang w:val="en-GB"/>
        </w:rPr>
        <w:t>, b</w:t>
      </w:r>
      <w:r w:rsidRPr="00BD056F">
        <w:rPr>
          <w:rFonts w:ascii="Segoe UI" w:hAnsi="Segoe UI" w:cs="Segoe UI"/>
          <w:color w:val="000000" w:themeColor="text1"/>
          <w:lang w:val="en-GB"/>
        </w:rPr>
        <w:t xml:space="preserve">oth of which have chilling effects which contravene </w:t>
      </w:r>
      <w:r w:rsidRPr="00BD056F">
        <w:rPr>
          <w:rFonts w:ascii="Segoe UI" w:hAnsi="Segoe UI" w:cs="Segoe UI"/>
          <w:color w:val="000000" w:themeColor="text1"/>
          <w:lang w:val="en-GB"/>
        </w:rPr>
        <w:t>freedom of assembly and expression.</w:t>
      </w:r>
    </w:p>
    <w:p w:rsidR="00AE1CB5" w:rsidRPr="00BD056F" w:rsidP="003C07D2">
      <w:pPr>
        <w:pStyle w:val="Body"/>
        <w:ind w:left="720" w:firstLine="0"/>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 xml:space="preserve">Provisions in the Serious Disruption Prevention Order (SDPO) granting police officers the power to stop and search individuals should be repealed. This is because stop and search </w:t>
      </w:r>
      <w:r w:rsidRPr="00BD056F">
        <w:rPr>
          <w:rFonts w:ascii="Segoe UI" w:hAnsi="Segoe UI" w:cs="Segoe UI"/>
          <w:color w:val="000000" w:themeColor="text1"/>
          <w:lang w:val="en-GB"/>
        </w:rPr>
        <w:t>is</w:t>
      </w:r>
      <w:r w:rsidRPr="00BD056F">
        <w:rPr>
          <w:rFonts w:ascii="Segoe UI" w:hAnsi="Segoe UI" w:cs="Segoe UI"/>
          <w:color w:val="000000" w:themeColor="text1"/>
          <w:lang w:val="en-GB"/>
        </w:rPr>
        <w:t xml:space="preserve"> not an effective means to prevent protest-related offences and the tactic is likely to have long-term negative ramifications for those subjected to the practice</w:t>
      </w:r>
      <w:r w:rsidRPr="00BD056F">
        <w:rPr>
          <w:rFonts w:ascii="Segoe UI" w:hAnsi="Segoe UI" w:cs="Segoe UI"/>
          <w:color w:val="000000" w:themeColor="text1"/>
          <w:lang w:val="en-GB"/>
        </w:rPr>
        <w:t>.</w:t>
      </w:r>
    </w:p>
    <w:p w:rsidR="00AE1CB5" w:rsidRPr="00BD056F" w:rsidP="003C07D2">
      <w:pPr>
        <w:pStyle w:val="Body"/>
        <w:ind w:left="720" w:firstLine="0"/>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 xml:space="preserve">As aforementioned, </w:t>
      </w:r>
      <w:r w:rsidRPr="00BD056F">
        <w:rPr>
          <w:rFonts w:ascii="Segoe UI" w:hAnsi="Segoe UI" w:cs="Segoe UI"/>
          <w:color w:val="000000" w:themeColor="text1"/>
          <w:lang w:val="en-GB"/>
        </w:rPr>
        <w:t>s</w:t>
      </w:r>
      <w:r w:rsidRPr="00BD056F">
        <w:rPr>
          <w:rFonts w:ascii="Segoe UI" w:hAnsi="Segoe UI" w:cs="Segoe UI"/>
          <w:color w:val="000000" w:themeColor="text1"/>
          <w:lang w:val="en-GB"/>
        </w:rPr>
        <w:t xml:space="preserve">ection 11 </w:t>
      </w:r>
      <w:r w:rsidRPr="00BD056F">
        <w:rPr>
          <w:rFonts w:ascii="Segoe UI" w:hAnsi="Segoe UI" w:cs="Segoe UI"/>
          <w:color w:val="000000" w:themeColor="text1"/>
          <w:lang w:val="en-GB"/>
        </w:rPr>
        <w:t>grants officers stop and search powers at protests.</w:t>
      </w:r>
      <w:r w:rsidRPr="00BD056F">
        <w:rPr>
          <w:rFonts w:ascii="Segoe UI" w:hAnsi="Segoe UI" w:cs="Segoe UI"/>
          <w:color w:val="000000" w:themeColor="text1"/>
          <w:lang w:val="en-GB"/>
        </w:rPr>
        <w:t xml:space="preserve"> </w:t>
      </w:r>
      <w:r w:rsidRPr="00BD056F">
        <w:rPr>
          <w:rFonts w:ascii="Segoe UI" w:hAnsi="Segoe UI" w:cs="Segoe UI"/>
          <w:color w:val="000000" w:themeColor="text1"/>
          <w:lang w:val="en-GB"/>
        </w:rPr>
        <w:t>The joint committee on human rights rightly states that the protest-related searches ‘almost inevitably result in interference with Articles 10 and 11</w:t>
      </w:r>
      <w:r w:rsidRPr="00BD056F">
        <w:rPr>
          <w:rFonts w:ascii="Segoe UI" w:hAnsi="Segoe UI" w:cs="Segoe UI"/>
          <w:color w:val="000000" w:themeColor="text1"/>
          <w:lang w:val="en-GB"/>
        </w:rPr>
        <w:t>[</w:t>
      </w:r>
      <w:r w:rsidRPr="00BD056F">
        <w:rPr>
          <w:rFonts w:ascii="Segoe UI" w:hAnsi="Segoe UI" w:cs="Segoe UI"/>
          <w:color w:val="000000" w:themeColor="text1"/>
          <w:lang w:val="en-GB"/>
        </w:rPr>
        <w:t>...</w:t>
      </w:r>
      <w:r w:rsidRPr="00BD056F">
        <w:rPr>
          <w:rFonts w:ascii="Segoe UI" w:hAnsi="Segoe UI" w:cs="Segoe UI"/>
          <w:color w:val="000000" w:themeColor="text1"/>
          <w:lang w:val="en-GB"/>
        </w:rPr>
        <w:t>]</w:t>
      </w:r>
      <w:r w:rsidRPr="00BD056F">
        <w:rPr>
          <w:rFonts w:ascii="Segoe UI" w:hAnsi="Segoe UI" w:cs="Segoe UI"/>
          <w:color w:val="000000" w:themeColor="text1"/>
          <w:lang w:val="en-GB"/>
        </w:rPr>
        <w:t xml:space="preserve"> [because] [t]he availability and use of this power is likely to have an intimidatory “chilling” effect on protest.’</w:t>
      </w:r>
      <w:r>
        <w:rPr>
          <w:color w:val="000000" w:themeColor="text1"/>
          <w:vertAlign w:val="superscript"/>
          <w:lang w:val="en-GB"/>
        </w:rPr>
        <w:endnoteReference w:id="9"/>
      </w:r>
      <w:r w:rsidRPr="00BD056F">
        <w:rPr>
          <w:rFonts w:ascii="Segoe UI" w:hAnsi="Segoe UI" w:cs="Segoe UI"/>
          <w:color w:val="000000" w:themeColor="text1"/>
          <w:lang w:val="en-GB"/>
        </w:rPr>
        <w:t xml:space="preserve"> This power is very likely to have a chilling effect not only because of its intrusive nature but also the vast range of people that would be caught under it. Police can search for ‘objects made or adapted for the use in course of or in connection with a protest-related offence’ if an inspector (or senior rank) reasonably believes any protest-related offences may be committed.</w:t>
      </w:r>
    </w:p>
    <w:p w:rsidR="00AE1CB5" w:rsidRPr="00BD056F" w:rsidP="003C07D2">
      <w:pPr>
        <w:pStyle w:val="Body"/>
        <w:ind w:left="720" w:firstLine="0"/>
        <w:rPr>
          <w:rFonts w:ascii="Segoe UI" w:hAnsi="Segoe UI" w:cs="Segoe UI"/>
          <w:color w:val="000000" w:themeColor="text1"/>
          <w:lang w:val="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 xml:space="preserve">The </w:t>
      </w:r>
      <w:r w:rsidRPr="00BD056F">
        <w:rPr>
          <w:rFonts w:ascii="Segoe UI" w:hAnsi="Segoe UI" w:cs="Segoe UI"/>
          <w:color w:val="000000" w:themeColor="text1"/>
          <w:lang w:val="en-GB"/>
        </w:rPr>
        <w:t xml:space="preserve">Police, Crime, Sentencing and Courts </w:t>
      </w:r>
      <w:r w:rsidRPr="00BD056F">
        <w:rPr>
          <w:rFonts w:ascii="Segoe UI" w:hAnsi="Segoe UI" w:cs="Segoe UI"/>
          <w:color w:val="000000" w:themeColor="text1"/>
          <w:lang w:val="en-GB"/>
        </w:rPr>
        <w:t xml:space="preserve">Act establishes a strict liability standard for this offence, meaning that individuals can be held criminally liable for breaching conditions even if they were unaware of them. This places a significant burden on protesters to ensure </w:t>
      </w:r>
      <w:r w:rsidRPr="00BD056F">
        <w:rPr>
          <w:rFonts w:ascii="Segoe UI" w:hAnsi="Segoe UI" w:cs="Segoe UI"/>
          <w:color w:val="000000" w:themeColor="text1"/>
          <w:lang w:val="en-GB"/>
        </w:rPr>
        <w:t xml:space="preserve">compliance with any conditions imposed on their activities. Under this act, the burden of proof lies with the individual to demonstrate a lack of awareness of the conditions </w:t>
      </w:r>
      <w:r w:rsidRPr="00BD056F">
        <w:rPr>
          <w:rFonts w:ascii="Segoe UI" w:hAnsi="Segoe UI" w:cs="Segoe UI"/>
          <w:color w:val="000000" w:themeColor="text1"/>
          <w:lang w:val="en-GB"/>
        </w:rPr>
        <w:t>in order to</w:t>
      </w:r>
      <w:r w:rsidRPr="00BD056F">
        <w:rPr>
          <w:rFonts w:ascii="Segoe UI" w:hAnsi="Segoe UI" w:cs="Segoe UI"/>
          <w:color w:val="000000" w:themeColor="text1"/>
          <w:lang w:val="en-GB"/>
        </w:rPr>
        <w:t xml:space="preserve"> avoid conviction. This requirement shifts the responsibility onto protesters to actively asc</w:t>
      </w:r>
      <w:r w:rsidRPr="00BD056F">
        <w:rPr>
          <w:rFonts w:ascii="Segoe UI" w:hAnsi="Segoe UI" w:cs="Segoe UI"/>
          <w:color w:val="000000" w:themeColor="text1"/>
          <w:lang w:val="en-GB"/>
        </w:rPr>
        <w:t>ertain and understand any restrictions placed on their protests.</w:t>
      </w:r>
    </w:p>
    <w:p w:rsidR="00AE1CB5" w:rsidRPr="00BD056F" w:rsidP="00E21E1E">
      <w:pPr>
        <w:pStyle w:val="Body"/>
        <w:ind w:firstLine="0"/>
        <w:rPr>
          <w:rFonts w:ascii="Segoe UI" w:hAnsi="Segoe UI" w:cs="Segoe UI"/>
          <w:color w:val="000000" w:themeColor="text1"/>
        </w:rPr>
      </w:pPr>
    </w:p>
    <w:p w:rsidR="00AE1CB5" w:rsidRPr="00BD056F" w:rsidP="009C5496">
      <w:pPr>
        <w:pStyle w:val="Heading2"/>
        <w:rPr>
          <w:color w:val="000000" w:themeColor="text1"/>
          <w:sz w:val="22"/>
          <w:szCs w:val="22"/>
        </w:rPr>
      </w:pPr>
      <w:r w:rsidRPr="00BD056F">
        <w:rPr>
          <w:color w:val="000000" w:themeColor="text1"/>
          <w:sz w:val="22"/>
          <w:szCs w:val="22"/>
        </w:rPr>
        <w:t>6) Much of the legal framework for controlling public protest focuses on whether it causes serious disruption. Is some disruption a necessary feature of protest? How serious must disruption be to justify restrictions on protest? </w:t>
      </w:r>
    </w:p>
    <w:p w:rsidR="00AE1CB5" w:rsidRPr="00BD056F" w:rsidP="003C07D2">
      <w:pPr>
        <w:pStyle w:val="Body"/>
        <w:numPr>
          <w:ilvl w:val="0"/>
          <w:numId w:val="21"/>
        </w:numPr>
        <w:rPr>
          <w:rFonts w:ascii="Segoe UI" w:eastAsia="Segoe UI" w:hAnsi="Segoe UI" w:cs="Segoe UI"/>
          <w:color w:val="000000" w:themeColor="text1"/>
        </w:rPr>
      </w:pPr>
      <w:r w:rsidRPr="00BD056F">
        <w:rPr>
          <w:rFonts w:ascii="Segoe UI" w:eastAsia="Segoe UI" w:hAnsi="Segoe UI" w:cs="Segoe UI"/>
          <w:color w:val="000000" w:themeColor="text1"/>
        </w:rPr>
        <w:t>The reliance on ‘</w:t>
      </w:r>
      <w:r w:rsidRPr="00BD056F">
        <w:rPr>
          <w:rFonts w:ascii="Segoe UI" w:eastAsia="Segoe UI" w:hAnsi="Segoe UI" w:cs="Segoe UI"/>
          <w:color w:val="000000" w:themeColor="text1"/>
        </w:rPr>
        <w:t>serious’</w:t>
      </w:r>
      <w:r w:rsidRPr="00BD056F">
        <w:rPr>
          <w:rFonts w:ascii="Segoe UI" w:eastAsia="Segoe UI" w:hAnsi="Segoe UI" w:cs="Segoe UI"/>
          <w:color w:val="000000" w:themeColor="text1"/>
        </w:rPr>
        <w:t xml:space="preserve"> as a threshold in </w:t>
      </w:r>
      <w:r w:rsidRPr="00BD056F">
        <w:rPr>
          <w:rFonts w:ascii="Segoe UI" w:eastAsia="Segoe UI" w:hAnsi="Segoe UI" w:cs="Segoe UI"/>
          <w:color w:val="000000" w:themeColor="text1"/>
        </w:rPr>
        <w:t>s</w:t>
      </w:r>
      <w:r w:rsidRPr="00BD056F">
        <w:rPr>
          <w:rFonts w:ascii="Segoe UI" w:eastAsia="Segoe UI" w:hAnsi="Segoe UI" w:cs="Segoe UI"/>
          <w:color w:val="000000" w:themeColor="text1"/>
        </w:rPr>
        <w:t>ections 12 and 16 does not offer sufficient operational clarity for authorities. The qualifier ‘</w:t>
      </w:r>
      <w:r w:rsidRPr="00BD056F">
        <w:rPr>
          <w:rFonts w:ascii="Segoe UI" w:eastAsia="Segoe UI" w:hAnsi="Segoe UI" w:cs="Segoe UI"/>
          <w:color w:val="000000" w:themeColor="text1"/>
        </w:rPr>
        <w:t>serious’</w:t>
      </w:r>
      <w:r w:rsidRPr="00BD056F">
        <w:rPr>
          <w:rFonts w:ascii="Segoe UI" w:eastAsia="Segoe UI" w:hAnsi="Segoe UI" w:cs="Segoe UI"/>
          <w:color w:val="000000" w:themeColor="text1"/>
        </w:rPr>
        <w:t xml:space="preserve"> introduces a level of subjectivity that makes it impossible to apply consistently across the 43 police forces in England and Wales. This problem is not unique to the Public Order Act. A direct parallel can be drawn with the use of ‘</w:t>
      </w:r>
      <w:r w:rsidRPr="00BD056F">
        <w:rPr>
          <w:rFonts w:ascii="Segoe UI" w:eastAsia="Segoe UI" w:hAnsi="Segoe UI" w:cs="Segoe UI"/>
          <w:color w:val="000000" w:themeColor="text1"/>
        </w:rPr>
        <w:t>serious’</w:t>
      </w:r>
      <w:r w:rsidRPr="00BD056F">
        <w:rPr>
          <w:rFonts w:ascii="Segoe UI" w:eastAsia="Segoe UI" w:hAnsi="Segoe UI" w:cs="Segoe UI"/>
          <w:color w:val="000000" w:themeColor="text1"/>
        </w:rPr>
        <w:t xml:space="preserve"> in policing protocol relating to violence. An overview of the use of ‘serious violence’ across policing legislation, guidelines, and gover</w:t>
      </w:r>
      <w:r w:rsidRPr="00BD056F">
        <w:rPr>
          <w:rFonts w:ascii="Segoe UI" w:eastAsia="Segoe UI" w:hAnsi="Segoe UI" w:cs="Segoe UI"/>
          <w:color w:val="000000" w:themeColor="text1"/>
        </w:rPr>
        <w:t>nmental strategies demonstrates that the term is applied inconsistently and often without a fixed legal definition. For example:</w:t>
      </w:r>
    </w:p>
    <w:p w:rsidR="00AE1CB5" w:rsidRPr="00BD056F" w:rsidP="00AC13AE">
      <w:pPr>
        <w:pStyle w:val="Body"/>
        <w:ind w:left="720" w:firstLine="0"/>
        <w:rPr>
          <w:rFonts w:ascii="Segoe UI" w:eastAsia="Segoe UI" w:hAnsi="Segoe UI" w:cs="Segoe UI"/>
          <w:color w:val="000000" w:themeColor="text1"/>
        </w:rPr>
      </w:pPr>
    </w:p>
    <w:p w:rsidR="00AE1CB5" w:rsidRPr="00BD056F" w:rsidP="003C07D2">
      <w:pPr>
        <w:pStyle w:val="ListParagraph"/>
        <w:numPr>
          <w:ilvl w:val="0"/>
          <w:numId w:val="18"/>
        </w:numPr>
        <w:ind w:right="357"/>
        <w:jc w:val="both"/>
        <w:rPr>
          <w:rFonts w:ascii="Segoe UI" w:eastAsia="Segoe UI" w:hAnsi="Segoe UI" w:cs="Segoe UI"/>
          <w:color w:val="000000" w:themeColor="text1"/>
          <w:sz w:val="22"/>
          <w:szCs w:val="22"/>
        </w:rPr>
      </w:pPr>
      <w:r w:rsidRPr="00BD056F">
        <w:rPr>
          <w:rFonts w:ascii="Segoe UI" w:eastAsia="Segoe UI" w:hAnsi="Segoe UI" w:cs="Segoe UI"/>
          <w:color w:val="000000" w:themeColor="text1"/>
          <w:sz w:val="22"/>
          <w:szCs w:val="22"/>
        </w:rPr>
        <w:t xml:space="preserve">Section 60 of the Criminal Justice and Public Order Act (1994). Under this legislation, a police officer of inspector rank (or above) may </w:t>
      </w:r>
      <w:r w:rsidRPr="00BD056F">
        <w:rPr>
          <w:rFonts w:ascii="Segoe UI" w:eastAsia="Segoe UI" w:hAnsi="Segoe UI" w:cs="Segoe UI"/>
          <w:color w:val="000000" w:themeColor="text1"/>
          <w:sz w:val="22"/>
          <w:szCs w:val="22"/>
        </w:rPr>
        <w:t>authorise</w:t>
      </w:r>
      <w:r w:rsidRPr="00BD056F">
        <w:rPr>
          <w:rFonts w:ascii="Segoe UI" w:eastAsia="Segoe UI" w:hAnsi="Segoe UI" w:cs="Segoe UI"/>
          <w:color w:val="000000" w:themeColor="text1"/>
          <w:sz w:val="22"/>
          <w:szCs w:val="22"/>
        </w:rPr>
        <w:t xml:space="preserve"> officers to search any designated locality within their police area for up to 24 hours, if they reasonably believe that an incident involving ‘serious violence’ may take place. Crucially, however, the legislation does not define what constitutes ‘serious violence’, leaving officers to rely on their own judgement when determining whether the threshold is met. Initially introduced as a tactic to deal with mass gatherings with a propensity for violent disorder where weapons might be present – identif</w:t>
      </w:r>
      <w:r w:rsidRPr="00BD056F">
        <w:rPr>
          <w:rFonts w:ascii="Segoe UI" w:eastAsia="Segoe UI" w:hAnsi="Segoe UI" w:cs="Segoe UI"/>
          <w:color w:val="000000" w:themeColor="text1"/>
          <w:sz w:val="22"/>
          <w:szCs w:val="22"/>
        </w:rPr>
        <w:t xml:space="preserve">ied at the time as crowds at raves and around public houses, as well as football fans on matchdays – the remit of </w:t>
      </w:r>
      <w:r w:rsidRPr="00BD056F">
        <w:rPr>
          <w:rFonts w:ascii="Segoe UI" w:eastAsia="Segoe UI" w:hAnsi="Segoe UI" w:cs="Segoe UI"/>
          <w:color w:val="000000" w:themeColor="text1"/>
          <w:sz w:val="22"/>
          <w:szCs w:val="22"/>
        </w:rPr>
        <w:t>suspicionless</w:t>
      </w:r>
      <w:r w:rsidRPr="00BD056F">
        <w:rPr>
          <w:rFonts w:ascii="Segoe UI" w:eastAsia="Segoe UI" w:hAnsi="Segoe UI" w:cs="Segoe UI"/>
          <w:color w:val="000000" w:themeColor="text1"/>
          <w:sz w:val="22"/>
          <w:szCs w:val="22"/>
        </w:rPr>
        <w:t xml:space="preserve"> stop and search powers has since crept far beyond their original purpose.</w:t>
      </w:r>
      <w:r>
        <w:rPr>
          <w:rStyle w:val="EndnoteReference"/>
          <w:rFonts w:ascii="Segoe UI" w:eastAsia="Segoe UI" w:hAnsi="Segoe UI" w:cs="Segoe UI"/>
          <w:color w:val="000000" w:themeColor="text1"/>
          <w:sz w:val="22"/>
          <w:szCs w:val="22"/>
        </w:rPr>
        <w:endnoteReference w:id="10"/>
      </w:r>
      <w:r w:rsidRPr="00BD056F">
        <w:rPr>
          <w:rFonts w:ascii="Segoe UI" w:eastAsia="Segoe UI" w:hAnsi="Segoe UI" w:cs="Segoe UI"/>
          <w:color w:val="000000" w:themeColor="text1"/>
          <w:sz w:val="22"/>
          <w:szCs w:val="22"/>
        </w:rPr>
        <w:t xml:space="preserve"> The uncertainty on how to use the power is apparent by the fact that it is no longer used as intended. For a power initially dedicated to dealing with violence at football matches, section 60 was used only 11 times at football grounds in the seven years preceding 2024.</w:t>
      </w:r>
      <w:r>
        <w:rPr>
          <w:rStyle w:val="EndnoteReference"/>
          <w:rFonts w:ascii="Segoe UI" w:eastAsia="Segoe UI" w:hAnsi="Segoe UI" w:cs="Segoe UI"/>
          <w:color w:val="000000" w:themeColor="text1"/>
          <w:sz w:val="22"/>
          <w:szCs w:val="22"/>
        </w:rPr>
        <w:endnoteReference w:id="11"/>
      </w:r>
      <w:r w:rsidRPr="00BD056F">
        <w:rPr>
          <w:rFonts w:ascii="Segoe UI" w:eastAsia="Segoe UI" w:hAnsi="Segoe UI" w:cs="Segoe UI"/>
          <w:color w:val="000000" w:themeColor="text1"/>
          <w:sz w:val="22"/>
          <w:szCs w:val="22"/>
        </w:rPr>
        <w:t xml:space="preserve"> This is compared to more than 350 uses of section 35 dispersal orders on football crowds over the same period.</w:t>
      </w:r>
    </w:p>
    <w:p w:rsidR="00AE1CB5" w:rsidRPr="00BD056F" w:rsidP="00187A42">
      <w:pPr>
        <w:pStyle w:val="ListParagraph"/>
        <w:numPr>
          <w:ilvl w:val="0"/>
          <w:numId w:val="18"/>
        </w:numPr>
        <w:ind w:left="714" w:right="357" w:hanging="357"/>
        <w:jc w:val="both"/>
        <w:rPr>
          <w:rFonts w:ascii="Segoe UI" w:eastAsia="Segoe UI" w:hAnsi="Segoe UI" w:cs="Segoe UI"/>
          <w:color w:val="000000" w:themeColor="text1"/>
          <w:sz w:val="22"/>
          <w:szCs w:val="22"/>
        </w:rPr>
      </w:pPr>
      <w:r w:rsidRPr="00BD056F">
        <w:rPr>
          <w:rFonts w:ascii="Segoe UI" w:eastAsia="Segoe UI" w:hAnsi="Segoe UI" w:cs="Segoe UI"/>
          <w:color w:val="000000" w:themeColor="text1"/>
          <w:sz w:val="22"/>
          <w:szCs w:val="22"/>
        </w:rPr>
        <w:t xml:space="preserve">Anti-terrorism, Crime and Security Act (2001). The legislation allows </w:t>
      </w:r>
      <w:r w:rsidRPr="00BD056F">
        <w:rPr>
          <w:rFonts w:ascii="Segoe UI" w:eastAsia="Segoe UI" w:hAnsi="Segoe UI" w:cs="Segoe UI"/>
          <w:color w:val="000000" w:themeColor="text1"/>
          <w:sz w:val="22"/>
          <w:szCs w:val="22"/>
        </w:rPr>
        <w:t>stop</w:t>
      </w:r>
      <w:r w:rsidRPr="00BD056F">
        <w:rPr>
          <w:rFonts w:ascii="Segoe UI" w:eastAsia="Segoe UI" w:hAnsi="Segoe UI" w:cs="Segoe UI"/>
          <w:color w:val="000000" w:themeColor="text1"/>
          <w:sz w:val="22"/>
          <w:szCs w:val="22"/>
        </w:rPr>
        <w:t xml:space="preserve"> and </w:t>
      </w:r>
      <w:r w:rsidRPr="00BD056F">
        <w:rPr>
          <w:rFonts w:ascii="Segoe UI" w:eastAsia="Segoe UI" w:hAnsi="Segoe UI" w:cs="Segoe UI"/>
          <w:color w:val="000000" w:themeColor="text1"/>
          <w:sz w:val="22"/>
          <w:szCs w:val="22"/>
        </w:rPr>
        <w:t>search</w:t>
      </w:r>
      <w:r w:rsidRPr="00BD056F">
        <w:rPr>
          <w:rFonts w:ascii="Segoe UI" w:eastAsia="Segoe UI" w:hAnsi="Segoe UI" w:cs="Segoe UI"/>
          <w:color w:val="000000" w:themeColor="text1"/>
          <w:sz w:val="22"/>
          <w:szCs w:val="22"/>
        </w:rPr>
        <w:t xml:space="preserve"> if an officer ‘reasonably believes that incidents involving serious violence may take place’. There is no clear definition of what constitutes ‘serious violence’. It is left to the subjective interpretation by officers, which may lead to inconsistent application. Research</w:t>
      </w:r>
      <w:r w:rsidRPr="00BD056F">
        <w:rPr>
          <w:rFonts w:ascii="Segoe UI" w:eastAsia="Segoe UI" w:hAnsi="Segoe UI" w:cs="Segoe UI"/>
          <w:color w:val="000000" w:themeColor="text1"/>
          <w:sz w:val="22"/>
          <w:szCs w:val="22"/>
        </w:rPr>
        <w:t xml:space="preserve"> has shown that high discretion on decision-making by individual </w:t>
      </w:r>
      <w:r w:rsidRPr="00BD056F">
        <w:rPr>
          <w:rFonts w:ascii="Segoe UI" w:eastAsia="Segoe UI" w:hAnsi="Segoe UI" w:cs="Segoe UI"/>
          <w:color w:val="000000" w:themeColor="text1"/>
          <w:sz w:val="22"/>
          <w:szCs w:val="22"/>
        </w:rPr>
        <w:t>officers</w:t>
      </w:r>
      <w:r w:rsidRPr="00BD056F">
        <w:rPr>
          <w:rFonts w:ascii="Segoe UI" w:eastAsia="Segoe UI" w:hAnsi="Segoe UI" w:cs="Segoe UI"/>
          <w:color w:val="000000" w:themeColor="text1"/>
          <w:sz w:val="22"/>
          <w:szCs w:val="22"/>
        </w:rPr>
        <w:t xml:space="preserve"> results in widely different practice.</w:t>
      </w:r>
      <w:r>
        <w:rPr>
          <w:rStyle w:val="EndnoteReference"/>
          <w:rFonts w:ascii="Segoe UI" w:eastAsia="Segoe UI" w:hAnsi="Segoe UI" w:cs="Segoe UI"/>
          <w:color w:val="000000" w:themeColor="text1"/>
          <w:sz w:val="22"/>
          <w:szCs w:val="22"/>
        </w:rPr>
        <w:endnoteReference w:id="12"/>
      </w:r>
      <w:r w:rsidRPr="00BD056F">
        <w:rPr>
          <w:rFonts w:ascii="Segoe UI" w:eastAsia="Segoe UI" w:hAnsi="Segoe UI" w:cs="Segoe UI"/>
          <w:color w:val="000000" w:themeColor="text1"/>
          <w:sz w:val="22"/>
          <w:szCs w:val="22"/>
        </w:rPr>
        <w:t xml:space="preserve"> Searches can be done without suspicion of a specific individual. This opens the door to the targeting of </w:t>
      </w:r>
      <w:r w:rsidRPr="00BD056F">
        <w:rPr>
          <w:rFonts w:ascii="Segoe UI" w:eastAsia="Segoe UI" w:hAnsi="Segoe UI" w:cs="Segoe UI"/>
          <w:color w:val="000000" w:themeColor="text1"/>
          <w:sz w:val="22"/>
          <w:szCs w:val="22"/>
        </w:rPr>
        <w:t>marginalised</w:t>
      </w:r>
      <w:r w:rsidRPr="00BD056F">
        <w:rPr>
          <w:rFonts w:ascii="Segoe UI" w:eastAsia="Segoe UI" w:hAnsi="Segoe UI" w:cs="Segoe UI"/>
          <w:color w:val="000000" w:themeColor="text1"/>
          <w:sz w:val="22"/>
          <w:szCs w:val="22"/>
        </w:rPr>
        <w:t xml:space="preserve"> groups and the erosion of public trust where the ‘serious violence’ threshold is vague.</w:t>
      </w:r>
    </w:p>
    <w:p w:rsidR="00AE1CB5" w:rsidRPr="00BD056F" w:rsidP="00187A42">
      <w:pPr>
        <w:pStyle w:val="ListParagraph"/>
        <w:numPr>
          <w:ilvl w:val="0"/>
          <w:numId w:val="18"/>
        </w:numPr>
        <w:ind w:left="714" w:right="357" w:hanging="357"/>
        <w:jc w:val="both"/>
        <w:rPr>
          <w:rFonts w:ascii="Segoe UI" w:eastAsia="Segoe UI" w:hAnsi="Segoe UI" w:cs="Segoe UI"/>
          <w:color w:val="000000" w:themeColor="text1"/>
          <w:sz w:val="22"/>
          <w:szCs w:val="22"/>
        </w:rPr>
      </w:pPr>
      <w:r w:rsidRPr="00BD056F">
        <w:rPr>
          <w:rFonts w:ascii="Segoe UI" w:eastAsia="Segoe UI" w:hAnsi="Segoe UI" w:cs="Segoe UI"/>
          <w:color w:val="000000" w:themeColor="text1"/>
          <w:sz w:val="22"/>
          <w:szCs w:val="22"/>
        </w:rPr>
        <w:t xml:space="preserve">The Serious Violence Duty (Police, Crime, Sentencing and Courts Act 2022) does not provide a specific legal definition of what constitutes serious violence. Interpretation can vary widely between local areas and agencies, leading to inconsistent implementation about which crimes and </w:t>
      </w:r>
      <w:r w:rsidRPr="00BD056F">
        <w:rPr>
          <w:rFonts w:ascii="Segoe UI" w:eastAsia="Segoe UI" w:hAnsi="Segoe UI" w:cs="Segoe UI"/>
          <w:color w:val="000000" w:themeColor="text1"/>
          <w:sz w:val="22"/>
          <w:szCs w:val="22"/>
        </w:rPr>
        <w:t>behaviours</w:t>
      </w:r>
      <w:r w:rsidRPr="00BD056F">
        <w:rPr>
          <w:rFonts w:ascii="Segoe UI" w:eastAsia="Segoe UI" w:hAnsi="Segoe UI" w:cs="Segoe UI"/>
          <w:color w:val="000000" w:themeColor="text1"/>
          <w:sz w:val="22"/>
          <w:szCs w:val="22"/>
        </w:rPr>
        <w:t xml:space="preserve"> fall under the scope of this duty. In this legislation, the term ‘serious violence’ is applied to a wide array of offences, including knife crime, gun crime, homicide, domestic abuse, and sexual offences. By </w:t>
      </w:r>
      <w:r w:rsidRPr="00BD056F">
        <w:rPr>
          <w:rFonts w:ascii="Segoe UI" w:eastAsia="Segoe UI" w:hAnsi="Segoe UI" w:cs="Segoe UI"/>
          <w:color w:val="000000" w:themeColor="text1"/>
          <w:sz w:val="22"/>
          <w:szCs w:val="22"/>
        </w:rPr>
        <w:t>combining together</w:t>
      </w:r>
      <w:r w:rsidRPr="00BD056F">
        <w:rPr>
          <w:rFonts w:ascii="Segoe UI" w:eastAsia="Segoe UI" w:hAnsi="Segoe UI" w:cs="Segoe UI"/>
          <w:color w:val="000000" w:themeColor="text1"/>
          <w:sz w:val="22"/>
          <w:szCs w:val="22"/>
        </w:rPr>
        <w:t xml:space="preserve"> diverse forms of violence under one specific category, the provision risks diluting focus, making it harder to tailor effective strategies to specific types of violence. For example, interpersonal violence versus gang-related activity. ‘Serious violence’ may be conflated wi</w:t>
      </w:r>
      <w:r w:rsidRPr="00BD056F">
        <w:rPr>
          <w:rFonts w:ascii="Segoe UI" w:eastAsia="Segoe UI" w:hAnsi="Segoe UI" w:cs="Segoe UI"/>
          <w:color w:val="000000" w:themeColor="text1"/>
          <w:sz w:val="22"/>
          <w:szCs w:val="22"/>
        </w:rPr>
        <w:t xml:space="preserve">th other societal harms such as domestic abuse and sexual violence, which may have differing causes and require distinct interventions. This blending can reduce the </w:t>
      </w:r>
      <w:r w:rsidRPr="00BD056F">
        <w:rPr>
          <w:rFonts w:ascii="Segoe UI" w:eastAsia="Segoe UI" w:hAnsi="Segoe UI" w:cs="Segoe UI"/>
          <w:color w:val="000000" w:themeColor="text1"/>
          <w:sz w:val="22"/>
          <w:szCs w:val="22"/>
        </w:rPr>
        <w:t>effectiveness of strategies by failing to acknowledge the unique dynamics of different types of violence.</w:t>
      </w:r>
    </w:p>
    <w:p w:rsidR="00AE1CB5" w:rsidRPr="00BD056F" w:rsidP="00187A42">
      <w:pPr>
        <w:pStyle w:val="ListParagraph"/>
        <w:numPr>
          <w:ilvl w:val="0"/>
          <w:numId w:val="18"/>
        </w:numPr>
        <w:ind w:left="714" w:right="357" w:hanging="357"/>
        <w:jc w:val="both"/>
        <w:rPr>
          <w:rFonts w:ascii="Segoe UI" w:eastAsia="Segoe UI" w:hAnsi="Segoe UI" w:cs="Segoe UI"/>
          <w:color w:val="000000" w:themeColor="text1"/>
          <w:sz w:val="22"/>
          <w:szCs w:val="22"/>
        </w:rPr>
      </w:pPr>
      <w:r w:rsidRPr="00BD056F">
        <w:rPr>
          <w:rFonts w:ascii="Segoe UI" w:eastAsia="Segoe UI" w:hAnsi="Segoe UI" w:cs="Segoe UI"/>
          <w:color w:val="000000" w:themeColor="text1"/>
          <w:sz w:val="22"/>
          <w:szCs w:val="22"/>
        </w:rPr>
        <w:t>Police, Crime, Sentencing and Courts Act (2022) s13(3)(</w:t>
      </w:r>
      <w:r w:rsidRPr="00BD056F">
        <w:rPr>
          <w:rFonts w:ascii="Segoe UI" w:eastAsia="Segoe UI" w:hAnsi="Segoe UI" w:cs="Segoe UI"/>
          <w:color w:val="000000" w:themeColor="text1"/>
          <w:sz w:val="22"/>
          <w:szCs w:val="22"/>
        </w:rPr>
        <w:t>a)(</w:t>
      </w:r>
      <w:r w:rsidRPr="00BD056F">
        <w:rPr>
          <w:rFonts w:ascii="Segoe UI" w:eastAsia="Segoe UI" w:hAnsi="Segoe UI" w:cs="Segoe UI"/>
          <w:color w:val="000000" w:themeColor="text1"/>
          <w:sz w:val="22"/>
          <w:szCs w:val="22"/>
        </w:rPr>
        <w:t xml:space="preserve">i-iv). The definition includes a wide range of </w:t>
      </w:r>
      <w:r w:rsidRPr="00BD056F">
        <w:rPr>
          <w:rFonts w:ascii="Segoe UI" w:eastAsia="Segoe UI" w:hAnsi="Segoe UI" w:cs="Segoe UI"/>
          <w:color w:val="000000" w:themeColor="text1"/>
          <w:sz w:val="22"/>
          <w:szCs w:val="22"/>
        </w:rPr>
        <w:t>behaviours</w:t>
      </w:r>
      <w:r w:rsidRPr="00BD056F">
        <w:rPr>
          <w:rFonts w:ascii="Segoe UI" w:eastAsia="Segoe UI" w:hAnsi="Segoe UI" w:cs="Segoe UI"/>
          <w:color w:val="000000" w:themeColor="text1"/>
          <w:sz w:val="22"/>
          <w:szCs w:val="22"/>
        </w:rPr>
        <w:t xml:space="preserve">, from domestic abuse and sexual offences to violence against property and threats. Such a broad definition lacks specificity, making it difficult to </w:t>
      </w:r>
      <w:r w:rsidRPr="00BD056F">
        <w:rPr>
          <w:rFonts w:ascii="Segoe UI" w:eastAsia="Segoe UI" w:hAnsi="Segoe UI" w:cs="Segoe UI"/>
          <w:color w:val="000000" w:themeColor="text1"/>
          <w:sz w:val="22"/>
          <w:szCs w:val="22"/>
        </w:rPr>
        <w:t>operationalise</w:t>
      </w:r>
      <w:r w:rsidRPr="00BD056F">
        <w:rPr>
          <w:rFonts w:ascii="Segoe UI" w:eastAsia="Segoe UI" w:hAnsi="Segoe UI" w:cs="Segoe UI"/>
          <w:color w:val="000000" w:themeColor="text1"/>
          <w:sz w:val="22"/>
          <w:szCs w:val="22"/>
        </w:rPr>
        <w:t xml:space="preserve"> in data collection, research or intervention planning. By explicitly including threats of violence and violence against property, the definition strays from more traditional interpretations of ‘serious violence’ which typically involve physical harm or the risk of it. The definition lac</w:t>
      </w:r>
      <w:r w:rsidRPr="00BD056F">
        <w:rPr>
          <w:rFonts w:ascii="Segoe UI" w:eastAsia="Segoe UI" w:hAnsi="Segoe UI" w:cs="Segoe UI"/>
          <w:color w:val="000000" w:themeColor="text1"/>
          <w:sz w:val="22"/>
          <w:szCs w:val="22"/>
        </w:rPr>
        <w:t xml:space="preserve">ks </w:t>
      </w:r>
      <w:r w:rsidRPr="00BD056F">
        <w:rPr>
          <w:rFonts w:ascii="Segoe UI" w:eastAsia="Segoe UI" w:hAnsi="Segoe UI" w:cs="Segoe UI"/>
          <w:color w:val="000000" w:themeColor="text1"/>
          <w:sz w:val="22"/>
          <w:szCs w:val="22"/>
        </w:rPr>
        <w:t>a clear</w:t>
      </w:r>
      <w:r w:rsidRPr="00BD056F">
        <w:rPr>
          <w:rFonts w:ascii="Segoe UI" w:eastAsia="Segoe UI" w:hAnsi="Segoe UI" w:cs="Segoe UI"/>
          <w:color w:val="000000" w:themeColor="text1"/>
          <w:sz w:val="22"/>
          <w:szCs w:val="22"/>
        </w:rPr>
        <w:t xml:space="preserve"> inclusion and exclusion criteria, making it difficult to reliably track trends, compare </w:t>
      </w:r>
      <w:r w:rsidRPr="00BD056F">
        <w:rPr>
          <w:rFonts w:ascii="Segoe UI" w:eastAsia="Segoe UI" w:hAnsi="Segoe UI" w:cs="Segoe UI"/>
          <w:color w:val="000000" w:themeColor="text1"/>
          <w:sz w:val="22"/>
          <w:szCs w:val="22"/>
        </w:rPr>
        <w:t>across jurisdictions,</w:t>
      </w:r>
      <w:r w:rsidRPr="00BD056F">
        <w:rPr>
          <w:rFonts w:ascii="Segoe UI" w:eastAsia="Segoe UI" w:hAnsi="Segoe UI" w:cs="Segoe UI"/>
          <w:color w:val="000000" w:themeColor="text1"/>
          <w:sz w:val="22"/>
          <w:szCs w:val="22"/>
        </w:rPr>
        <w:t xml:space="preserve"> and evaluate intervention outcomes. The inclusion of property damage or non-contact threats under the umbrella of serious violence may lead to over-policing of less serious </w:t>
      </w:r>
      <w:r w:rsidRPr="00BD056F">
        <w:rPr>
          <w:rFonts w:ascii="Segoe UI" w:eastAsia="Segoe UI" w:hAnsi="Segoe UI" w:cs="Segoe UI"/>
          <w:color w:val="000000" w:themeColor="text1"/>
          <w:sz w:val="22"/>
          <w:szCs w:val="22"/>
        </w:rPr>
        <w:t>behaviours</w:t>
      </w:r>
      <w:r w:rsidRPr="00BD056F">
        <w:rPr>
          <w:rFonts w:ascii="Segoe UI" w:eastAsia="Segoe UI" w:hAnsi="Segoe UI" w:cs="Segoe UI"/>
          <w:color w:val="000000" w:themeColor="text1"/>
          <w:sz w:val="22"/>
          <w:szCs w:val="22"/>
        </w:rPr>
        <w:t xml:space="preserve"> and inappropriate allocations of resources intended for preventing harmful violence. </w:t>
      </w:r>
    </w:p>
    <w:p w:rsidR="00AE1CB5" w:rsidRPr="00BD056F" w:rsidP="00187A42">
      <w:pPr>
        <w:pStyle w:val="ListParagraph"/>
        <w:numPr>
          <w:ilvl w:val="0"/>
          <w:numId w:val="18"/>
        </w:numPr>
        <w:ind w:left="714" w:right="357" w:hanging="357"/>
        <w:jc w:val="both"/>
        <w:rPr>
          <w:rFonts w:ascii="Segoe UI" w:eastAsia="Segoe UI" w:hAnsi="Segoe UI" w:cs="Segoe UI"/>
          <w:color w:val="000000" w:themeColor="text1"/>
          <w:sz w:val="22"/>
          <w:szCs w:val="22"/>
        </w:rPr>
      </w:pPr>
      <w:r w:rsidRPr="00BD056F">
        <w:rPr>
          <w:rFonts w:ascii="Segoe UI" w:eastAsia="Segoe UI" w:hAnsi="Segoe UI" w:cs="Segoe UI"/>
          <w:color w:val="000000" w:themeColor="text1"/>
          <w:sz w:val="22"/>
          <w:szCs w:val="22"/>
        </w:rPr>
        <w:t>His Majesty's Government ‘Serious Violence Strategy’ (2018).</w:t>
      </w:r>
      <w:r>
        <w:rPr>
          <w:rStyle w:val="EndnoteReference"/>
          <w:rFonts w:ascii="Segoe UI" w:eastAsia="Segoe UI" w:hAnsi="Segoe UI" w:cs="Segoe UI"/>
          <w:color w:val="000000" w:themeColor="text1"/>
          <w:sz w:val="22"/>
          <w:szCs w:val="22"/>
        </w:rPr>
        <w:endnoteReference w:id="13"/>
      </w:r>
      <w:r w:rsidRPr="00BD056F">
        <w:rPr>
          <w:rFonts w:ascii="Segoe UI" w:eastAsia="Segoe UI" w:hAnsi="Segoe UI" w:cs="Segoe UI"/>
          <w:color w:val="000000" w:themeColor="text1"/>
          <w:sz w:val="22"/>
          <w:szCs w:val="22"/>
        </w:rPr>
        <w:t xml:space="preserve"> Whilst the strategy outlines examples of 'serious violence', it does not provide a precise or universally binding definition of 'serious violence'. The flexibility in local definitions, while allowing tailoring, also leads to fragmentation.</w:t>
      </w:r>
    </w:p>
    <w:p w:rsidR="00AE1CB5" w:rsidRPr="00BD056F" w:rsidP="00187A42">
      <w:pPr>
        <w:pStyle w:val="ListParagraph"/>
        <w:numPr>
          <w:ilvl w:val="0"/>
          <w:numId w:val="18"/>
        </w:numPr>
        <w:ind w:left="714" w:right="357" w:hanging="357"/>
        <w:jc w:val="both"/>
        <w:rPr>
          <w:rFonts w:ascii="Segoe UI" w:eastAsia="Segoe UI" w:hAnsi="Segoe UI" w:cs="Segoe UI"/>
          <w:color w:val="000000" w:themeColor="text1"/>
          <w:sz w:val="22"/>
          <w:szCs w:val="22"/>
        </w:rPr>
      </w:pPr>
      <w:r w:rsidRPr="00BD056F">
        <w:rPr>
          <w:rFonts w:ascii="Segoe UI" w:eastAsia="Segoe UI" w:hAnsi="Segoe UI" w:cs="Segoe UI"/>
          <w:color w:val="000000" w:themeColor="text1"/>
          <w:sz w:val="22"/>
          <w:szCs w:val="22"/>
        </w:rPr>
        <w:t>The Mayor’s Violence Against Women and Girls Strategy 2022-25.</w:t>
      </w:r>
      <w:r>
        <w:rPr>
          <w:rStyle w:val="EndnoteReference"/>
          <w:rFonts w:ascii="Segoe UI" w:eastAsia="Segoe UI" w:hAnsi="Segoe UI" w:cs="Segoe UI"/>
          <w:color w:val="000000" w:themeColor="text1"/>
          <w:sz w:val="22"/>
          <w:szCs w:val="22"/>
        </w:rPr>
        <w:endnoteReference w:id="14"/>
      </w:r>
      <w:r w:rsidRPr="00BD056F">
        <w:rPr>
          <w:rFonts w:ascii="Segoe UI" w:eastAsia="Segoe UI" w:hAnsi="Segoe UI" w:cs="Segoe UI"/>
          <w:color w:val="000000" w:themeColor="text1"/>
          <w:sz w:val="22"/>
          <w:szCs w:val="22"/>
        </w:rPr>
        <w:t xml:space="preserve"> The VAWG Strategy includes psychological harm, coercion, harassment and deprivation of liberty. The legal definition focuses on physical violence, threats, and property-related violence, excluding many forms of non-physical abuse that are central to women’s experiences of domestic abuse. The VAWG Strategy highlights how much of the most damaging violence happens in private, in homes, relationships and online. Yet, the legislative definition does not distinguish between public and private spaces.</w:t>
      </w:r>
    </w:p>
    <w:p w:rsidR="00AE1CB5" w:rsidRPr="00BD056F" w:rsidP="00187A42">
      <w:pPr>
        <w:jc w:val="both"/>
        <w:rPr>
          <w:rFonts w:ascii="Segoe UI" w:eastAsia="Segoe UI" w:hAnsi="Segoe UI" w:cs="Segoe UI"/>
          <w:color w:val="000000" w:themeColor="text1"/>
          <w:sz w:val="22"/>
          <w:szCs w:val="22"/>
        </w:rPr>
      </w:pPr>
    </w:p>
    <w:p w:rsidR="00AE1CB5" w:rsidRPr="00BD056F" w:rsidP="003C07D2">
      <w:pPr>
        <w:pStyle w:val="Body"/>
        <w:numPr>
          <w:ilvl w:val="0"/>
          <w:numId w:val="21"/>
        </w:numPr>
        <w:rPr>
          <w:rFonts w:ascii="Segoe UI" w:eastAsia="Segoe UI" w:hAnsi="Segoe UI" w:cs="Segoe UI"/>
          <w:color w:val="000000" w:themeColor="text1"/>
        </w:rPr>
      </w:pPr>
      <w:r w:rsidRPr="00BD056F">
        <w:rPr>
          <w:rFonts w:ascii="Segoe UI" w:eastAsia="Segoe UI" w:hAnsi="Segoe UI" w:cs="Segoe UI"/>
          <w:color w:val="000000" w:themeColor="text1"/>
        </w:rPr>
        <w:t>These variations show that ‘</w:t>
      </w:r>
      <w:r w:rsidRPr="00BD056F">
        <w:rPr>
          <w:rFonts w:ascii="Segoe UI" w:eastAsia="Segoe UI" w:hAnsi="Segoe UI" w:cs="Segoe UI"/>
          <w:color w:val="000000" w:themeColor="text1"/>
        </w:rPr>
        <w:t>serious’</w:t>
      </w:r>
      <w:r w:rsidRPr="00BD056F">
        <w:rPr>
          <w:rFonts w:ascii="Segoe UI" w:eastAsia="Segoe UI" w:hAnsi="Segoe UI" w:cs="Segoe UI"/>
          <w:color w:val="000000" w:themeColor="text1"/>
        </w:rPr>
        <w:t xml:space="preserve"> is an unstable qualifier. What one agency, police force, or local partnership interprets as ‘serious</w:t>
      </w:r>
      <w:r w:rsidRPr="00BD056F">
        <w:rPr>
          <w:rFonts w:ascii="Segoe UI" w:eastAsia="Segoe UI" w:hAnsi="Segoe UI" w:cs="Segoe UI"/>
          <w:color w:val="000000" w:themeColor="text1"/>
        </w:rPr>
        <w:t>’,</w:t>
      </w:r>
      <w:r w:rsidRPr="00BD056F">
        <w:rPr>
          <w:rFonts w:ascii="Segoe UI" w:eastAsia="Segoe UI" w:hAnsi="Segoe UI" w:cs="Segoe UI"/>
          <w:color w:val="000000" w:themeColor="text1"/>
        </w:rPr>
        <w:t xml:space="preserve"> another may not. Such a high degree of officer discretion runs counter to the Court of Appeal decision in Bridges case which affirmed that a public authority's actions must be accessible and foreseeable (which includes not having overly broad discretion) in order to meet the 'in accordance with the law' standard.</w:t>
      </w:r>
      <w:r>
        <w:rPr>
          <w:color w:val="000000" w:themeColor="text1"/>
        </w:rPr>
        <w:endnoteReference w:id="15"/>
      </w:r>
      <w:r w:rsidRPr="00BD056F">
        <w:rPr>
          <w:rFonts w:ascii="Segoe UI" w:eastAsia="Segoe UI" w:hAnsi="Segoe UI" w:cs="Segoe UI"/>
          <w:color w:val="000000" w:themeColor="text1"/>
        </w:rPr>
        <w:t xml:space="preserve"> The result is fragmentation, inconsistency, and, critically, a lack of legal certainty for those subject to the law. If decades of policing experience with the term ‘serious violence’ have yielded ambiguity, it follows that the same outcome is likely when applying serious to disruption.</w:t>
      </w:r>
    </w:p>
    <w:p w:rsidR="00AE1CB5" w:rsidRPr="00BD056F" w:rsidP="003C07D2">
      <w:pPr>
        <w:pStyle w:val="Body"/>
        <w:ind w:left="720" w:firstLine="0"/>
        <w:rPr>
          <w:rFonts w:ascii="Segoe UI" w:eastAsia="Segoe UI" w:hAnsi="Segoe UI" w:cs="Segoe UI"/>
          <w:color w:val="000000" w:themeColor="text1"/>
        </w:rPr>
      </w:pPr>
    </w:p>
    <w:p w:rsidR="00AE1CB5" w:rsidRPr="00BD056F" w:rsidP="003C07D2">
      <w:pPr>
        <w:pStyle w:val="Body"/>
        <w:numPr>
          <w:ilvl w:val="0"/>
          <w:numId w:val="21"/>
        </w:numPr>
        <w:rPr>
          <w:rFonts w:ascii="Segoe UI" w:eastAsia="Segoe UI" w:hAnsi="Segoe UI" w:cs="Segoe UI"/>
          <w:color w:val="000000" w:themeColor="text1"/>
        </w:rPr>
      </w:pPr>
      <w:r w:rsidRPr="00BD056F">
        <w:rPr>
          <w:rFonts w:ascii="Segoe UI" w:eastAsia="Segoe UI" w:hAnsi="Segoe UI" w:cs="Segoe UI"/>
          <w:color w:val="000000" w:themeColor="text1"/>
        </w:rPr>
        <w:t xml:space="preserve">This lack of clarity raises two significant risks. First, inconsistent decision-making undermines public confidence in both the fairness and lawfulness of police use of public order powers. Vague definitions can justify intrusive surveillance or interventions, even in the absence of criminal </w:t>
      </w:r>
      <w:r w:rsidRPr="00BD056F">
        <w:rPr>
          <w:rFonts w:ascii="Segoe UI" w:eastAsia="Segoe UI" w:hAnsi="Segoe UI" w:cs="Segoe UI"/>
          <w:color w:val="000000" w:themeColor="text1"/>
        </w:rPr>
        <w:t>behaviour</w:t>
      </w:r>
      <w:r w:rsidRPr="00BD056F">
        <w:rPr>
          <w:rFonts w:ascii="Segoe UI" w:eastAsia="Segoe UI" w:hAnsi="Segoe UI" w:cs="Segoe UI"/>
          <w:color w:val="000000" w:themeColor="text1"/>
        </w:rPr>
        <w:t xml:space="preserve">, potentially undermining trust between communities and public bodies. Second, it places officers in an invidious position, balancing fundamental rights </w:t>
      </w:r>
      <w:r w:rsidRPr="00BD056F">
        <w:rPr>
          <w:rFonts w:ascii="Segoe UI" w:eastAsia="Segoe UI" w:hAnsi="Segoe UI" w:cs="Segoe UI"/>
          <w:color w:val="000000" w:themeColor="text1"/>
        </w:rPr>
        <w:t>on the basis of</w:t>
      </w:r>
      <w:r w:rsidRPr="00BD056F">
        <w:rPr>
          <w:rFonts w:ascii="Segoe UI" w:eastAsia="Segoe UI" w:hAnsi="Segoe UI" w:cs="Segoe UI"/>
          <w:color w:val="000000" w:themeColor="text1"/>
        </w:rPr>
        <w:t xml:space="preserve"> a standard that is not objectively measurable. These risks are amplified given the heightened scrutiny of protest policing and the constitutional importance of safeguarding democratic freedoms.</w:t>
      </w:r>
    </w:p>
    <w:p w:rsidR="00AE1CB5" w:rsidRPr="00BD056F" w:rsidP="009D6EB4">
      <w:pPr>
        <w:rPr>
          <w:rFonts w:ascii="Segoe UI" w:hAnsi="Segoe UI" w:cs="Segoe UI"/>
          <w:color w:val="000000" w:themeColor="text1"/>
          <w:sz w:val="22"/>
          <w:szCs w:val="22"/>
          <w:lang w:eastAsia="en-GB"/>
        </w:rPr>
      </w:pPr>
    </w:p>
    <w:p w:rsidR="00AE1CB5" w:rsidRPr="00BD056F" w:rsidP="00FE7119">
      <w:pPr>
        <w:pStyle w:val="Heading2"/>
        <w:rPr>
          <w:color w:val="000000" w:themeColor="text1"/>
          <w:sz w:val="22"/>
          <w:szCs w:val="22"/>
        </w:rPr>
      </w:pPr>
      <w:r w:rsidRPr="00BD056F">
        <w:rPr>
          <w:color w:val="000000" w:themeColor="text1"/>
          <w:sz w:val="22"/>
          <w:szCs w:val="22"/>
        </w:rPr>
        <w:t>11) The Government is currently consulting on “a new legal framework for law enforcement use of biometrics, facial recognition and similar technologies”. Does the use of these technologies in respect of protest raise distinct human rights concerns and how best can they be addressed?</w:t>
      </w:r>
    </w:p>
    <w:p w:rsidR="00AE1CB5" w:rsidRPr="00BD056F" w:rsidP="003C07D2">
      <w:pPr>
        <w:pStyle w:val="Body"/>
        <w:numPr>
          <w:ilvl w:val="0"/>
          <w:numId w:val="21"/>
        </w:numPr>
        <w:rPr>
          <w:rFonts w:ascii="Segoe UI" w:hAnsi="Segoe UI" w:cs="Segoe UI"/>
          <w:color w:val="000000" w:themeColor="text1"/>
        </w:rPr>
      </w:pPr>
      <w:r w:rsidRPr="00BD056F">
        <w:rPr>
          <w:rFonts w:ascii="Segoe UI" w:hAnsi="Segoe UI" w:cs="Segoe UI"/>
          <w:color w:val="000000" w:themeColor="text1"/>
        </w:rPr>
        <w:t xml:space="preserve">Biometric technologies enable identification at a distance, without consent, and without the knowledge of the person being </w:t>
      </w:r>
      <w:r w:rsidRPr="00BD056F">
        <w:rPr>
          <w:rFonts w:ascii="Segoe UI" w:hAnsi="Segoe UI" w:cs="Segoe UI"/>
          <w:color w:val="000000" w:themeColor="text1"/>
        </w:rPr>
        <w:t>analysed</w:t>
      </w:r>
      <w:r w:rsidRPr="00BD056F">
        <w:rPr>
          <w:rFonts w:ascii="Segoe UI" w:hAnsi="Segoe UI" w:cs="Segoe UI"/>
          <w:color w:val="000000" w:themeColor="text1"/>
        </w:rPr>
        <w:t xml:space="preserve">. Consequently, they operate indiscriminately and at </w:t>
      </w:r>
      <w:r w:rsidRPr="00BD056F">
        <w:rPr>
          <w:rFonts w:ascii="Segoe UI" w:hAnsi="Segoe UI" w:cs="Segoe UI"/>
          <w:color w:val="000000" w:themeColor="text1"/>
        </w:rPr>
        <w:t>scale, reversing the presumption of innocence and transforming public spaces into permanent identity checkpoints.</w:t>
      </w:r>
    </w:p>
    <w:p w:rsidR="00AE1CB5" w:rsidRPr="00BD056F" w:rsidP="009D6EB4">
      <w:pPr>
        <w:rPr>
          <w:rFonts w:ascii="Segoe UI" w:hAnsi="Segoe UI" w:cs="Segoe UI"/>
          <w:color w:val="000000" w:themeColor="text1"/>
          <w:sz w:val="22"/>
          <w:szCs w:val="22"/>
        </w:rPr>
      </w:pPr>
    </w:p>
    <w:p w:rsidR="00AE1CB5" w:rsidRPr="00BD056F" w:rsidP="003C07D2">
      <w:pPr>
        <w:pStyle w:val="Body"/>
        <w:numPr>
          <w:ilvl w:val="0"/>
          <w:numId w:val="21"/>
        </w:numPr>
        <w:rPr>
          <w:rFonts w:ascii="Segoe UI" w:hAnsi="Segoe UI" w:cs="Segoe UI"/>
          <w:color w:val="000000" w:themeColor="text1"/>
        </w:rPr>
      </w:pPr>
      <w:r w:rsidRPr="00BD056F">
        <w:rPr>
          <w:rFonts w:ascii="Segoe UI" w:hAnsi="Segoe UI" w:cs="Segoe UI"/>
          <w:color w:val="000000" w:themeColor="text1"/>
        </w:rPr>
        <w:t>StopWatch’s</w:t>
      </w:r>
      <w:r w:rsidRPr="00BD056F">
        <w:rPr>
          <w:rFonts w:ascii="Segoe UI" w:hAnsi="Segoe UI" w:cs="Segoe UI"/>
          <w:color w:val="000000" w:themeColor="text1"/>
        </w:rPr>
        <w:t xml:space="preserve"> analysis of Metropolitan Police</w:t>
      </w:r>
      <w:r w:rsidRPr="00BD056F">
        <w:rPr>
          <w:rFonts w:ascii="Segoe UI" w:hAnsi="Segoe UI" w:cs="Segoe UI"/>
          <w:color w:val="000000" w:themeColor="text1"/>
        </w:rPr>
        <w:t xml:space="preserve"> Service’s</w:t>
      </w:r>
      <w:r w:rsidRPr="00BD056F">
        <w:rPr>
          <w:rFonts w:ascii="Segoe UI" w:hAnsi="Segoe UI" w:cs="Segoe UI"/>
          <w:color w:val="000000" w:themeColor="text1"/>
        </w:rPr>
        <w:t xml:space="preserve"> live facial recognition (LFR) deployments between January and June 2024 shows that almost 160,000 faces were scanned during nearly 500 hours of surveillance, resulting in only 231 arrests. Met officers stopped a person on average once every 55 minutes. This led to an arrest every 128 minutes – the equivalent of 1.5% of all passers-by – but more often ended in no further action taken (every 95 minutes, or 308 engagements). This represents an extremely poor return for an invasive technology that subjects vas</w:t>
      </w:r>
      <w:r w:rsidRPr="00BD056F">
        <w:rPr>
          <w:rFonts w:ascii="Segoe UI" w:hAnsi="Segoe UI" w:cs="Segoe UI"/>
          <w:color w:val="000000" w:themeColor="text1"/>
        </w:rPr>
        <w:t xml:space="preserve">t numbers of innocent people to biometric processing without any </w:t>
      </w:r>
      <w:r w:rsidRPr="00BD056F">
        <w:rPr>
          <w:rFonts w:ascii="Segoe UI" w:hAnsi="Segoe UI" w:cs="Segoe UI"/>
          <w:color w:val="000000" w:themeColor="text1"/>
        </w:rPr>
        <w:t>individualised</w:t>
      </w:r>
      <w:r w:rsidRPr="00BD056F">
        <w:rPr>
          <w:rFonts w:ascii="Segoe UI" w:hAnsi="Segoe UI" w:cs="Segoe UI"/>
          <w:color w:val="000000" w:themeColor="text1"/>
        </w:rPr>
        <w:t xml:space="preserve"> suspicion.</w:t>
      </w:r>
    </w:p>
    <w:p w:rsidR="00AE1CB5" w:rsidRPr="00BD056F" w:rsidP="009D6EB4">
      <w:pPr>
        <w:rPr>
          <w:rFonts w:ascii="Segoe UI" w:hAnsi="Segoe UI" w:cs="Segoe UI"/>
          <w:color w:val="000000" w:themeColor="text1"/>
          <w:sz w:val="22"/>
          <w:szCs w:val="22"/>
          <w:lang w:eastAsia="en-GB"/>
        </w:rPr>
      </w:pPr>
    </w:p>
    <w:p w:rsidR="00AE1CB5" w:rsidRPr="00BD056F" w:rsidP="003C07D2">
      <w:pPr>
        <w:pStyle w:val="Body"/>
        <w:numPr>
          <w:ilvl w:val="0"/>
          <w:numId w:val="21"/>
        </w:numPr>
        <w:rPr>
          <w:rFonts w:ascii="Segoe UI" w:hAnsi="Segoe UI" w:cs="Segoe UI"/>
          <w:color w:val="000000" w:themeColor="text1"/>
        </w:rPr>
      </w:pPr>
      <w:r w:rsidRPr="00BD056F">
        <w:rPr>
          <w:rFonts w:ascii="Segoe UI" w:hAnsi="Segoe UI" w:cs="Segoe UI"/>
          <w:color w:val="000000" w:themeColor="text1"/>
        </w:rPr>
        <w:t>Current police use of biometric technologies interferes with rights protected under Articles 8, 10 and 11 of the European Convention on Human Rights. Live facial recognition</w:t>
      </w:r>
      <w:r w:rsidRPr="00BD056F">
        <w:rPr>
          <w:rFonts w:ascii="Segoe UI" w:hAnsi="Segoe UI" w:cs="Segoe UI"/>
          <w:color w:val="000000" w:themeColor="text1"/>
        </w:rPr>
        <w:t>, in particular, has</w:t>
      </w:r>
      <w:r w:rsidRPr="00BD056F">
        <w:rPr>
          <w:rFonts w:ascii="Segoe UI" w:hAnsi="Segoe UI" w:cs="Segoe UI"/>
          <w:color w:val="000000" w:themeColor="text1"/>
        </w:rPr>
        <w:t xml:space="preserve"> a chilling effect on freedom of expression and assembly, especially when deployed at protests and other lawful gatherings. The deployment of the data-driven technology must not have a chilling effect on the individual’s willingness to attend locations for the purpose of exercising their religious beliefs or to take part in a lawful assembly and express their views, as this would contravene Article 9 EHRC (freedom of thought, belief and religion) and Article 10/11 EHRC (freedom of expres</w:t>
      </w:r>
      <w:r w:rsidRPr="00BD056F">
        <w:rPr>
          <w:rFonts w:ascii="Segoe UI" w:hAnsi="Segoe UI" w:cs="Segoe UI"/>
          <w:color w:val="000000" w:themeColor="text1"/>
        </w:rPr>
        <w:t>sion and freedom of assembly) of the European Convention on Human Rights. Instances of individuals appearing on live facial recognition technology watchlists for attending protests rather than for committing offences is a case-in-point of the violation of international human rights law.</w:t>
      </w:r>
      <w:r>
        <w:rPr>
          <w:rStyle w:val="EndnoteReference"/>
          <w:rFonts w:ascii="Segoe UI" w:hAnsi="Segoe UI" w:cs="Segoe UI"/>
          <w:color w:val="000000" w:themeColor="text1"/>
        </w:rPr>
        <w:endnoteReference w:id="16"/>
      </w:r>
      <w:r w:rsidRPr="00BD056F">
        <w:rPr>
          <w:rFonts w:ascii="Segoe UI" w:hAnsi="Segoe UI" w:cs="Segoe UI"/>
          <w:color w:val="000000" w:themeColor="text1"/>
        </w:rPr>
        <w:t xml:space="preserve"> Furthermore, live facial recognition technology does not qualify for substantial public interest under General Data Protection Regulation.</w:t>
      </w:r>
      <w:r>
        <w:rPr>
          <w:rStyle w:val="EndnoteReference"/>
          <w:rFonts w:ascii="Segoe UI" w:hAnsi="Segoe UI" w:cs="Segoe UI"/>
          <w:color w:val="000000" w:themeColor="text1"/>
        </w:rPr>
        <w:endnoteReference w:id="17"/>
      </w:r>
    </w:p>
    <w:p w:rsidR="00AE1CB5" w:rsidRPr="00BD056F" w:rsidP="008C06CF">
      <w:pPr>
        <w:jc w:val="both"/>
        <w:rPr>
          <w:rFonts w:ascii="Segoe UI" w:hAnsi="Segoe UI" w:cs="Segoe UI"/>
          <w:color w:val="000000" w:themeColor="text1"/>
          <w:sz w:val="22"/>
          <w:szCs w:val="22"/>
        </w:rPr>
      </w:pPr>
    </w:p>
    <w:p w:rsidR="00AE1CB5" w:rsidRPr="00BD056F" w:rsidP="003C07D2">
      <w:pPr>
        <w:pStyle w:val="Body"/>
        <w:numPr>
          <w:ilvl w:val="0"/>
          <w:numId w:val="21"/>
        </w:numPr>
        <w:rPr>
          <w:rFonts w:ascii="Segoe UI" w:hAnsi="Segoe UI" w:cs="Segoe UI"/>
          <w:color w:val="000000" w:themeColor="text1"/>
        </w:rPr>
      </w:pPr>
      <w:r w:rsidRPr="00BD056F">
        <w:rPr>
          <w:rFonts w:ascii="Segoe UI" w:hAnsi="Segoe UI" w:cs="Segoe UI"/>
          <w:color w:val="000000" w:themeColor="text1"/>
        </w:rPr>
        <w:t xml:space="preserve">Evidence consistently shows that biometric technologies, especially facial recognition, produce biased and discriminatory outcomes. For instance, research by Grother </w:t>
      </w:r>
      <w:r w:rsidRPr="00BD056F">
        <w:rPr>
          <w:rFonts w:ascii="Segoe UI" w:hAnsi="Segoe UI" w:cs="Segoe UI"/>
          <w:i/>
          <w:iCs/>
          <w:color w:val="000000" w:themeColor="text1"/>
        </w:rPr>
        <w:t>et al</w:t>
      </w:r>
      <w:r w:rsidRPr="00BD056F">
        <w:rPr>
          <w:rFonts w:ascii="Segoe UI" w:hAnsi="Segoe UI" w:cs="Segoe UI"/>
          <w:color w:val="000000" w:themeColor="text1"/>
        </w:rPr>
        <w:t xml:space="preserve">. found widespread evidence that </w:t>
      </w:r>
      <w:r w:rsidRPr="00BD056F">
        <w:rPr>
          <w:rFonts w:ascii="Segoe UI" w:hAnsi="Segoe UI" w:cs="Segoe UI"/>
          <w:color w:val="000000" w:themeColor="text1"/>
        </w:rPr>
        <w:t>racialised</w:t>
      </w:r>
      <w:r w:rsidRPr="00BD056F">
        <w:rPr>
          <w:rFonts w:ascii="Segoe UI" w:hAnsi="Segoe UI" w:cs="Segoe UI"/>
          <w:color w:val="000000" w:themeColor="text1"/>
        </w:rPr>
        <w:t xml:space="preserve"> individuals are much more likely than white individuals to be misidentified in the 200 facial recognition algorithms studied, with some algorithms confusing non-white individuals as many as 100 times more often than white individuals, and </w:t>
      </w:r>
      <w:r w:rsidRPr="00BD056F">
        <w:rPr>
          <w:rFonts w:ascii="Segoe UI" w:hAnsi="Segoe UI" w:cs="Segoe UI"/>
          <w:color w:val="000000" w:themeColor="text1"/>
        </w:rPr>
        <w:t>racialised</w:t>
      </w:r>
      <w:r w:rsidRPr="00BD056F">
        <w:rPr>
          <w:rFonts w:ascii="Segoe UI" w:hAnsi="Segoe UI" w:cs="Segoe UI"/>
          <w:color w:val="000000" w:themeColor="text1"/>
        </w:rPr>
        <w:t xml:space="preserve"> individuals much more likely to appear as ‘false positive’ suspects.</w:t>
      </w:r>
      <w:r>
        <w:rPr>
          <w:rStyle w:val="EndnoteReference"/>
          <w:rFonts w:ascii="Segoe UI" w:hAnsi="Segoe UI" w:cs="Segoe UI"/>
          <w:color w:val="000000" w:themeColor="text1"/>
        </w:rPr>
        <w:endnoteReference w:id="18"/>
      </w:r>
      <w:r w:rsidRPr="00BD056F">
        <w:rPr>
          <w:rFonts w:ascii="Segoe UI" w:hAnsi="Segoe UI" w:cs="Segoe UI"/>
          <w:color w:val="000000" w:themeColor="text1"/>
        </w:rPr>
        <w:t xml:space="preserve"> This constitutes a violation of the right of the individual not to be discriminated against, as outlined in the Human Rights Act. These harms are not incidental but reflect systemic biases in datasets and algorithmic design.</w:t>
      </w:r>
    </w:p>
    <w:p w:rsidR="00AE1CB5" w:rsidRPr="00BD056F" w:rsidP="008C06CF">
      <w:pPr>
        <w:jc w:val="both"/>
        <w:rPr>
          <w:rFonts w:ascii="Segoe UI" w:hAnsi="Segoe UI" w:cs="Segoe UI"/>
          <w:color w:val="000000" w:themeColor="text1"/>
          <w:sz w:val="22"/>
          <w:szCs w:val="22"/>
        </w:rPr>
      </w:pPr>
    </w:p>
    <w:p w:rsidR="00AE1CB5" w:rsidRPr="00BD056F" w:rsidP="003C07D2">
      <w:pPr>
        <w:pStyle w:val="Body"/>
        <w:numPr>
          <w:ilvl w:val="0"/>
          <w:numId w:val="21"/>
        </w:numPr>
        <w:rPr>
          <w:rFonts w:ascii="Segoe UI" w:hAnsi="Segoe UI" w:cs="Segoe UI"/>
          <w:color w:val="000000" w:themeColor="text1"/>
        </w:rPr>
      </w:pPr>
      <w:r w:rsidRPr="00BD056F">
        <w:rPr>
          <w:rFonts w:ascii="Segoe UI" w:hAnsi="Segoe UI" w:cs="Segoe UI"/>
          <w:color w:val="000000" w:themeColor="text1"/>
        </w:rPr>
        <w:t>The use of biometric technologies on vulnerable groups, including children, further illustrates the dangers of the current regulatory vacuum. For instance, the Met's Live Facial Recognition Annual Report</w:t>
      </w:r>
      <w:r>
        <w:rPr>
          <w:rStyle w:val="EndnoteReference"/>
          <w:rFonts w:ascii="Segoe UI" w:hAnsi="Segoe UI" w:cs="Segoe UI"/>
          <w:color w:val="000000" w:themeColor="text1"/>
        </w:rPr>
        <w:endnoteReference w:id="19"/>
      </w:r>
      <w:r w:rsidRPr="00BD056F">
        <w:rPr>
          <w:rFonts w:ascii="Segoe UI" w:hAnsi="Segoe UI" w:cs="Segoe UI"/>
          <w:color w:val="000000" w:themeColor="text1"/>
        </w:rPr>
        <w:t xml:space="preserve"> revealed inconsistent data collection, unclear justifications for placing children on watchlists, and widespread failures by police forces to comply with transparency obligations. In some cases, children have been arrested following facial recognition alerts, despite police claims that inclusion on watchlists was for safeguarding purposes.</w:t>
      </w:r>
    </w:p>
    <w:p w:rsidR="00AE1CB5" w:rsidRPr="00BD056F" w:rsidP="009D6EB4">
      <w:pPr>
        <w:rPr>
          <w:rFonts w:ascii="Segoe UI" w:hAnsi="Segoe UI" w:cs="Segoe UI"/>
          <w:color w:val="000000" w:themeColor="text1"/>
          <w:sz w:val="22"/>
          <w:szCs w:val="22"/>
          <w:lang w:eastAsia="en-GB"/>
        </w:rPr>
      </w:pPr>
    </w:p>
    <w:p w:rsidR="00AE1CB5" w:rsidRPr="00BD056F" w:rsidP="00E82737">
      <w:pPr>
        <w:pStyle w:val="Body"/>
        <w:numPr>
          <w:ilvl w:val="0"/>
          <w:numId w:val="21"/>
        </w:numPr>
        <w:rPr>
          <w:rFonts w:ascii="Segoe UI" w:hAnsi="Segoe UI" w:cs="Segoe UI"/>
          <w:color w:val="000000" w:themeColor="text1"/>
        </w:rPr>
      </w:pPr>
      <w:r w:rsidRPr="00BD056F">
        <w:rPr>
          <w:rFonts w:ascii="Segoe UI" w:hAnsi="Segoe UI" w:cs="Segoe UI"/>
          <w:color w:val="000000" w:themeColor="text1"/>
        </w:rPr>
        <w:t xml:space="preserve">The limitations of artificial intelligence-based data-driven technologies </w:t>
      </w:r>
      <w:r w:rsidRPr="00BD056F">
        <w:rPr>
          <w:rFonts w:ascii="Segoe UI" w:hAnsi="Segoe UI" w:cs="Segoe UI"/>
          <w:color w:val="000000" w:themeColor="text1"/>
        </w:rPr>
        <w:t>are</w:t>
      </w:r>
      <w:r w:rsidRPr="00BD056F">
        <w:rPr>
          <w:rFonts w:ascii="Segoe UI" w:hAnsi="Segoe UI" w:cs="Segoe UI"/>
          <w:color w:val="000000" w:themeColor="text1"/>
        </w:rPr>
        <w:t xml:space="preserve"> </w:t>
      </w:r>
      <w:r w:rsidRPr="00BD056F">
        <w:rPr>
          <w:rFonts w:ascii="Segoe UI" w:hAnsi="Segoe UI" w:cs="Segoe UI"/>
          <w:color w:val="000000" w:themeColor="text1"/>
        </w:rPr>
        <w:t>emphasised</w:t>
      </w:r>
      <w:r w:rsidRPr="00BD056F">
        <w:rPr>
          <w:rFonts w:ascii="Segoe UI" w:hAnsi="Segoe UI" w:cs="Segoe UI"/>
          <w:color w:val="000000" w:themeColor="text1"/>
        </w:rPr>
        <w:t xml:space="preserve"> in the European Union Artificial Intelligence Act</w:t>
      </w:r>
      <w:r w:rsidRPr="00BD056F">
        <w:rPr>
          <w:rFonts w:ascii="Segoe UI" w:hAnsi="Segoe UI" w:cs="Segoe UI"/>
          <w:color w:val="000000" w:themeColor="text1"/>
        </w:rPr>
        <w:t>:</w:t>
      </w:r>
      <w:r>
        <w:rPr>
          <w:rStyle w:val="EndnoteReference"/>
          <w:rFonts w:ascii="Segoe UI" w:hAnsi="Segoe UI" w:cs="Segoe UI"/>
          <w:color w:val="000000" w:themeColor="text1"/>
        </w:rPr>
        <w:endnoteReference w:id="20"/>
      </w:r>
    </w:p>
    <w:p w:rsidR="00AE1CB5" w:rsidRPr="00BD056F" w:rsidP="003C07D2">
      <w:pPr>
        <w:pStyle w:val="ListParagraph"/>
        <w:rPr>
          <w:rFonts w:ascii="Segoe UI" w:hAnsi="Segoe UI" w:cs="Segoe UI"/>
          <w:color w:val="000000" w:themeColor="text1"/>
        </w:rPr>
      </w:pPr>
    </w:p>
    <w:p w:rsidR="00AE1CB5" w:rsidRPr="00BD056F" w:rsidP="003C07D2">
      <w:pPr>
        <w:pStyle w:val="Body"/>
        <w:ind w:left="720" w:firstLine="0"/>
        <w:rPr>
          <w:rFonts w:ascii="Segoe UI" w:hAnsi="Segoe UI" w:cs="Segoe UI"/>
          <w:color w:val="000000" w:themeColor="text1"/>
        </w:rPr>
      </w:pPr>
      <w:r w:rsidRPr="00BD056F">
        <w:rPr>
          <w:rFonts w:ascii="Segoe UI" w:hAnsi="Segoe UI" w:cs="Segoe UI"/>
          <w:color w:val="000000" w:themeColor="text1"/>
        </w:rPr>
        <w:t xml:space="preserve">‘There are serious concerns about the scientific basis of AI systems aiming to identify or infer emotions, particularly as expression of emotions vary considerably across cultures and situations, and even within a single individual. Among the key shortcomings of such systems are the limited reliability, the lack of specificity and the limited </w:t>
      </w:r>
      <w:r w:rsidRPr="00BD056F">
        <w:rPr>
          <w:rFonts w:ascii="Segoe UI" w:hAnsi="Segoe UI" w:cs="Segoe UI"/>
          <w:color w:val="000000" w:themeColor="text1"/>
        </w:rPr>
        <w:t>generalisability</w:t>
      </w:r>
      <w:r w:rsidRPr="00BD056F">
        <w:rPr>
          <w:rFonts w:ascii="Segoe UI" w:hAnsi="Segoe UI" w:cs="Segoe UI"/>
          <w:color w:val="000000" w:themeColor="text1"/>
        </w:rPr>
        <w:t xml:space="preserve">. Therefore, AI </w:t>
      </w:r>
      <w:r w:rsidRPr="00BD056F">
        <w:rPr>
          <w:rFonts w:ascii="Segoe UI" w:hAnsi="Segoe UI" w:cs="Segoe UI"/>
          <w:color w:val="000000" w:themeColor="text1"/>
        </w:rPr>
        <w:t xml:space="preserve">systems identifying or inferring emotions or intentions of natural persons </w:t>
      </w:r>
      <w:r w:rsidRPr="00BD056F">
        <w:rPr>
          <w:rFonts w:ascii="Segoe UI" w:hAnsi="Segoe UI" w:cs="Segoe UI"/>
          <w:color w:val="000000" w:themeColor="text1"/>
        </w:rPr>
        <w:t>on the basis of</w:t>
      </w:r>
      <w:r w:rsidRPr="00BD056F">
        <w:rPr>
          <w:rFonts w:ascii="Segoe UI" w:hAnsi="Segoe UI" w:cs="Segoe UI"/>
          <w:color w:val="000000" w:themeColor="text1"/>
        </w:rPr>
        <w:t xml:space="preserve"> their biometric data may lead to discriminatory outcomes and can be intrusive to the rights and freedoms of the concerned persons. Considering the imbalance of power in the context of work or education, combined with the intrusive nature of these systems, such systems could lead to detrimental or </w:t>
      </w:r>
      <w:r w:rsidRPr="00BD056F">
        <w:rPr>
          <w:rFonts w:ascii="Segoe UI" w:hAnsi="Segoe UI" w:cs="Segoe UI"/>
          <w:color w:val="000000" w:themeColor="text1"/>
        </w:rPr>
        <w:t>unfavourable</w:t>
      </w:r>
      <w:r w:rsidRPr="00BD056F">
        <w:rPr>
          <w:rFonts w:ascii="Segoe UI" w:hAnsi="Segoe UI" w:cs="Segoe UI"/>
          <w:color w:val="000000" w:themeColor="text1"/>
        </w:rPr>
        <w:t xml:space="preserve"> treatment of certain natural persons or whole groups thereof’ (Recital 44).</w:t>
      </w:r>
    </w:p>
    <w:p w:rsidR="00AE1CB5" w:rsidRPr="00BD056F" w:rsidP="00E82737">
      <w:pPr>
        <w:jc w:val="both"/>
        <w:rPr>
          <w:rFonts w:ascii="Segoe UI" w:hAnsi="Segoe UI" w:cs="Segoe UI"/>
          <w:color w:val="000000" w:themeColor="text1"/>
          <w:sz w:val="22"/>
          <w:szCs w:val="22"/>
        </w:rPr>
      </w:pPr>
    </w:p>
    <w:p w:rsidR="00AE1CB5" w:rsidRPr="00BD056F" w:rsidP="003C07D2">
      <w:pPr>
        <w:pStyle w:val="Body"/>
        <w:numPr>
          <w:ilvl w:val="0"/>
          <w:numId w:val="21"/>
        </w:numPr>
        <w:rPr>
          <w:rFonts w:ascii="Segoe UI" w:hAnsi="Segoe UI" w:cs="Segoe UI"/>
          <w:color w:val="000000" w:themeColor="text1"/>
        </w:rPr>
      </w:pPr>
      <w:r w:rsidRPr="00BD056F">
        <w:rPr>
          <w:rFonts w:ascii="Segoe UI" w:hAnsi="Segoe UI" w:cs="Segoe UI"/>
          <w:color w:val="000000" w:themeColor="text1"/>
        </w:rPr>
        <w:t xml:space="preserve">In addition to the inadequacies of artificial intelligence-driven technologies to read emotion, these technologies are also </w:t>
      </w:r>
      <w:r w:rsidRPr="00BD056F">
        <w:rPr>
          <w:rFonts w:ascii="Segoe UI" w:hAnsi="Segoe UI" w:cs="Segoe UI"/>
          <w:color w:val="000000" w:themeColor="text1"/>
        </w:rPr>
        <w:t>characterised</w:t>
      </w:r>
      <w:r w:rsidRPr="00BD056F">
        <w:rPr>
          <w:rFonts w:ascii="Segoe UI" w:hAnsi="Segoe UI" w:cs="Segoe UI"/>
          <w:color w:val="000000" w:themeColor="text1"/>
        </w:rPr>
        <w:t xml:space="preserve"> by ‘technical inaccuracies’ vis-à-vis ‘remote biometric identification of natural persons can lead to biased results and entail discriminatory effects. The risk of such biased results and discriminatory effects </w:t>
      </w:r>
      <w:r w:rsidRPr="00BD056F">
        <w:rPr>
          <w:rFonts w:ascii="Segoe UI" w:hAnsi="Segoe UI" w:cs="Segoe UI"/>
          <w:color w:val="000000" w:themeColor="text1"/>
        </w:rPr>
        <w:t>are</w:t>
      </w:r>
      <w:r w:rsidRPr="00BD056F">
        <w:rPr>
          <w:rFonts w:ascii="Segoe UI" w:hAnsi="Segoe UI" w:cs="Segoe UI"/>
          <w:color w:val="000000" w:themeColor="text1"/>
        </w:rPr>
        <w:t xml:space="preserve"> particularly relevant </w:t>
      </w:r>
      <w:r w:rsidRPr="00BD056F">
        <w:rPr>
          <w:rFonts w:ascii="Segoe UI" w:hAnsi="Segoe UI" w:cs="Segoe UI"/>
          <w:color w:val="000000" w:themeColor="text1"/>
        </w:rPr>
        <w:t>with regard to</w:t>
      </w:r>
      <w:r w:rsidRPr="00BD056F">
        <w:rPr>
          <w:rFonts w:ascii="Segoe UI" w:hAnsi="Segoe UI" w:cs="Segoe UI"/>
          <w:color w:val="000000" w:themeColor="text1"/>
        </w:rPr>
        <w:t xml:space="preserve"> age, ethnicity, race, sex or disabilities’ (Recital 54). As these are probabilistic statistics-based technologies, they can only offer differing degrees of </w:t>
      </w:r>
      <w:r w:rsidRPr="00BD056F">
        <w:rPr>
          <w:rFonts w:ascii="Segoe UI" w:hAnsi="Segoe UI" w:cs="Segoe UI"/>
          <w:color w:val="000000" w:themeColor="text1"/>
        </w:rPr>
        <w:t>confidence, but</w:t>
      </w:r>
      <w:r w:rsidRPr="00BD056F">
        <w:rPr>
          <w:rFonts w:ascii="Segoe UI" w:hAnsi="Segoe UI" w:cs="Segoe UI"/>
          <w:color w:val="000000" w:themeColor="text1"/>
        </w:rPr>
        <w:t xml:space="preserve"> will never be able to provide one hundred percent certainty, undermining t</w:t>
      </w:r>
      <w:r w:rsidRPr="00BD056F">
        <w:rPr>
          <w:rFonts w:ascii="Segoe UI" w:hAnsi="Segoe UI" w:cs="Segoe UI"/>
          <w:color w:val="000000" w:themeColor="text1"/>
        </w:rPr>
        <w:t>heir ability to assist with the pursuit of justice</w:t>
      </w:r>
      <w:r w:rsidRPr="00BD056F">
        <w:rPr>
          <w:rFonts w:ascii="Segoe UI" w:hAnsi="Segoe UI" w:cs="Segoe UI"/>
          <w:color w:val="000000" w:themeColor="text1"/>
        </w:rPr>
        <w:t>.</w:t>
      </w:r>
      <w:r>
        <w:rPr>
          <w:rStyle w:val="EndnoteReference"/>
          <w:rFonts w:ascii="Segoe UI" w:hAnsi="Segoe UI" w:cs="Segoe UI"/>
          <w:color w:val="000000" w:themeColor="text1"/>
        </w:rPr>
        <w:endnoteReference w:id="21"/>
      </w:r>
    </w:p>
    <w:p w:rsidR="00AE1CB5" w:rsidRPr="00BD056F" w:rsidP="00E82737">
      <w:pPr>
        <w:rPr>
          <w:rFonts w:ascii="Segoe UI" w:hAnsi="Segoe UI" w:cs="Segoe UI"/>
          <w:color w:val="000000" w:themeColor="text1"/>
          <w:sz w:val="22"/>
          <w:szCs w:val="22"/>
          <w:lang w:eastAsia="en-GB"/>
        </w:rPr>
      </w:pPr>
    </w:p>
    <w:p w:rsidR="00AE1CB5" w:rsidRPr="00BD056F" w:rsidP="00FE7119">
      <w:pPr>
        <w:pStyle w:val="Heading2"/>
        <w:rPr>
          <w:color w:val="000000" w:themeColor="text1"/>
          <w:sz w:val="22"/>
          <w:szCs w:val="22"/>
        </w:rPr>
      </w:pPr>
      <w:r w:rsidRPr="00BD056F">
        <w:rPr>
          <w:color w:val="000000" w:themeColor="text1"/>
          <w:sz w:val="22"/>
          <w:szCs w:val="22"/>
        </w:rPr>
        <w:t>12) The Home Office recently published statistics on the use of police powers to impose conditions on protests under sections 12, 14 and 14ZA of the Public Order Act 1986. How useful is the available data on police powers and protest collected and published by the government?</w:t>
      </w: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Section 95 of the Criminal Justice Act 1991 stipulates that the Secretary of State must publish information ‘facilitating the performance by… [persons engaged in the administration of criminal justice] of their duty to avoid discriminating against any persons on the ground of race or sex or any other improper ground’ on an annual basis. Despite this, demographic data on sex, age, and ethnicity are largely left unrecorded</w:t>
      </w:r>
      <w:r w:rsidRPr="00BD056F">
        <w:rPr>
          <w:rFonts w:ascii="Segoe UI" w:hAnsi="Segoe UI" w:cs="Segoe UI"/>
          <w:color w:val="000000" w:themeColor="text1"/>
          <w:lang w:val="en-GB"/>
        </w:rPr>
        <w:t xml:space="preserve"> in the Home Office dataset on police use of protest powers</w:t>
      </w:r>
      <w:r w:rsidRPr="00BD056F">
        <w:rPr>
          <w:rFonts w:ascii="Segoe UI" w:hAnsi="Segoe UI" w:cs="Segoe UI"/>
          <w:color w:val="000000" w:themeColor="text1"/>
          <w:lang w:val="en-GB"/>
        </w:rPr>
        <w:t>. The scale of missing data makes any robust assessment of disproportionality impossible, effectively shielding the most active police force from meaningful oversight and limiting challenges to its approach.</w:t>
      </w:r>
    </w:p>
    <w:p w:rsidR="00AE1CB5" w:rsidRPr="00BD056F" w:rsidP="00D42937">
      <w:pPr>
        <w:rPr>
          <w:rFonts w:ascii="Segoe UI" w:hAnsi="Segoe UI" w:cs="Segoe UI"/>
          <w:color w:val="000000" w:themeColor="text1"/>
          <w:sz w:val="22"/>
          <w:szCs w:val="22"/>
          <w:lang w:val="en-GB" w:eastAsia="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The publication of this data is imperative in light of HMICFRS’ report finding that the current lack of published data by police forces is unhelpful; police powers aren’t consistently scrutinised; there is clear evidence of race disparity in police criminal justice decision-making; and the police need to improve the collection of ethnicity data relating to decision-making.</w:t>
      </w:r>
      <w:r>
        <w:rPr>
          <w:rStyle w:val="EndnoteReference"/>
          <w:rFonts w:ascii="Segoe UI" w:hAnsi="Segoe UI" w:cs="Segoe UI"/>
          <w:color w:val="000000" w:themeColor="text1"/>
          <w:lang w:val="en-GB"/>
        </w:rPr>
        <w:endnoteReference w:id="22"/>
      </w:r>
      <w:r w:rsidRPr="00BD056F">
        <w:rPr>
          <w:rFonts w:ascii="Segoe UI" w:hAnsi="Segoe UI" w:cs="Segoe UI"/>
          <w:color w:val="000000" w:themeColor="text1"/>
          <w:lang w:val="en-GB"/>
        </w:rPr>
        <w:t xml:space="preserve"> Past experience shows that inconsistent reporting, non-compliance with FOI requests, and poor record-keeping has undermined meaningful scrutiny impossible. For instance, The Office for Statistics Regulation removed the National Statistics designation of the police recorded crime statistics for England and Wales in 2014 due to concerns about the quality and consistency of police recording practices and issues remain that continue to affect the quality of the statistics a decade on.</w:t>
      </w:r>
      <w:r>
        <w:rPr>
          <w:rFonts w:ascii="Segoe UI" w:hAnsi="Segoe UI" w:cs="Segoe UI"/>
          <w:color w:val="000000" w:themeColor="text1"/>
          <w:vertAlign w:val="superscript"/>
          <w:lang w:val="en-GB"/>
        </w:rPr>
        <w:endnoteReference w:id="23"/>
      </w:r>
    </w:p>
    <w:p w:rsidR="00AE1CB5" w:rsidRPr="00BD056F" w:rsidP="00712256">
      <w:pPr>
        <w:rPr>
          <w:rFonts w:ascii="Segoe UI" w:hAnsi="Segoe UI" w:cs="Segoe UI"/>
          <w:color w:val="000000" w:themeColor="text1"/>
          <w:sz w:val="22"/>
          <w:szCs w:val="22"/>
          <w:lang w:val="en-GB" w:eastAsia="en-GB"/>
        </w:rPr>
      </w:pPr>
    </w:p>
    <w:p w:rsidR="00AE1CB5" w:rsidRPr="00BD056F" w:rsidP="006C0EE1">
      <w:pPr>
        <w:pStyle w:val="Heading2"/>
        <w:rPr>
          <w:color w:val="000000" w:themeColor="text1"/>
          <w:sz w:val="22"/>
          <w:szCs w:val="22"/>
        </w:rPr>
      </w:pPr>
      <w:r w:rsidRPr="00BD056F">
        <w:rPr>
          <w:color w:val="000000" w:themeColor="text1"/>
          <w:sz w:val="22"/>
          <w:szCs w:val="22"/>
        </w:rPr>
        <w:t>13) What data on the policing of protest should be collected and made public (for example use of specific powers, arrests, use of individual data, equality impacts) to enable effective scrutiny? </w:t>
      </w: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Effective scrutiny requires far greater transparency than is currently provided. The Home Office release on police protest powers covering June 2022 to March 2025 omits crucial information about what happens after arrests</w:t>
      </w:r>
      <w:r w:rsidRPr="00BD056F">
        <w:rPr>
          <w:rFonts w:ascii="Segoe UI" w:hAnsi="Segoe UI" w:cs="Segoe UI"/>
          <w:color w:val="000000" w:themeColor="text1"/>
          <w:lang w:val="en-GB"/>
        </w:rPr>
        <w:t xml:space="preserve"> with regards to</w:t>
      </w:r>
      <w:r w:rsidRPr="00BD056F">
        <w:rPr>
          <w:rFonts w:ascii="Segoe UI" w:hAnsi="Segoe UI" w:cs="Segoe UI"/>
          <w:color w:val="000000" w:themeColor="text1"/>
          <w:lang w:val="en-GB"/>
        </w:rPr>
        <w:t xml:space="preserve"> the charges brought and case outcomes. Without this, it is impossible to assess whether certain forces are using powers lawfully, or whether arrests are being made only to be later withdrawn or dismissed in court. </w:t>
      </w:r>
      <w:r w:rsidRPr="00BD056F">
        <w:rPr>
          <w:rFonts w:ascii="Segoe UI" w:hAnsi="Segoe UI" w:cs="Segoe UI"/>
          <w:color w:val="000000" w:themeColor="text1"/>
          <w:lang w:val="en-GB"/>
        </w:rPr>
        <w:t>On the ground actors have observed</w:t>
      </w:r>
      <w:r w:rsidRPr="00BD056F">
        <w:rPr>
          <w:rFonts w:ascii="Segoe UI" w:hAnsi="Segoe UI" w:cs="Segoe UI"/>
          <w:color w:val="000000" w:themeColor="text1"/>
          <w:lang w:val="en-GB"/>
        </w:rPr>
        <w:t xml:space="preserve"> that some individuals are arrested, have their details </w:t>
      </w:r>
      <w:r w:rsidRPr="00BD056F">
        <w:rPr>
          <w:rFonts w:ascii="Segoe UI" w:hAnsi="Segoe UI" w:cs="Segoe UI"/>
          <w:color w:val="000000" w:themeColor="text1"/>
          <w:lang w:val="en-GB"/>
        </w:rPr>
        <w:t>taken, and are then immediately de-arrested, raising concerns that arrest powers may be used as a tool for intelligence gathering rather than prosecution.</w:t>
      </w:r>
      <w:r>
        <w:rPr>
          <w:rStyle w:val="EndnoteReference"/>
          <w:rFonts w:ascii="Segoe UI" w:hAnsi="Segoe UI" w:cs="Segoe UI"/>
          <w:color w:val="000000" w:themeColor="text1"/>
          <w:lang w:val="en-GB"/>
        </w:rPr>
        <w:endnoteReference w:id="24"/>
      </w:r>
    </w:p>
    <w:p w:rsidR="00AE1CB5" w:rsidRPr="00BD056F" w:rsidP="00004AA5">
      <w:pPr>
        <w:rPr>
          <w:rFonts w:ascii="Segoe UI" w:hAnsi="Segoe UI" w:cs="Segoe UI"/>
          <w:color w:val="000000" w:themeColor="text1"/>
          <w:sz w:val="22"/>
          <w:szCs w:val="22"/>
          <w:lang w:val="en-GB" w:eastAsia="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To enable proper accountability, w</w:t>
      </w:r>
      <w:r w:rsidRPr="00BD056F">
        <w:rPr>
          <w:rFonts w:ascii="Segoe UI" w:hAnsi="Segoe UI" w:cs="Segoe UI"/>
          <w:color w:val="000000" w:themeColor="text1"/>
          <w:lang w:val="en-GB"/>
        </w:rPr>
        <w:t xml:space="preserve">e echo </w:t>
      </w:r>
      <w:r w:rsidRPr="00BD056F">
        <w:rPr>
          <w:rFonts w:ascii="Segoe UI" w:hAnsi="Segoe UI" w:cs="Segoe UI"/>
          <w:color w:val="000000" w:themeColor="text1"/>
          <w:lang w:val="en-GB"/>
        </w:rPr>
        <w:t>Netpol’s</w:t>
      </w:r>
      <w:r w:rsidRPr="00BD056F">
        <w:rPr>
          <w:rFonts w:ascii="Segoe UI" w:hAnsi="Segoe UI" w:cs="Segoe UI"/>
          <w:color w:val="000000" w:themeColor="text1"/>
          <w:lang w:val="en-GB"/>
        </w:rPr>
        <w:t xml:space="preserve"> call</w:t>
      </w:r>
      <w:r>
        <w:rPr>
          <w:rStyle w:val="EndnoteReference"/>
          <w:rFonts w:ascii="Segoe UI" w:hAnsi="Segoe UI" w:cs="Segoe UI"/>
          <w:color w:val="000000" w:themeColor="text1"/>
          <w:lang w:val="en-GB"/>
        </w:rPr>
        <w:endnoteReference w:id="25"/>
      </w:r>
      <w:r w:rsidRPr="00BD056F">
        <w:rPr>
          <w:rFonts w:ascii="Segoe UI" w:hAnsi="Segoe UI" w:cs="Segoe UI"/>
          <w:color w:val="000000" w:themeColor="text1"/>
          <w:lang w:val="en-GB"/>
        </w:rPr>
        <w:t xml:space="preserve"> </w:t>
      </w:r>
      <w:r w:rsidRPr="00BD056F">
        <w:rPr>
          <w:rFonts w:ascii="Segoe UI" w:hAnsi="Segoe UI" w:cs="Segoe UI"/>
          <w:color w:val="000000" w:themeColor="text1"/>
          <w:lang w:val="en-GB"/>
        </w:rPr>
        <w:t>for the publication of:</w:t>
      </w:r>
    </w:p>
    <w:p w:rsidR="00AE1CB5" w:rsidRPr="00BD056F" w:rsidP="009D6EB4">
      <w:pPr>
        <w:pStyle w:val="ListParagraph"/>
        <w:numPr>
          <w:ilvl w:val="0"/>
          <w:numId w:val="19"/>
        </w:numPr>
        <w:rPr>
          <w:rFonts w:ascii="Segoe UI" w:hAnsi="Segoe UI" w:cs="Segoe UI"/>
          <w:color w:val="000000" w:themeColor="text1"/>
          <w:sz w:val="22"/>
          <w:szCs w:val="22"/>
          <w:lang w:eastAsia="en-GB"/>
        </w:rPr>
      </w:pPr>
      <w:r w:rsidRPr="00BD056F">
        <w:rPr>
          <w:rFonts w:ascii="Segoe UI" w:hAnsi="Segoe UI" w:cs="Segoe UI"/>
          <w:color w:val="000000" w:themeColor="text1"/>
          <w:sz w:val="22"/>
          <w:szCs w:val="22"/>
          <w:lang w:eastAsia="en-GB"/>
        </w:rPr>
        <w:t xml:space="preserve">The guidance to officers on powers to restrict protests using section 12 </w:t>
      </w:r>
      <w:r w:rsidRPr="00BD056F">
        <w:rPr>
          <w:rFonts w:ascii="Segoe UI" w:hAnsi="Segoe UI" w:cs="Segoe UI"/>
          <w:color w:val="000000" w:themeColor="text1"/>
          <w:sz w:val="22"/>
          <w:szCs w:val="22"/>
          <w:lang w:eastAsia="en-GB"/>
        </w:rPr>
        <w:t>(</w:t>
      </w:r>
      <w:r w:rsidRPr="00BD056F">
        <w:rPr>
          <w:rFonts w:ascii="Segoe UI" w:hAnsi="Segoe UI" w:cs="Segoe UI"/>
          <w:color w:val="000000" w:themeColor="text1"/>
          <w:sz w:val="22"/>
          <w:szCs w:val="22"/>
          <w:lang w:eastAsia="en-GB"/>
        </w:rPr>
        <w:t>processions</w:t>
      </w:r>
      <w:r w:rsidRPr="00BD056F">
        <w:rPr>
          <w:rFonts w:ascii="Segoe UI" w:hAnsi="Segoe UI" w:cs="Segoe UI"/>
          <w:color w:val="000000" w:themeColor="text1"/>
          <w:sz w:val="22"/>
          <w:szCs w:val="22"/>
          <w:lang w:eastAsia="en-GB"/>
        </w:rPr>
        <w:t>)</w:t>
      </w:r>
      <w:r w:rsidRPr="00BD056F">
        <w:rPr>
          <w:rFonts w:ascii="Segoe UI" w:hAnsi="Segoe UI" w:cs="Segoe UI"/>
          <w:color w:val="000000" w:themeColor="text1"/>
          <w:sz w:val="22"/>
          <w:szCs w:val="22"/>
          <w:lang w:eastAsia="en-GB"/>
        </w:rPr>
        <w:t xml:space="preserve">, section 14 </w:t>
      </w:r>
      <w:r w:rsidRPr="00BD056F">
        <w:rPr>
          <w:rFonts w:ascii="Segoe UI" w:hAnsi="Segoe UI" w:cs="Segoe UI"/>
          <w:color w:val="000000" w:themeColor="text1"/>
          <w:sz w:val="22"/>
          <w:szCs w:val="22"/>
          <w:lang w:eastAsia="en-GB"/>
        </w:rPr>
        <w:t>(</w:t>
      </w:r>
      <w:r w:rsidRPr="00BD056F">
        <w:rPr>
          <w:rFonts w:ascii="Segoe UI" w:hAnsi="Segoe UI" w:cs="Segoe UI"/>
          <w:color w:val="000000" w:themeColor="text1"/>
          <w:sz w:val="22"/>
          <w:szCs w:val="22"/>
          <w:lang w:eastAsia="en-GB"/>
        </w:rPr>
        <w:t>public assemblies</w:t>
      </w:r>
      <w:r w:rsidRPr="00BD056F">
        <w:rPr>
          <w:rFonts w:ascii="Segoe UI" w:hAnsi="Segoe UI" w:cs="Segoe UI"/>
          <w:color w:val="000000" w:themeColor="text1"/>
          <w:sz w:val="22"/>
          <w:szCs w:val="22"/>
          <w:lang w:eastAsia="en-GB"/>
        </w:rPr>
        <w:t>)</w:t>
      </w:r>
      <w:r w:rsidRPr="00BD056F">
        <w:rPr>
          <w:rFonts w:ascii="Segoe UI" w:hAnsi="Segoe UI" w:cs="Segoe UI"/>
          <w:color w:val="000000" w:themeColor="text1"/>
          <w:sz w:val="22"/>
          <w:szCs w:val="22"/>
          <w:lang w:eastAsia="en-GB"/>
        </w:rPr>
        <w:t xml:space="preserve"> and section 14ZA </w:t>
      </w:r>
      <w:r w:rsidRPr="00BD056F">
        <w:rPr>
          <w:rFonts w:ascii="Segoe UI" w:hAnsi="Segoe UI" w:cs="Segoe UI"/>
          <w:color w:val="000000" w:themeColor="text1"/>
          <w:sz w:val="22"/>
          <w:szCs w:val="22"/>
          <w:lang w:eastAsia="en-GB"/>
        </w:rPr>
        <w:t>(</w:t>
      </w:r>
      <w:r w:rsidRPr="00BD056F">
        <w:rPr>
          <w:rFonts w:ascii="Segoe UI" w:hAnsi="Segoe UI" w:cs="Segoe UI"/>
          <w:color w:val="000000" w:themeColor="text1"/>
          <w:sz w:val="22"/>
          <w:szCs w:val="22"/>
          <w:lang w:eastAsia="en-GB"/>
        </w:rPr>
        <w:t>one-person protests</w:t>
      </w:r>
      <w:r w:rsidRPr="00BD056F">
        <w:rPr>
          <w:rFonts w:ascii="Segoe UI" w:hAnsi="Segoe UI" w:cs="Segoe UI"/>
          <w:color w:val="000000" w:themeColor="text1"/>
          <w:sz w:val="22"/>
          <w:szCs w:val="22"/>
          <w:lang w:eastAsia="en-GB"/>
        </w:rPr>
        <w:t>)</w:t>
      </w:r>
      <w:r w:rsidRPr="00BD056F">
        <w:rPr>
          <w:rFonts w:ascii="Segoe UI" w:hAnsi="Segoe UI" w:cs="Segoe UI"/>
          <w:color w:val="000000" w:themeColor="text1"/>
          <w:sz w:val="22"/>
          <w:szCs w:val="22"/>
          <w:lang w:eastAsia="en-GB"/>
        </w:rPr>
        <w:t xml:space="preserve"> of the Public Order Act 1986.</w:t>
      </w:r>
    </w:p>
    <w:p w:rsidR="00AE1CB5" w:rsidRPr="00BD056F" w:rsidP="009D6EB4">
      <w:pPr>
        <w:pStyle w:val="ListParagraph"/>
        <w:numPr>
          <w:ilvl w:val="0"/>
          <w:numId w:val="19"/>
        </w:numPr>
        <w:rPr>
          <w:rFonts w:ascii="Segoe UI" w:hAnsi="Segoe UI" w:cs="Segoe UI"/>
          <w:color w:val="000000" w:themeColor="text1"/>
          <w:sz w:val="22"/>
          <w:szCs w:val="22"/>
          <w:lang w:val="en-GB" w:eastAsia="en-GB"/>
        </w:rPr>
      </w:pPr>
      <w:r w:rsidRPr="00BD056F">
        <w:rPr>
          <w:rFonts w:ascii="Segoe UI" w:hAnsi="Segoe UI" w:cs="Segoe UI"/>
          <w:color w:val="000000" w:themeColor="text1"/>
          <w:sz w:val="22"/>
          <w:szCs w:val="22"/>
          <w:lang w:val="en-GB" w:eastAsia="en-GB"/>
        </w:rPr>
        <w:t>F</w:t>
      </w:r>
      <w:r w:rsidRPr="00BD056F">
        <w:rPr>
          <w:rFonts w:ascii="Segoe UI" w:hAnsi="Segoe UI" w:cs="Segoe UI"/>
          <w:color w:val="000000" w:themeColor="text1"/>
          <w:sz w:val="22"/>
          <w:szCs w:val="22"/>
          <w:lang w:val="en-GB" w:eastAsia="en-GB"/>
        </w:rPr>
        <w:t>ull data on every instance when powers under sections 12, 14 and 14ZA are used in London to impose conditions or restrictions. This data should include the date and time of every protest; the conditions imposed; the triggers; the theme of the protests/assembly; demographic information such as age, sex and ethnicity; the level of authorisation and the number of resultant arrests.</w:t>
      </w:r>
    </w:p>
    <w:p w:rsidR="00AE1CB5" w:rsidRPr="00BD056F" w:rsidP="009D6EB4">
      <w:pPr>
        <w:pStyle w:val="ListParagraph"/>
        <w:numPr>
          <w:ilvl w:val="0"/>
          <w:numId w:val="19"/>
        </w:numPr>
        <w:rPr>
          <w:rFonts w:ascii="Segoe UI" w:hAnsi="Segoe UI" w:cs="Segoe UI"/>
          <w:color w:val="000000" w:themeColor="text1"/>
          <w:sz w:val="22"/>
          <w:szCs w:val="22"/>
          <w:lang w:val="en-GB" w:eastAsia="en-GB"/>
        </w:rPr>
      </w:pPr>
      <w:r w:rsidRPr="00BD056F">
        <w:rPr>
          <w:rFonts w:ascii="Segoe UI" w:hAnsi="Segoe UI" w:cs="Segoe UI"/>
          <w:color w:val="000000" w:themeColor="text1"/>
          <w:sz w:val="22"/>
          <w:szCs w:val="22"/>
          <w:lang w:val="en-GB" w:eastAsia="en-GB"/>
        </w:rPr>
        <w:t>Police forces’ human rights impact assessments setting out the reasons for imposing all advance restrictions on a protest, which should explain how the balance between the possibility of disruption and the obligation to facilitate and protect Article 11 freedom of assembly rights were considered.</w:t>
      </w:r>
    </w:p>
    <w:p w:rsidR="00AE1CB5" w:rsidRPr="00BD056F" w:rsidP="00ED0CEA">
      <w:pPr>
        <w:rPr>
          <w:rFonts w:ascii="Segoe UI" w:hAnsi="Segoe UI" w:cs="Segoe UI"/>
          <w:color w:val="000000" w:themeColor="text1"/>
          <w:sz w:val="22"/>
          <w:szCs w:val="22"/>
          <w:lang w:val="en-GB" w:eastAsia="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On the deployment of biometrics, facial recognition and similar technologies</w:t>
      </w:r>
      <w:r w:rsidRPr="00BD056F">
        <w:rPr>
          <w:rFonts w:ascii="Segoe UI" w:hAnsi="Segoe UI" w:cs="Segoe UI"/>
          <w:color w:val="000000" w:themeColor="text1"/>
          <w:lang w:val="en-GB"/>
        </w:rPr>
        <w:t xml:space="preserve"> in protest contexts, there must be mandatory, standardised public reporting on how often searches occur; which databases are accessed; the legal basis relied upon; demographic data on those affected; equality impact assessments; outcomes, including errors and false matches. </w:t>
      </w:r>
    </w:p>
    <w:p w:rsidR="00AE1CB5" w:rsidRPr="00BD056F" w:rsidP="00ED0CEA">
      <w:pPr>
        <w:rPr>
          <w:rFonts w:ascii="Segoe UI" w:hAnsi="Segoe UI" w:cs="Segoe UI"/>
          <w:color w:val="000000" w:themeColor="text1"/>
          <w:sz w:val="22"/>
          <w:szCs w:val="22"/>
          <w:lang w:val="en-GB" w:eastAsia="en-GB"/>
        </w:rPr>
      </w:pPr>
    </w:p>
    <w:p w:rsidR="00AE1CB5" w:rsidRPr="00BD056F" w:rsidP="003C07D2">
      <w:pPr>
        <w:pStyle w:val="Body"/>
        <w:numPr>
          <w:ilvl w:val="0"/>
          <w:numId w:val="21"/>
        </w:numPr>
        <w:rPr>
          <w:rFonts w:ascii="Segoe UI" w:hAnsi="Segoe UI" w:cs="Segoe UI"/>
          <w:color w:val="000000" w:themeColor="text1"/>
          <w:lang w:val="en-GB"/>
        </w:rPr>
      </w:pPr>
      <w:r w:rsidRPr="00BD056F">
        <w:rPr>
          <w:rFonts w:ascii="Segoe UI" w:hAnsi="Segoe UI" w:cs="Segoe UI"/>
          <w:color w:val="000000" w:themeColor="text1"/>
          <w:lang w:val="en-GB"/>
        </w:rPr>
        <w:t xml:space="preserve">Failures to comply with </w:t>
      </w:r>
      <w:r w:rsidRPr="00BD056F">
        <w:rPr>
          <w:rFonts w:ascii="Segoe UI" w:hAnsi="Segoe UI" w:cs="Segoe UI"/>
          <w:color w:val="000000" w:themeColor="text1"/>
          <w:lang w:val="en-GB"/>
        </w:rPr>
        <w:t xml:space="preserve">these </w:t>
      </w:r>
      <w:r w:rsidRPr="00BD056F">
        <w:rPr>
          <w:rFonts w:ascii="Segoe UI" w:hAnsi="Segoe UI" w:cs="Segoe UI"/>
          <w:color w:val="000000" w:themeColor="text1"/>
          <w:lang w:val="en-GB"/>
        </w:rPr>
        <w:t>reporting obligations must result in meaningful sanctions such as the suspension of powers at the force level.</w:t>
      </w:r>
    </w:p>
    <w:p w:rsidR="00AE1CB5" w:rsidRPr="00BD056F" w:rsidP="009D6EB4">
      <w:pPr>
        <w:rPr>
          <w:rFonts w:ascii="Segoe UI" w:hAnsi="Segoe UI" w:cs="Segoe UI"/>
          <w:color w:val="000000" w:themeColor="text1"/>
          <w:sz w:val="22"/>
          <w:szCs w:val="22"/>
          <w:lang w:val="en-GB" w:eastAsia="en-GB"/>
        </w:rPr>
      </w:pPr>
    </w:p>
    <w:p w:rsidR="00AE1CB5" w:rsidRPr="00BD056F" w:rsidP="00534643">
      <w:pPr>
        <w:pStyle w:val="Body"/>
        <w:ind w:firstLine="0"/>
        <w:jc w:val="left"/>
        <w:rPr>
          <w:rFonts w:ascii="Public Sans" w:hAnsi="Public Sans" w:cs="Segoe UI"/>
          <w:b/>
          <w:bCs/>
          <w:color w:val="000000" w:themeColor="text1"/>
          <w:sz w:val="28"/>
          <w:szCs w:val="28"/>
          <w:lang w:val="en-GB"/>
        </w:rPr>
      </w:pPr>
      <w:r w:rsidRPr="00BD056F">
        <w:rPr>
          <w:rFonts w:ascii="Public Sans" w:hAnsi="Public Sans" w:cs="Segoe UI"/>
          <w:b/>
          <w:bCs/>
          <w:color w:val="000000" w:themeColor="text1"/>
          <w:sz w:val="28"/>
          <w:szCs w:val="28"/>
          <w:lang w:val="en-GB"/>
        </w:rPr>
        <w:t>References</w:t>
      </w:r>
    </w:p>
    <w:sectPr w:rsidSect="009B5631">
      <w:footerReference w:type="default" r:id="rId9"/>
      <w:headerReference w:type="first" r:id="rId10"/>
      <w:endnotePr>
        <w:numFmt w:val="decimal"/>
      </w:endnotePr>
      <w:pgSz w:w="11906" w:h="16838"/>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AE1CB5">
      <w:r>
        <w:separator/>
      </w:r>
    </w:p>
  </w:endnote>
  <w:endnote w:type="continuationSeparator" w:id="1">
    <w:p w:rsidR="00AE1CB5">
      <w:r>
        <w:continuationSeparator/>
      </w:r>
    </w:p>
  </w:endnote>
  <w:endnote w:id="2">
    <w:p w:rsidR="00AE1CB5" w:rsidRPr="008A0625">
      <w:pPr>
        <w:pStyle w:val="EndnoteText"/>
        <w:rPr>
          <w:rFonts w:ascii="Segoe UI" w:hAnsi="Segoe UI" w:cs="Segoe UI"/>
          <w:lang w:val="en-GB"/>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{"citationID":"vw9AENzT","properties":{"formattedCitation":"Home Office, {\\i{}Police Protest Powers, June 2022 to March 2025}, Official Statistics (London, United Kingdom, 2026), https://www.gov.uk/government/statistics/police-protest-powers-june-2022-to-march-2025/police-protest-powers-june-2022-to-march-2025.","plainCitation":"Home Office, Police Protest Powers, June 2022 to March 2025, Official Statistics (London, United Kingdom, 2026), https://www.gov.uk/government/stati</w:instrText>
      </w:r>
      <w:r w:rsidRPr="008A0625">
        <w:rPr>
          <w:rFonts w:ascii="Segoe UI" w:hAnsi="Segoe UI" w:cs="Segoe UI"/>
        </w:rPr>
        <w:instrText>stics/police-protest-powers-june-2022-to-march-2025/police-protest-powers-june-2022-to-march-2025.","noteIndex":1},"citationItems":[{"id":4004,"uris":["http://zotero.org/users/5570075/items/5IT89PXJ"],"itemData":{"id":4004,"type":"report","collection-title":"Official Statistics","event-place":"London, United Kingdom","language":"en","publisher-place":"London, United Kingdom","title":"Police Protest Powers, June 2022 to March 2025","URL":"https://www.gov.uk/government/statistics/police-protest-powers-june-20</w:instrText>
      </w:r>
      <w:r w:rsidRPr="008A0625">
        <w:rPr>
          <w:rFonts w:ascii="Segoe UI" w:hAnsi="Segoe UI" w:cs="Segoe UI"/>
        </w:rPr>
        <w:instrText xml:space="preserve">22-to-march-2025/police-protest-powers-june-2022-to-march-2025","author":[{"family":"Home Office","given":""}],"accessed":{"date-parts":[["2026",4,22]]},"issued":{"date-parts":[["2026",2,5]]}}}],"schema":"https://github.com/citation-style-language/schema/raw/master/csl-citation.json"}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 xml:space="preserve">Home Office, </w:t>
      </w:r>
      <w:r w:rsidRPr="008A0625">
        <w:rPr>
          <w:rFonts w:ascii="Segoe UI" w:hAnsi="Segoe UI" w:cs="Segoe UI"/>
          <w:i/>
          <w:iCs/>
        </w:rPr>
        <w:t>Police Protest Powers, June 2022 to March 2025</w:t>
      </w:r>
      <w:r w:rsidRPr="008A0625">
        <w:rPr>
          <w:rFonts w:ascii="Segoe UI" w:hAnsi="Segoe UI" w:cs="Segoe UI"/>
        </w:rPr>
        <w:t>, Official Statistics (London, United Kingdom, 2026), https://www.gov.uk/government/statistics/police-protest-powers-june-2022-to-march-2025/police-protest-powers-june-2022-to-march-2025.</w:t>
      </w:r>
      <w:r w:rsidRPr="008A0625">
        <w:rPr>
          <w:rFonts w:ascii="Segoe UI" w:hAnsi="Segoe UI" w:cs="Segoe UI"/>
        </w:rPr>
        <w:fldChar w:fldCharType="end"/>
      </w:r>
    </w:p>
  </w:endnote>
  <w:endnote w:id="3">
    <w:p w:rsidR="00AE1CB5" w:rsidRPr="008A0625" w:rsidP="00454FCF">
      <w:pPr>
        <w:pStyle w:val="EndnoteText"/>
        <w:rPr>
          <w:rFonts w:ascii="Segoe UI" w:hAnsi="Segoe UI" w:cs="Segoe UI"/>
          <w:lang w:val="en-GB"/>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{"citationID":"J6vcUkX3","properties":{"formattedCitation":"See Netpol\\uc0\\u8217{}s analysis: Netpol, {\\i{}Latest Home Office Data on Protest Powers Continues to Avoid Openness and Transparency}, 12 February 2026, https://netpol.org/2026/02/12/latest-home-office-data-on-protest-powers-continues-to-avoid-openness-and-transparency/.","plainCitation":"See Netpol’s analysis: Netpol, Latest Home Office Data on Protest Powers Continues to Avoid Openness and Transparency, 12 Febr</w:instrText>
      </w:r>
      <w:r w:rsidRPr="008A0625">
        <w:rPr>
          <w:rFonts w:ascii="Segoe UI" w:hAnsi="Segoe UI" w:cs="Segoe UI"/>
        </w:rPr>
        <w:instrText xml:space="preserve">uary 2026, https://netpol.org/2026/02/12/latest-home-office-data-on-protest-powers-continues-to-avoid-openness-and-transparency/.","noteIndex":2},"citationItems":[{"id":4006,"uris":["http://zotero.org/users/5570075/items/HBILPQJ5"],"itemData":{"id":4006,"type":"post-weblog","abstract":"On 5 February, the Home Office released the second tranche of data on the police use of protest restrictions, specifically the use of Section 12 and Section 14 of the Public Order Act 1986. These powers allow police to place </w:instrText>
      </w:r>
      <w:r w:rsidRPr="008A0625">
        <w:rPr>
          <w:rFonts w:ascii="Segoe UI" w:hAnsi="Segoe UI" w:cs="Segoe UI"/>
        </w:rPr>
        <w:instrText>restrictions on protests (such as restricting the location, number of people, or duration) and then […]","language":"en-GB","title":"Latest Home Office Data on Protest Powers Continues to Avoid Openness and Transparency","URL":"https://netpol.org/2026/02/12/latest-home-office-data-on-protest-powers-continues-to-avoid-openness-and-transparency/","author":[{"family":"Netpol","given":""}],"accessed":{"date-parts":[["2026",4,22]]},"issued":{"date-parts":[["2026",2,12]]}},"prefix":"See Netpol's analysis: "}],"sc</w:instrText>
      </w:r>
      <w:r w:rsidRPr="008A0625">
        <w:rPr>
          <w:rFonts w:ascii="Segoe UI" w:hAnsi="Segoe UI" w:cs="Segoe UI"/>
        </w:rPr>
        <w:instrText xml:space="preserve">hema":"https://github.com/citation-style-language/schema/raw/master/csl-citation.json"} </w:instrText>
      </w:r>
      <w:r w:rsidRPr="008A0625">
        <w:rPr>
          <w:rFonts w:ascii="Segoe UI" w:hAnsi="Segoe UI" w:cs="Segoe UI"/>
        </w:rPr>
        <w:fldChar w:fldCharType="separate"/>
      </w:r>
      <w:r w:rsidRPr="008A0625">
        <w:rPr>
          <w:rFonts w:ascii="Segoe UI" w:hAnsi="Segoe UI" w:cs="Segoe UI"/>
        </w:rPr>
        <w:t xml:space="preserve">See </w:t>
      </w:r>
      <w:r w:rsidRPr="008A0625">
        <w:rPr>
          <w:rFonts w:ascii="Segoe UI" w:hAnsi="Segoe UI" w:cs="Segoe UI"/>
        </w:rPr>
        <w:t>Netpol’s</w:t>
      </w:r>
      <w:r w:rsidRPr="008A0625">
        <w:rPr>
          <w:rFonts w:ascii="Segoe UI" w:hAnsi="Segoe UI" w:cs="Segoe UI"/>
        </w:rPr>
        <w:t xml:space="preserve"> analysis: </w:t>
      </w:r>
      <w:r w:rsidRPr="008A0625">
        <w:rPr>
          <w:rFonts w:ascii="Segoe UI" w:hAnsi="Segoe UI" w:cs="Segoe UI"/>
        </w:rPr>
        <w:t>Netpol</w:t>
      </w:r>
      <w:r w:rsidRPr="008A0625">
        <w:rPr>
          <w:rFonts w:ascii="Segoe UI" w:hAnsi="Segoe UI" w:cs="Segoe UI"/>
        </w:rPr>
        <w:t xml:space="preserve">, </w:t>
      </w:r>
      <w:r w:rsidRPr="008A0625">
        <w:rPr>
          <w:rFonts w:ascii="Segoe UI" w:hAnsi="Segoe UI" w:cs="Segoe UI"/>
          <w:i/>
          <w:iCs/>
        </w:rPr>
        <w:t>Latest Home Office Data on Protest Powers Continues to Avoid Openness and Transparency</w:t>
      </w:r>
      <w:r w:rsidRPr="008A0625">
        <w:rPr>
          <w:rFonts w:ascii="Segoe UI" w:hAnsi="Segoe UI" w:cs="Segoe UI"/>
        </w:rPr>
        <w:t>, 12 February 2026, https://netpol.org/2026/02/12/latest-home-office-data-on-protest-powers-continues-to-avoid-openness-and-transparency/.</w:t>
      </w:r>
      <w:r w:rsidRPr="008A0625">
        <w:rPr>
          <w:rFonts w:ascii="Segoe UI" w:hAnsi="Segoe UI" w:cs="Segoe UI"/>
        </w:rPr>
        <w:fldChar w:fldCharType="end"/>
      </w:r>
    </w:p>
  </w:endnote>
  <w:endnote w:id="4">
    <w:p w:rsidR="00AE1CB5" w:rsidRPr="008A0625">
      <w:pPr>
        <w:pStyle w:val="EndnoteText"/>
        <w:rPr>
          <w:rFonts w:ascii="Segoe UI" w:hAnsi="Segoe UI" w:cs="Segoe UI"/>
          <w:lang w:val="en-GB"/>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{"citationID":"SQs2PFhT","properties":{"formattedCitation":"Tara Lai Quinlan and Paul Thornbury, \\uc0\\u8216{}Coronation Protest Arrests Show Unfettered Police Discretion Is Dangerous to Democracy\\uc0\\u8217{}, {\\i{}University of Birmingham} (United Kingdom), 10 May 2023, https://www.birmingham.ac.uk/news/2023/coronation-protest-arrests-show-unfettered-police-discretion-is-dangerous-to-democracy.","plainCitation":"Tara Lai Quinlan and Paul Thornbury, ‘Coronation Protest Ar</w:instrText>
      </w:r>
      <w:r w:rsidRPr="008A0625">
        <w:rPr>
          <w:rFonts w:ascii="Segoe UI" w:hAnsi="Segoe UI" w:cs="Segoe UI"/>
        </w:rPr>
        <w:instrText>rests Show Unfettered Police Discretion Is Dangerous to Democracy’, University of Birmingham (United Kingdom), 10 May 2023, https://www.birmingham.ac.uk/news/2023/coronation-protest-arrests-show-unfettered-police-discretion-is-dangerous-to-democracy.","noteIndex":3},"citationItems":[{"id":4015,"uris":["http://zotero.org/users/5570075/items/UT8V3MFH"],"itemData":{"id":4015,"type":"article-newspaper","abstract":"Dr Tara Lai Quinlan, Birmingham Law School and Dr Paul Thornbury, St Mary's University examine 'po</w:instrText>
      </w:r>
      <w:r w:rsidRPr="008A0625">
        <w:rPr>
          <w:rFonts w:ascii="Segoe UI" w:hAnsi="Segoe UI" w:cs="Segoe UI"/>
        </w:rPr>
        <w:instrText>lice discretion' and the arrests of anti-monarchy protestors.","container-title":"University of Birmingham","event-place":"United Kingdom","language":"en","publisher-place":"United Kingdom","title":"Coronation Protest Arrests Show Unfettered Police Discretion Is Dangerous to Democracy","URL":"https://www.birmingham.ac.uk/news/2023/coronation-protest-arrests-show-unfettered-police-discretion-is-dangerous-to-democracy","author":[{"family":"Quinlan","given":"Tara Lai"},{"family":"Thornbury","given":"Paul"}],"a</w:instrText>
      </w:r>
      <w:r w:rsidRPr="008A0625">
        <w:rPr>
          <w:rFonts w:ascii="Segoe UI" w:hAnsi="Segoe UI" w:cs="Segoe UI"/>
        </w:rPr>
        <w:instrText xml:space="preserve">ccessed":{"date-parts":[["2026",4,22]]},"issued":{"date-parts":[["2023",5,10]]}}}],"schema":"https://github.com/citation-style-language/schema/raw/master/csl-citation.json"}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 xml:space="preserve">Tara Lai Quinlan and Paul Thornbury, ‘Coronation Protest Arrests Show Unfettered Police Discretion Is Dangerous to Democracy’, </w:t>
      </w:r>
      <w:r w:rsidRPr="008A0625">
        <w:rPr>
          <w:rFonts w:ascii="Segoe UI" w:hAnsi="Segoe UI" w:cs="Segoe UI"/>
          <w:i/>
          <w:iCs/>
        </w:rPr>
        <w:t>University of Birmingham</w:t>
      </w:r>
      <w:r w:rsidRPr="008A0625">
        <w:rPr>
          <w:rFonts w:ascii="Segoe UI" w:hAnsi="Segoe UI" w:cs="Segoe UI"/>
        </w:rPr>
        <w:t xml:space="preserve"> (United Kingdom), 10 May 2023, https://www.birmingham.ac.uk/news/2023/coronation-protest-arrests-show-unfettered-police-discretion-is-dangerous-to-democracy.</w:t>
      </w:r>
      <w:r w:rsidRPr="008A0625">
        <w:rPr>
          <w:rFonts w:ascii="Segoe UI" w:hAnsi="Segoe UI" w:cs="Segoe UI"/>
        </w:rPr>
        <w:fldChar w:fldCharType="end"/>
      </w:r>
    </w:p>
  </w:endnote>
  <w:endnote w:id="5">
    <w:p w:rsidR="00AE1CB5" w:rsidRPr="008A0625" w:rsidP="00094835">
      <w:pPr>
        <w:pStyle w:val="EndnoteText"/>
        <w:rPr>
          <w:rFonts w:ascii="Segoe UI" w:hAnsi="Segoe UI" w:cs="Segoe UI"/>
          <w:lang w:val="en-GB"/>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{"citationID":"tcjphyre","properties":{"formattedCitation":"R (on the Application of Roberts) (Appellant) v Commissioner of Police of the Metropolis and Another (Respondents), UKSC/2014/0138 (UK Supreme Court 17 December 2015), https://www.supremecourt.uk/cases/uksc-2014-0138.","plainCitation":"R (on the Application of Roberts) (Appellant) v Commissioner of Police of the Metropolis and Another (Respondents), UKSC/2014/0138 (UK Supreme Court 17 December 2015), https://www.supr</w:instrText>
      </w:r>
      <w:r w:rsidRPr="008A0625">
        <w:rPr>
          <w:rFonts w:ascii="Segoe UI" w:hAnsi="Segoe UI" w:cs="Segoe UI"/>
        </w:rPr>
        <w:instrText>emecourt.uk/cases/uksc-2014-0138.","noteIndex":4},"citationItems":[{"id":4010,"uris":["http://zotero.org/users/5570075/items/DGMLIBBI"],"itemData":{"id":4010,"type":"legal_case","abstract":"See judgment","authority":"UK Supreme Court","language":"en","number":"UKSC/2014/0138","title":"R (on the application of Roberts) (Appellant) v Commissioner of Police of the Metropolis and another (Respondents)","URL":"https://www.supremecourt.uk/cases/uksc-2014-0138","accessed":{"date-parts":[["2026",4,22]]},"issued":{"</w:instrText>
      </w:r>
      <w:r w:rsidRPr="008A0625">
        <w:rPr>
          <w:rFonts w:ascii="Segoe UI" w:hAnsi="Segoe UI" w:cs="Segoe UI"/>
        </w:rPr>
        <w:instrText xml:space="preserve">date-parts":[["2015",12,17]]}}}],"schema":"https://github.com/citation-style-language/schema/raw/master/csl-citation.json"}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R (on the Application of Roberts) (Appellant) v Commissioner of Police of the Metropolis and Another (Respondents), UKSC/2014/0138 (UK Supreme Court 17 December 2015), https://www.supremecourt.uk/cases/uksc-2014-0138.</w:t>
      </w:r>
      <w:r w:rsidRPr="008A0625">
        <w:rPr>
          <w:rFonts w:ascii="Segoe UI" w:hAnsi="Segoe UI" w:cs="Segoe UI"/>
        </w:rPr>
        <w:fldChar w:fldCharType="end"/>
      </w:r>
    </w:p>
  </w:endnote>
  <w:endnote w:id="6">
    <w:p w:rsidR="00AE1CB5" w:rsidRPr="008A0625">
      <w:pPr>
        <w:pStyle w:val="EndnoteText"/>
        <w:rPr>
          <w:rFonts w:ascii="Segoe UI" w:hAnsi="Segoe UI" w:cs="Segoe UI"/>
          <w:lang w:val="en-GB"/>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{"citationID":"eUCmMHMB","properties":{"formattedCitation":"Gillan and Quinton v. the United Kingdom, No. 4158/05 (European Court of Human Rights 12 January 2010), https://hudoc.echr.coe.int/eng?i=001-96585.","plainCitation":"Gillan and Quinton v. the United Kingdom, No. 4158/05 (European Court of Human Rights 12 January 2010), https://hudoc.echr.coe.int/eng?i=001-96585.","noteIndex":4},"citationItems":[{"id":4011,"uris":["http://zotero.org/users/5570075/items/XWS2SIU7"],"ite</w:instrText>
      </w:r>
      <w:r w:rsidRPr="008A0625">
        <w:rPr>
          <w:rFonts w:ascii="Segoe UI" w:hAnsi="Segoe UI" w:cs="Segoe UI"/>
        </w:rPr>
        <w:instrText xml:space="preserve">mData":{"id":4011,"type":"legal_case","abstract":"Violation of Art. 8; Non-pecuniary damage - finding of violation sufficient","authority":"European Court of Human Rights","language":"eng","number":"4158/05","title":"Gillan and Quinton v. the United Kingdom","URL":"https://hudoc.echr.coe.int/eng?i=001-96585","accessed":{"date-parts":[["2026",4,22]]},"issued":{"date-parts":[["2010",1,12]]}}}],"schema":"https://github.com/citation-style-language/schema/raw/master/csl-citation.json"}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Gillan and Quinton v. the United Kingdom, No. 4158/05 (European Court of Human Rights 12 January 2010), https://hudoc.echr.coe.int/eng?i=001-96585.</w:t>
      </w:r>
      <w:r w:rsidRPr="008A0625">
        <w:rPr>
          <w:rFonts w:ascii="Segoe UI" w:hAnsi="Segoe UI" w:cs="Segoe UI"/>
        </w:rPr>
        <w:fldChar w:fldCharType="end"/>
      </w:r>
    </w:p>
  </w:endnote>
  <w:endnote w:id="7">
    <w:p w:rsidR="00AE1CB5" w:rsidRPr="008A0625">
      <w:pPr>
        <w:pStyle w:val="EndnoteText"/>
        <w:rPr>
          <w:rFonts w:ascii="Segoe UI" w:hAnsi="Segoe UI" w:cs="Segoe UI"/>
          <w:lang w:val="en-GB"/>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{"citationID":"6Gu4wxsY","properties":{"formattedCitation":"Beghal v. the United Kingdom, No. 4755/16 (European Court of Human Rights 28 February 2019), https://hudoc.echr.coe.int/eng?i=001-191276.","plainCitation":"Beghal v. the United Kingdom, No. 4755/16 (European Court of Human Rights 28 February 2019), https://hudoc.echr.coe.int/eng?i=001-191276.","noteIndex":5},"citationItems":[{"id":4013,"uris":["http://zotero.org/users/5570075/items/Y4D6KQR5"],"itemData":{"id":4013,"t</w:instrText>
      </w:r>
      <w:r w:rsidRPr="008A0625">
        <w:rPr>
          <w:rFonts w:ascii="Segoe UI" w:hAnsi="Segoe UI" w:cs="Segoe UI"/>
        </w:rPr>
        <w:instrText>ype":"legal_case","abstract":"Remainder inadmissible (Art. 35) Admissibility criteria; (Art. 35-3-a) Ratione materiae; Violation of Article 8 - Right to respect for private and family life (Article 8-1 - Respect for private life); Non-pecuniary damage - finding of violation sufficient (Article 41 - Non-pecuniary damage; Just satisfaction)","authority":"European Court of Human Rights","language":"eng","number":"4755/16","title":"Beghal v. the United Kingdom","URL":"https://hudoc.echr.coe.int/eng?i=001-191276</w:instrText>
      </w:r>
      <w:r w:rsidRPr="008A0625">
        <w:rPr>
          <w:rFonts w:ascii="Segoe UI" w:hAnsi="Segoe UI" w:cs="Segoe UI"/>
        </w:rPr>
        <w:instrText xml:space="preserve">","accessed":{"date-parts":[["2026",4,22]]},"issued":{"date-parts":[["2019",2,28]]}}}],"schema":"https://github.com/citation-style-language/schema/raw/master/csl-citation.json"}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Beghal</w:t>
      </w:r>
      <w:r w:rsidRPr="008A0625">
        <w:rPr>
          <w:rFonts w:ascii="Segoe UI" w:hAnsi="Segoe UI" w:cs="Segoe UI"/>
        </w:rPr>
        <w:t xml:space="preserve"> v. the United Kingdom, No. 4755/16 (European Court of Human Rights 28 February 2019), https://hudoc.echr.coe.int/eng?i=001-191276.</w:t>
      </w:r>
      <w:r w:rsidRPr="008A0625">
        <w:rPr>
          <w:rFonts w:ascii="Segoe UI" w:hAnsi="Segoe UI" w:cs="Segoe UI"/>
        </w:rPr>
        <w:fldChar w:fldCharType="end"/>
      </w:r>
    </w:p>
  </w:endnote>
  <w:endnote w:id="8">
    <w:p w:rsidR="00AE1CB5" w:rsidRPr="008A0625">
      <w:pPr>
        <w:pStyle w:val="EndnoteText"/>
        <w:rPr>
          <w:rFonts w:ascii="Segoe UI" w:hAnsi="Segoe UI" w:cs="Segoe UI"/>
          <w:lang w:val="en-GB"/>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{"citationID":"nXB6OJ4r","properties":{"formattedCitation":"Liberty, {\\i{}Liberty\\uc0\\u8217{}s Briefing on the Police, Crime, Sentencing and Courts Bill for Report Stage in the House of Commons} (United Kingdom, 2021), https://www.libertyhumanrights.org.uk/wp-content/uploads/2020/04/Libertys-briefing-on-the-Police-Crime-Sentencing-and-Courts-Bill-Report-Stage-HoC-July-2021.pdf.","plainCitation":"Liberty, Liberty’s Briefing on the Police, Crime, Sentencing and Courts Bill f</w:instrText>
      </w:r>
      <w:r w:rsidRPr="008A0625">
        <w:rPr>
          <w:rFonts w:ascii="Segoe UI" w:hAnsi="Segoe UI" w:cs="Segoe UI"/>
        </w:rPr>
        <w:instrText>or Report Stage in the House of Commons (United Kingdom, 2021), https://www.libertyhumanrights.org.uk/wp-content/uploads/2020/04/Libertys-briefing-on-the-Police-Crime-Sentencing-and-Courts-Bill-Report-Stage-HoC-July-2021.pdf.","noteIndex":3},"citationItems":[{"id":4009,"uris":["http://zotero.org/users/5570075/items/35MCNVJ9"],"itemData":{"id":4009,"type":"report","event-place":"United Kingdom","publisher-place":"United Kingdom","title":"Liberty’s Briefing on the Police, Crime, Sentencing and Courts Bill for</w:instrText>
      </w:r>
      <w:r w:rsidRPr="008A0625">
        <w:rPr>
          <w:rFonts w:ascii="Segoe UI" w:hAnsi="Segoe UI" w:cs="Segoe UI"/>
        </w:rPr>
        <w:instrText xml:space="preserve"> Report Stage in the House of Commons","URL":"https://www.libertyhumanrights.org.uk/wp-content/uploads/2020/04/Libertys-briefing-on-the-Police-Crime-Sentencing-and-Courts-Bill-Report-Stage-HoC-July-2021.pdf","author":[{"family":"Liberty","given":""}],"issued":{"date-parts":[["2021",7]]}}}],"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 xml:space="preserve">Liberty, </w:t>
      </w:r>
      <w:r w:rsidRPr="008A0625">
        <w:rPr>
          <w:rFonts w:ascii="Segoe UI" w:hAnsi="Segoe UI" w:cs="Segoe UI"/>
          <w:i/>
          <w:iCs/>
        </w:rPr>
        <w:t>Liberty’s Briefing on the Police, Crime, Sentencing and Courts Bill for Report Stage in the House of Commons</w:t>
      </w:r>
      <w:r w:rsidRPr="008A0625">
        <w:rPr>
          <w:rFonts w:ascii="Segoe UI" w:hAnsi="Segoe UI" w:cs="Segoe UI"/>
        </w:rPr>
        <w:t xml:space="preserve"> (United Kingdom, 2021), https://www.libertyhumanrights.org.uk/wp-content/uploads/2020/04/Libertys-briefing-on-the-Police-Crime-Sentencing-and-Courts-Bill-Report-Stage-HoC-July-2021.pdf.</w:t>
      </w:r>
      <w:r w:rsidRPr="008A0625">
        <w:rPr>
          <w:rFonts w:ascii="Segoe UI" w:hAnsi="Segoe UI" w:cs="Segoe UI"/>
        </w:rPr>
        <w:fldChar w:fldCharType="end"/>
      </w:r>
    </w:p>
  </w:endnote>
  <w:endnote w:id="9">
    <w:p w:rsidR="00AE1CB5" w:rsidRPr="008A0625" w:rsidP="00F20613">
      <w:pPr>
        <w:pStyle w:val="EndnoteText"/>
        <w:rPr>
          <w:rFonts w:ascii="Segoe UI" w:hAnsi="Segoe UI" w:cs="Segoe UI"/>
          <w:lang w:val="en-GB"/>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{"citationID":"Ohww3kdI","properties":{"formattedCitation":"Joint Committee on Human Rights, {\\i{}Legislative Scrutiny: Public Order Bill} (House of Lords and House of Commons Committee, 2022), https://publications.parliament.uk/pa/jt5803/jtselect/jtrights/351/report.html.","plainCitation":"Joint Committee on Human Rights, Legislative Scrutiny: Public Order Bill (House of Lords and House of Commons Committee, 2022), https://publications.parliament.uk/pa/jt5803/jtselect/jtrig</w:instrText>
      </w:r>
      <w:r w:rsidRPr="008A0625">
        <w:rPr>
          <w:rFonts w:ascii="Segoe UI" w:hAnsi="Segoe UI" w:cs="Segoe UI"/>
        </w:rPr>
        <w:instrText>hts/351/report.html.","noteIndex":3},"citationItems":[{"id":4008,"uris":["http://zotero.org/users/5570075/items/X9MIF4H9"],"itemData":{"id":4008,"type":"report","event-place":"London, United Kingdom","publisher":"House of Lords and House of Commons Committee","publisher-place":"London, United Kingdom","title":"Legislative Scrutiny: Public Order Bill","URL":"https://publications.parliament.uk/pa/jt5803/jtselect/jtrights/351/report.html","author":[{"family":"Joint Committee on Human Rights","given":""}],"acce</w:instrText>
      </w:r>
      <w:r w:rsidRPr="008A0625">
        <w:rPr>
          <w:rFonts w:ascii="Segoe UI" w:hAnsi="Segoe UI" w:cs="Segoe UI"/>
        </w:rPr>
        <w:instrText xml:space="preserve">ssed":{"date-parts":[["2026",4,22]]},"issued":{"date-parts":[["2022",6,17]]}}}],"schema":"https://github.com/citation-style-language/schema/raw/master/csl-citation.json"}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 xml:space="preserve">Joint Committee on Human Rights, </w:t>
      </w:r>
      <w:r w:rsidRPr="008A0625">
        <w:rPr>
          <w:rFonts w:ascii="Segoe UI" w:hAnsi="Segoe UI" w:cs="Segoe UI"/>
          <w:i/>
          <w:iCs/>
        </w:rPr>
        <w:t>Legislative Scrutiny: Public Order Bill</w:t>
      </w:r>
      <w:r w:rsidRPr="008A0625">
        <w:rPr>
          <w:rFonts w:ascii="Segoe UI" w:hAnsi="Segoe UI" w:cs="Segoe UI"/>
        </w:rPr>
        <w:t xml:space="preserve"> (House of Lords and House of Commons Committee, 2022), https://publications.parliament.uk/pa/jt5803/jtselect/jtrights/351/report.html.</w:t>
      </w:r>
      <w:r w:rsidRPr="008A0625">
        <w:rPr>
          <w:rFonts w:ascii="Segoe UI" w:hAnsi="Segoe UI" w:cs="Segoe UI"/>
        </w:rPr>
        <w:fldChar w:fldCharType="end"/>
      </w:r>
    </w:p>
  </w:endnote>
  <w:endnote w:id="10">
    <w:p w:rsidR="00AE1CB5" w:rsidRPr="00133BF6">
      <w:pPr>
        <w:pStyle w:val="EndnoteText"/>
        <w:rPr>
          <w:rFonts w:ascii="Segoe UI" w:hAnsi="Segoe UI" w:cs="Segoe UI"/>
          <w:lang w:val="en-GB"/>
        </w:rPr>
      </w:pPr>
      <w:r w:rsidRPr="00133BF6">
        <w:rPr>
          <w:rStyle w:val="EndnoteReference"/>
          <w:rFonts w:ascii="Segoe UI" w:hAnsi="Segoe UI" w:cs="Segoe UI"/>
        </w:rPr>
        <w:endnoteRef/>
      </w:r>
      <w:r w:rsidRPr="00133BF6">
        <w:rPr>
          <w:rFonts w:ascii="Segoe UI" w:hAnsi="Segoe UI" w:cs="Segoe UI"/>
        </w:rPr>
        <w:t xml:space="preserve"> </w:t>
      </w:r>
      <w:r w:rsidRPr="00133BF6">
        <w:rPr>
          <w:rFonts w:ascii="Segoe UI" w:hAnsi="Segoe UI" w:cs="Segoe UI"/>
        </w:rPr>
        <w:fldChar w:fldCharType="begin"/>
      </w:r>
      <w:r w:rsidRPr="00133BF6">
        <w:rPr>
          <w:rFonts w:ascii="Segoe UI" w:hAnsi="Segoe UI" w:cs="Segoe UI"/>
        </w:rPr>
        <w:instrText xml:space="preserve"> ADDIN ZOTERO_ITEM CSL_CITATION {"citationID":"ZyThiayB","properties":{"formattedCitation":"StopWatch, {\\i{}No Reasonable Grounds The Case for Repealing Section 60} (London, United Kingdom, 2024), https://stopwatch.ams3.cdn.digitaloceanspaces.com/documents/NO_REASONABLE_GROUNDS_the_case_for_repealing_section_60.pdf?X-Amz-Algorithm=AWS4-HMAC-SHA256&amp;X-Amz-Credential=DO00T8MJEWD7ZJJ4EG4A%2F20250623%2Fams3%2Fs3%2Faws4_request&amp;X-Amz-Date=20250623T153552Z&amp;X-Amz-Expires=3600&amp;X-Amz-SignedHeaders=host&amp;X-Amz-Signatu</w:instrText>
      </w:r>
      <w:r w:rsidRPr="00133BF6">
        <w:rPr>
          <w:rFonts w:ascii="Segoe UI" w:hAnsi="Segoe UI" w:cs="Segoe UI"/>
        </w:rPr>
        <w:instrText>re=fb80611e133f5afa1629d8813c2d0db01c082f094b644f92bef781fc25f513b0.","plainCitation":"StopWatch, No Reasonable Grounds The Case for Repealing Section 60 (London, United Kingdom, 2024), https://stopwatch.ams3.cdn.digitaloceanspaces.com/documents/NO_REASONABLE_GROUNDS_the_case_for_repealing_section_60.pdf?X-Amz-Algorithm=AWS4-HMAC-SHA256&amp;X-Amz-Credential=DO00T8MJEWD7ZJJ4EG4A%2F20250623%2Fams3%2Fs3%2Faws4_request&amp;X-Amz-Date=20250623T153552Z&amp;X-Amz-Expires=3600&amp;X-Amz-SignedHeaders=host&amp;X-Amz-Signature=fb80611e1</w:instrText>
      </w:r>
      <w:r w:rsidRPr="00133BF6">
        <w:rPr>
          <w:rFonts w:ascii="Segoe UI" w:hAnsi="Segoe UI" w:cs="Segoe UI"/>
        </w:rPr>
        <w:instrText>33f5afa1629d8813c2d0db01c082f094b644f92bef781fc25f513b0.","noteIndex":9},"citationItems":[{"id":3248,"uris":["http://zotero.org/users/5570075/items/X2ZDCHR5"],"itemData":{"id":3248,"type":"report","event-place":"London, United Kingdom","publisher-place":"London, United Kingdom","title":"No Reasonable Grounds The Case for Repealing Section 60","URL":"https://stopwatch.ams3.cdn.digitaloceanspaces.com/documents/NO_REASONABLE_GROUNDS_the_case_for_repealing_section_60.pdf?X-Amz-Algorithm=AWS4-HMAC-SHA256&amp;X-Amz-C</w:instrText>
      </w:r>
      <w:r w:rsidRPr="00133BF6">
        <w:rPr>
          <w:rFonts w:ascii="Segoe UI" w:hAnsi="Segoe UI" w:cs="Segoe UI"/>
        </w:rPr>
        <w:instrText xml:space="preserve">redential=DO00T8MJEWD7ZJJ4EG4A%2F20250623%2Fams3%2Fs3%2Faws4_request&amp;X-Amz-Date=20250623T153552Z&amp;X-Amz-Expires=3600&amp;X-Amz-SignedHeaders=host&amp;X-Amz-Signature=fb80611e133f5afa1629d8813c2d0db01c082f094b644f92bef781fc25f513b0","author":[{"family":"StopWatch","given":""}],"issued":{"date-parts":[["2024",11]]}}}],"schema":"https://github.com/citation-style-language/schema/raw/master/csl-citation.json"} </w:instrText>
      </w:r>
      <w:r w:rsidRPr="00133BF6">
        <w:rPr>
          <w:rFonts w:ascii="Segoe UI" w:hAnsi="Segoe UI" w:cs="Segoe UI"/>
        </w:rPr>
        <w:fldChar w:fldCharType="separate"/>
      </w:r>
      <w:r w:rsidRPr="00133BF6">
        <w:rPr>
          <w:rFonts w:ascii="Segoe UI" w:hAnsi="Segoe UI" w:cs="Segoe UI"/>
        </w:rPr>
        <w:t>StopWatch</w:t>
      </w:r>
      <w:r w:rsidRPr="00133BF6">
        <w:rPr>
          <w:rFonts w:ascii="Segoe UI" w:hAnsi="Segoe UI" w:cs="Segoe UI"/>
        </w:rPr>
        <w:t xml:space="preserve">, </w:t>
      </w:r>
      <w:r w:rsidRPr="00133BF6">
        <w:rPr>
          <w:rFonts w:ascii="Segoe UI" w:hAnsi="Segoe UI" w:cs="Segoe UI"/>
          <w:i/>
        </w:rPr>
        <w:t xml:space="preserve">No Reasonable Grounds </w:t>
      </w:r>
      <w:r w:rsidRPr="00133BF6">
        <w:rPr>
          <w:rFonts w:ascii="Segoe UI" w:hAnsi="Segoe UI" w:cs="Segoe UI"/>
          <w:i/>
        </w:rPr>
        <w:t>The</w:t>
      </w:r>
      <w:r w:rsidRPr="00133BF6">
        <w:rPr>
          <w:rFonts w:ascii="Segoe UI" w:hAnsi="Segoe UI" w:cs="Segoe UI"/>
          <w:i/>
        </w:rPr>
        <w:t xml:space="preserve"> Case for Repealing Section 60</w:t>
      </w:r>
      <w:r w:rsidRPr="00133BF6">
        <w:rPr>
          <w:rFonts w:ascii="Segoe UI" w:hAnsi="Segoe UI" w:cs="Segoe UI"/>
        </w:rPr>
        <w:t xml:space="preserve"> (London, United Kingdom, 2024), https://stopwatch.ams3.cdn.digitaloceanspaces.com/documents/NO_REASONABLE_GROUNDS_the_case_for_repealing_section_60.pdf?X-Amz-Algorithm=AWS4-HMAC-SHA256&amp;X-Amz-Credential=DO00T8MJEWD7ZJJ4EG4A%2F20250623%2Fams3%2Fs3%2Faws4_request&amp;X-Amz-Date=20250623T153552Z&amp;X-Amz-Expires=3600&amp;X-Amz-SignedHeaders=host&amp;X-Amz-Signature=fb80611e133f5afa1629d8813c2d0db01c082f094b644f92bef781fc25f513b0.</w:t>
      </w:r>
      <w:r w:rsidRPr="00133BF6">
        <w:rPr>
          <w:rFonts w:ascii="Segoe UI" w:hAnsi="Segoe UI" w:cs="Segoe UI"/>
        </w:rPr>
        <w:fldChar w:fldCharType="end"/>
      </w:r>
    </w:p>
  </w:endnote>
  <w:endnote w:id="11">
    <w:p w:rsidR="00AE1CB5" w:rsidRPr="00133BF6">
      <w:pPr>
        <w:pStyle w:val="EndnoteText"/>
        <w:rPr>
          <w:rFonts w:ascii="Segoe UI" w:hAnsi="Segoe UI" w:cs="Segoe UI"/>
          <w:lang w:val="en-GB"/>
        </w:rPr>
      </w:pPr>
      <w:r w:rsidRPr="00133BF6">
        <w:rPr>
          <w:rStyle w:val="EndnoteReference"/>
          <w:rFonts w:ascii="Segoe UI" w:hAnsi="Segoe UI" w:cs="Segoe UI"/>
        </w:rPr>
        <w:endnoteRef/>
      </w:r>
      <w:r w:rsidRPr="00133BF6">
        <w:rPr>
          <w:rFonts w:ascii="Segoe UI" w:hAnsi="Segoe UI" w:cs="Segoe UI"/>
        </w:rPr>
        <w:t xml:space="preserve"> </w:t>
      </w:r>
      <w:r w:rsidRPr="00133BF6">
        <w:rPr>
          <w:rFonts w:ascii="Segoe UI" w:hAnsi="Segoe UI" w:cs="Segoe UI"/>
        </w:rPr>
        <w:fldChar w:fldCharType="begin"/>
      </w:r>
      <w:r w:rsidRPr="00133BF6">
        <w:rPr>
          <w:rFonts w:ascii="Segoe UI" w:hAnsi="Segoe UI" w:cs="Segoe UI"/>
        </w:rPr>
        <w:instrText xml:space="preserve"> ADDIN ZOTERO_ITEM CSL_CITATION {"citationID":"tnbcx6Rx","properties":{"formattedCitation":"StopWatch, {\\i{}No Reasonable Grounds The Case for Repealing Section 60}.","plainCitation":"StopWatch, No Reasonable Grounds The Case for Repealing Section 60.","noteIndex":10},"citationItems":[{"id":3248,"uris":["http://zotero.org/users/5570075/items/X2ZDCHR5"],"itemData":{"id":3248,"type":"report","event-place":"London, United Kingdom","publisher-place":"London, United Kingdom","title":"No Reasonable Grounds The C</w:instrText>
      </w:r>
      <w:r w:rsidRPr="00133BF6">
        <w:rPr>
          <w:rFonts w:ascii="Segoe UI" w:hAnsi="Segoe UI" w:cs="Segoe UI"/>
        </w:rPr>
        <w:instrText>ase for Repealing Section 60","URL":"https://stopwatch.ams3.cdn.digitaloceanspaces.com/documents/NO_REASONABLE_GROUNDS_the_case_for_repealing_section_60.pdf?X-Amz-Algorithm=AWS4-HMAC-SHA256&amp;X-Amz-Credential=DO00T8MJEWD7ZJJ4EG4A%2F20250623%2Fams3%2Fs3%2Faws4_request&amp;X-Amz-Date=20250623T153552Z&amp;X-Amz-Expires=3600&amp;X-Amz-SignedHeaders=host&amp;X-Amz-Signature=fb80611e133f5afa1629d8813c2d0db01c082f094b644f92bef781fc25f513b0","author":[{"family":"StopWatch","given":""}],"issued":{"date-parts":[["2024",11]]}}}],"schem</w:instrText>
      </w:r>
      <w:r w:rsidRPr="00133BF6">
        <w:rPr>
          <w:rFonts w:ascii="Segoe UI" w:hAnsi="Segoe UI" w:cs="Segoe UI"/>
        </w:rPr>
        <w:instrText xml:space="preserve">a":"https://github.com/citation-style-language/schema/raw/master/csl-citation.json"} </w:instrText>
      </w:r>
      <w:r w:rsidRPr="00133BF6">
        <w:rPr>
          <w:rFonts w:ascii="Segoe UI" w:hAnsi="Segoe UI" w:cs="Segoe UI"/>
        </w:rPr>
        <w:fldChar w:fldCharType="separate"/>
      </w:r>
      <w:r w:rsidRPr="00133BF6">
        <w:rPr>
          <w:rFonts w:ascii="Segoe UI" w:hAnsi="Segoe UI" w:cs="Segoe UI"/>
        </w:rPr>
        <w:t>StopWatch</w:t>
      </w:r>
      <w:r w:rsidRPr="00133BF6">
        <w:rPr>
          <w:rFonts w:ascii="Segoe UI" w:hAnsi="Segoe UI" w:cs="Segoe UI"/>
        </w:rPr>
        <w:t xml:space="preserve">, </w:t>
      </w:r>
      <w:r w:rsidRPr="00133BF6">
        <w:rPr>
          <w:rFonts w:ascii="Segoe UI" w:hAnsi="Segoe UI" w:cs="Segoe UI"/>
          <w:i/>
        </w:rPr>
        <w:t xml:space="preserve">No Reasonable Grounds </w:t>
      </w:r>
      <w:r w:rsidRPr="00133BF6">
        <w:rPr>
          <w:rFonts w:ascii="Segoe UI" w:hAnsi="Segoe UI" w:cs="Segoe UI"/>
          <w:i/>
        </w:rPr>
        <w:t>The</w:t>
      </w:r>
      <w:r w:rsidRPr="00133BF6">
        <w:rPr>
          <w:rFonts w:ascii="Segoe UI" w:hAnsi="Segoe UI" w:cs="Segoe UI"/>
          <w:i/>
        </w:rPr>
        <w:t xml:space="preserve"> Case for Repealing Section 60</w:t>
      </w:r>
      <w:r w:rsidRPr="00133BF6">
        <w:rPr>
          <w:rFonts w:ascii="Segoe UI" w:hAnsi="Segoe UI" w:cs="Segoe UI"/>
        </w:rPr>
        <w:t>.</w:t>
      </w:r>
      <w:r w:rsidRPr="00133BF6">
        <w:rPr>
          <w:rFonts w:ascii="Segoe UI" w:hAnsi="Segoe UI" w:cs="Segoe UI"/>
        </w:rPr>
        <w:fldChar w:fldCharType="end"/>
      </w:r>
    </w:p>
  </w:endnote>
  <w:endnote w:id="12">
    <w:p w:rsidR="00AE1CB5" w:rsidRPr="00716CAC">
      <w:pPr>
        <w:pStyle w:val="EndnoteText"/>
        <w:rPr>
          <w:rFonts w:ascii="Segoe UI" w:hAnsi="Segoe UI" w:cs="Segoe UI"/>
        </w:rPr>
      </w:pPr>
      <w:r w:rsidRPr="00133BF6">
        <w:rPr>
          <w:rStyle w:val="EndnoteReference"/>
          <w:rFonts w:ascii="Segoe UI" w:hAnsi="Segoe UI" w:cs="Segoe UI"/>
        </w:rPr>
        <w:endnoteRef/>
      </w:r>
      <w:r w:rsidRPr="00133BF6">
        <w:rPr>
          <w:rFonts w:ascii="Segoe UI" w:hAnsi="Segoe UI" w:cs="Segoe UI"/>
        </w:rPr>
        <w:t xml:space="preserve"> </w:t>
      </w:r>
      <w:r w:rsidRPr="00133BF6">
        <w:rPr>
          <w:rFonts w:ascii="Segoe UI" w:hAnsi="Segoe UI" w:cs="Segoe UI"/>
        </w:rPr>
        <w:fldChar w:fldCharType="begin"/>
      </w:r>
      <w:r w:rsidRPr="00133BF6">
        <w:rPr>
          <w:rFonts w:ascii="Segoe UI" w:hAnsi="Segoe UI" w:cs="Segoe UI"/>
        </w:rPr>
        <w:instrText xml:space="preserve"> ADDIN ZOTERO_ITEM CSL_CITATION {"citationID":"W8Schb5v","properties":{"formattedCitation":"Antoinette Verhage, \\uc0\\u8216{}Do We Need Discretion? Police Decisions and the Limits of the Law\\uc0\\u8217{}, in {\\i{}Policing in Smart Societies: Reflections on the Abstract Police}, ed. Antoinette Verhage et al. (Springer International Publishing, 2022), https://doi.org/10.1007/978-3-030-83685-6_6.","plainCitation":"Antoinette Verhage, ‘Do We Need Discretion? Police Decisions and the Limits of the Law’, in Po</w:instrText>
      </w:r>
      <w:r w:rsidRPr="00133BF6">
        <w:rPr>
          <w:rFonts w:ascii="Segoe UI" w:hAnsi="Segoe UI" w:cs="Segoe UI"/>
        </w:rPr>
        <w:instrText>licing in Smart Societies: Reflections on the Abstract Police, ed. Antoinette Verhage et al. (Springer International Publishing, 2022), https://doi.org/10.1007/978-3-030-83685-6_6.","noteIndex":11},"citationItems":[{"id":1203,"uris":["http://zotero.org/users/5570075/items/9RFHK7AT"],"itemData":{"id":1203,"type":"chapter","abstract":"In their analysis of the abstract police, Terpstra, Salet and Fyfe point out that they see an evolution from a street-level bureaucracy (with discretion on the level of the poli</w:instrText>
      </w:r>
      <w:r w:rsidRPr="00133BF6">
        <w:rPr>
          <w:rFonts w:ascii="Segoe UI" w:hAnsi="Segoe UI" w:cs="Segoe UI"/>
        </w:rPr>
        <w:instrText>ce officer on the street) to a system-level bureaucracy (placing discretion in the hands of the computer, away from the police officer). In this chapter, we assess the extent to which discretion as a concept is different in the Belgian police system in comparison with other systems and delve into the pros and cons of discretion as present in the Belgian system. We conclude by reflecting upon the impact of abstractization and technology on discretion.","container-title":"Policing in Smart Societies: Reflecti</w:instrText>
      </w:r>
      <w:r w:rsidRPr="00133BF6">
        <w:rPr>
          <w:rFonts w:ascii="Segoe UI" w:hAnsi="Segoe UI" w:cs="Segoe UI"/>
        </w:rPr>
        <w:instrText>ons on the Abstract Police","event-place":"Cham","ISBN":"978-3-030-83685-6","language":"en","note":"DOI: 10.1007/978-3-030-83685-6_6","page":"87-107","publisher":"Springer International Publishing","publisher-place":"Cham","source":"Springer Link","title":"Do We Need Discretion? Police Decisions and the Limits of the Law","title-short":"Do We Need Discretion?","URL":"https://doi.org/10.1007/978-3-030-83685-6_6","author":[{"family":"Verhage","given":"Antoinette"}],"editor":[{"family":"Verhage","given":"Antoi</w:instrText>
      </w:r>
      <w:r w:rsidRPr="00133BF6">
        <w:rPr>
          <w:rFonts w:ascii="Segoe UI" w:hAnsi="Segoe UI" w:cs="Segoe UI"/>
        </w:rPr>
        <w:instrText xml:space="preserve">nette"},{"family":"Easton","given":"Marleen"},{"family":"De Kimpe","given":"Sofie"}],"accessed":{"date-parts":[["2024",5,8]]},"issued":{"date-parts":[["2022"]]}}}],"schema":"https://github.com/citation-style-language/schema/raw/master/csl-citation.json"} </w:instrText>
      </w:r>
      <w:r w:rsidRPr="00133BF6">
        <w:rPr>
          <w:rFonts w:ascii="Segoe UI" w:hAnsi="Segoe UI" w:cs="Segoe UI"/>
        </w:rPr>
        <w:fldChar w:fldCharType="separate"/>
      </w:r>
      <w:r w:rsidRPr="00133BF6">
        <w:rPr>
          <w:rFonts w:ascii="Segoe UI" w:hAnsi="Segoe UI" w:cs="Segoe UI"/>
        </w:rPr>
        <w:t xml:space="preserve">Antoinette Verhage, ‘Do We Need Discretion? Police Decisions and the Limits of the Law’, in </w:t>
      </w:r>
      <w:r w:rsidRPr="00133BF6">
        <w:rPr>
          <w:rFonts w:ascii="Segoe UI" w:hAnsi="Segoe UI" w:cs="Segoe UI"/>
          <w:i/>
          <w:iCs/>
        </w:rPr>
        <w:t>Policing in Smart Societies: Reflections on the Abstract Police</w:t>
      </w:r>
      <w:r w:rsidRPr="00133BF6">
        <w:rPr>
          <w:rFonts w:ascii="Segoe UI" w:hAnsi="Segoe UI" w:cs="Segoe UI"/>
        </w:rPr>
        <w:t xml:space="preserve">, ed. </w:t>
      </w:r>
      <w:r w:rsidRPr="00716CAC">
        <w:rPr>
          <w:rFonts w:ascii="Segoe UI" w:hAnsi="Segoe UI" w:cs="Segoe UI"/>
        </w:rPr>
        <w:t>Antoinette Verhage et al. (Springer International Publishing, 2022), https://doi.org/10.1007/978-3-030-83685-6_6.</w:t>
      </w:r>
      <w:r w:rsidRPr="00133BF6">
        <w:rPr>
          <w:rFonts w:ascii="Segoe UI" w:hAnsi="Segoe UI" w:cs="Segoe UI"/>
        </w:rPr>
        <w:fldChar w:fldCharType="end"/>
      </w:r>
    </w:p>
  </w:endnote>
  <w:endnote w:id="13">
    <w:p w:rsidR="00AE1CB5" w:rsidRPr="00133BF6">
      <w:pPr>
        <w:pStyle w:val="EndnoteText"/>
        <w:rPr>
          <w:rFonts w:ascii="Segoe UI" w:hAnsi="Segoe UI" w:cs="Segoe UI"/>
          <w:lang w:val="en-GB"/>
        </w:rPr>
      </w:pPr>
      <w:r w:rsidRPr="00133BF6">
        <w:rPr>
          <w:rStyle w:val="EndnoteReference"/>
          <w:rFonts w:ascii="Segoe UI" w:hAnsi="Segoe UI" w:cs="Segoe UI"/>
        </w:rPr>
        <w:endnoteRef/>
      </w:r>
      <w:r w:rsidRPr="00133BF6">
        <w:rPr>
          <w:rFonts w:ascii="Segoe UI" w:hAnsi="Segoe UI" w:cs="Segoe UI"/>
        </w:rPr>
        <w:t xml:space="preserve"> </w:t>
      </w:r>
      <w:r w:rsidRPr="00133BF6">
        <w:rPr>
          <w:rFonts w:ascii="Segoe UI" w:hAnsi="Segoe UI" w:cs="Segoe UI"/>
        </w:rPr>
        <w:fldChar w:fldCharType="begin"/>
      </w:r>
      <w:r w:rsidRPr="00133BF6">
        <w:rPr>
          <w:rFonts w:ascii="Segoe UI" w:hAnsi="Segoe UI" w:cs="Segoe UI"/>
        </w:rPr>
        <w:instrText xml:space="preserve"> ADDIN ZOTERO_ITEM CSL_CITATION {"citationID":"PuPPT5z8","properties":{"formattedCitation":"HM Government, {\\i{}Serious Violence Strategy} (2018), https://assets.publishing.service.gov.uk/media/5acb21d140f0b64fed0afd55/serious-violence-strategy.pdf.","plainCitation":"HM Government, Serious Violence Strategy (2018), https://assets.publishing.service.gov.uk/media/5acb21d140f0b64fed0afd55/serious-violence-strategy.pdf.","noteIndex":12},"citationItems":[{"id":4019,"uris":["http://zotero.org/users/5570075/items</w:instrText>
      </w:r>
      <w:r w:rsidRPr="00133BF6">
        <w:rPr>
          <w:rFonts w:ascii="Segoe UI" w:hAnsi="Segoe UI" w:cs="Segoe UI"/>
        </w:rPr>
        <w:instrText xml:space="preserve">/AX8W9CYK"],"itemData":{"id":4019,"type":"report","title":"Serious Violence Strategy","URL":"https://assets.publishing.service.gov.uk/media/5acb21d140f0b64fed0afd55/serious-violence-strategy.pdf","author":[{"family":"HM Government","given":""}],"issued":{"date-parts":[["2018",4]]}}}],"schema":"https://github.com/citation-style-language/schema/raw/master/csl-citation.json"} </w:instrText>
      </w:r>
      <w:r w:rsidRPr="00133BF6">
        <w:rPr>
          <w:rFonts w:ascii="Segoe UI" w:hAnsi="Segoe UI" w:cs="Segoe UI"/>
        </w:rPr>
        <w:fldChar w:fldCharType="separate"/>
      </w:r>
      <w:r w:rsidRPr="00133BF6">
        <w:rPr>
          <w:rFonts w:ascii="Segoe UI" w:hAnsi="Segoe UI" w:cs="Segoe UI"/>
        </w:rPr>
        <w:t xml:space="preserve">HM Government, </w:t>
      </w:r>
      <w:r w:rsidRPr="00133BF6">
        <w:rPr>
          <w:rFonts w:ascii="Segoe UI" w:hAnsi="Segoe UI" w:cs="Segoe UI"/>
          <w:i/>
          <w:iCs/>
        </w:rPr>
        <w:t>Serious Violence Strategy</w:t>
      </w:r>
      <w:r w:rsidRPr="00133BF6">
        <w:rPr>
          <w:rFonts w:ascii="Segoe UI" w:hAnsi="Segoe UI" w:cs="Segoe UI"/>
        </w:rPr>
        <w:t xml:space="preserve"> (2018), https://assets.publishing.service.gov.uk/media/5acb21d140f0b64fed0afd55/serious-violence-strategy.pdf.</w:t>
      </w:r>
      <w:r w:rsidRPr="00133BF6">
        <w:rPr>
          <w:rFonts w:ascii="Segoe UI" w:hAnsi="Segoe UI" w:cs="Segoe UI"/>
        </w:rPr>
        <w:fldChar w:fldCharType="end"/>
      </w:r>
    </w:p>
  </w:endnote>
  <w:endnote w:id="14">
    <w:p w:rsidR="00AE1CB5" w:rsidRPr="00133BF6">
      <w:pPr>
        <w:pStyle w:val="EndnoteText"/>
        <w:rPr>
          <w:rFonts w:ascii="Segoe UI" w:hAnsi="Segoe UI" w:cs="Segoe UI"/>
          <w:lang w:val="en-GB"/>
        </w:rPr>
      </w:pPr>
      <w:r w:rsidRPr="00133BF6">
        <w:rPr>
          <w:rStyle w:val="EndnoteReference"/>
          <w:rFonts w:ascii="Segoe UI" w:hAnsi="Segoe UI" w:cs="Segoe UI"/>
        </w:rPr>
        <w:endnoteRef/>
      </w:r>
      <w:r w:rsidRPr="00133BF6">
        <w:rPr>
          <w:rFonts w:ascii="Segoe UI" w:hAnsi="Segoe UI" w:cs="Segoe UI"/>
        </w:rPr>
        <w:t xml:space="preserve"> </w:t>
      </w:r>
      <w:r w:rsidRPr="00133BF6">
        <w:rPr>
          <w:rFonts w:ascii="Segoe UI" w:hAnsi="Segoe UI" w:cs="Segoe UI"/>
        </w:rPr>
        <w:fldChar w:fldCharType="begin"/>
      </w:r>
      <w:r w:rsidRPr="00133BF6">
        <w:rPr>
          <w:rFonts w:ascii="Segoe UI" w:hAnsi="Segoe UI" w:cs="Segoe UI"/>
        </w:rPr>
        <w:instrText xml:space="preserve"> ADDIN ZOTERO_ITEM CSL_CITATION {"citationID":"4hpZfXit","properties":{"formattedCitation":"Mayor\\uc0\\u8217{}s Office for Policing and Crime, \\uc0\\u8216{}The Mayor\\uc0\\u8217{}s Violence Against Women and Girls Strategy 2022-25\\uc0\\u8217{}, Mayor of London London Assembly, 15 June 2022, https://www.london.gov.uk/programmes-strategies/mayors-office-policing-and-crime-mopac/mopac-news-and-publications/mopac-publications/mayors-violence-against-women-and-girls-strategy-2022-25.","plainCitation":"Mayor’s</w:instrText>
      </w:r>
      <w:r w:rsidRPr="00133BF6">
        <w:rPr>
          <w:rFonts w:ascii="Segoe UI" w:hAnsi="Segoe UI" w:cs="Segoe UI"/>
        </w:rPr>
        <w:instrText xml:space="preserve"> Office for Policing and Crime, ‘The Mayor’s Violence Against Women and Girls Strategy 2022-25’, Mayor of London London Assembly, 15 June 2022, https://www.london.gov.uk/programmes-strategies/mayors-office-policing-and-crime-mopac/mopac-news-and-publications/mopac-publications/mayors-violence-against-women-and-girls-strategy-2022-25.","noteIndex":13},"citationItems":[{"id":4020,"uris":["http://zotero.org/users/5570075/items/CADSIQ8C"],"itemData":{"id":4020,"type":"webpage","abstract":"Find out more about th</w:instrText>
      </w:r>
      <w:r w:rsidRPr="00133BF6">
        <w:rPr>
          <w:rFonts w:ascii="Segoe UI" w:hAnsi="Segoe UI" w:cs="Segoe UI"/>
        </w:rPr>
        <w:instrText>e Mayor's Violence Against Women and Girls strategy","container-title":"Mayor of London London Assembly","language":"en-gb","title":"The Mayor’s Violence Against Women and Girls Strategy 2022-25","URL":"https://www.london.gov.uk/programmes-strategies/mayors-office-policing-and-crime-mopac/mopac-news-and-publications/mopac-publications/mayors-violence-against-women-and-girls-strategy-2022-25","author":[{"family":"Mayor's Office for Policing and Crime","given":""}],"accessed":{"date-parts":[["2026",4,22]]},"i</w:instrText>
      </w:r>
      <w:r w:rsidRPr="00133BF6">
        <w:rPr>
          <w:rFonts w:ascii="Segoe UI" w:hAnsi="Segoe UI" w:cs="Segoe UI"/>
        </w:rPr>
        <w:instrText xml:space="preserve">ssued":{"date-parts":[["2022",6,15]]}}}],"schema":"https://github.com/citation-style-language/schema/raw/master/csl-citation.json"} </w:instrText>
      </w:r>
      <w:r w:rsidRPr="00133BF6">
        <w:rPr>
          <w:rFonts w:ascii="Segoe UI" w:hAnsi="Segoe UI" w:cs="Segoe UI"/>
        </w:rPr>
        <w:fldChar w:fldCharType="separate"/>
      </w:r>
      <w:r w:rsidRPr="00133BF6">
        <w:rPr>
          <w:rFonts w:ascii="Segoe UI" w:hAnsi="Segoe UI" w:cs="Segoe UI"/>
        </w:rPr>
        <w:t xml:space="preserve">Mayor’s Office for Policing and Crime, ‘The Mayor’s Violence Against Women and Girls Strategy 2022-25’, Mayor of London </w:t>
      </w:r>
      <w:r w:rsidRPr="00133BF6">
        <w:rPr>
          <w:rFonts w:ascii="Segoe UI" w:hAnsi="Segoe UI" w:cs="Segoe UI"/>
        </w:rPr>
        <w:t>London</w:t>
      </w:r>
      <w:r w:rsidRPr="00133BF6">
        <w:rPr>
          <w:rFonts w:ascii="Segoe UI" w:hAnsi="Segoe UI" w:cs="Segoe UI"/>
        </w:rPr>
        <w:t xml:space="preserve"> Assembly, 15 June 2022, https://www.london.gov.uk/programmes-strategies/mayors-office-policing-and-crime-mopac/mopac-news-and-publications/mopac-publications/mayors-violence-against-women-and-girls-strategy-2022-25.</w:t>
      </w:r>
      <w:r w:rsidRPr="00133BF6">
        <w:rPr>
          <w:rFonts w:ascii="Segoe UI" w:hAnsi="Segoe UI" w:cs="Segoe UI"/>
        </w:rPr>
        <w:fldChar w:fldCharType="end"/>
      </w:r>
    </w:p>
  </w:endnote>
  <w:endnote w:id="15">
    <w:p w:rsidR="00AE1CB5" w:rsidRPr="00133BF6">
      <w:pPr>
        <w:pStyle w:val="EndnoteText"/>
        <w:rPr>
          <w:rFonts w:ascii="Segoe UI" w:hAnsi="Segoe UI" w:cs="Segoe UI"/>
          <w:lang w:val="en-GB"/>
        </w:rPr>
      </w:pPr>
      <w:r w:rsidRPr="00133BF6">
        <w:rPr>
          <w:rStyle w:val="EndnoteReference"/>
          <w:rFonts w:ascii="Segoe UI" w:hAnsi="Segoe UI" w:cs="Segoe UI"/>
        </w:rPr>
        <w:endnoteRef/>
      </w:r>
      <w:r w:rsidRPr="00133BF6">
        <w:rPr>
          <w:rFonts w:ascii="Segoe UI" w:hAnsi="Segoe UI" w:cs="Segoe UI"/>
        </w:rPr>
        <w:t xml:space="preserve"> </w:t>
      </w:r>
      <w:r w:rsidRPr="00133BF6">
        <w:rPr>
          <w:rFonts w:ascii="Segoe UI" w:hAnsi="Segoe UI" w:cs="Segoe UI"/>
        </w:rPr>
        <w:fldChar w:fldCharType="begin"/>
      </w:r>
      <w:r w:rsidRPr="00133BF6">
        <w:rPr>
          <w:rFonts w:ascii="Segoe UI" w:hAnsi="Segoe UI" w:cs="Segoe UI"/>
        </w:rPr>
        <w:instrText xml:space="preserve"> ADDIN ZOTERO_ITEM CSL_CITATION {"citationID":"jSpeJ8qy","properties":{"formattedCitation":"R (Bridges) v South Wales Police, C1/2019/2670 (Court of Appeal (Civil Division) 11 August 2020), https://www.judiciary.uk/wp-content/uploads/2020/08/R-Bridges-v-CC-South-Wales-ors-Judgment.pdf.","plainCitation":"R (Bridges) v South Wales Police, C1/2019/2670 (Court of Appeal (Civil Division) 11 August 2020), https://www.judiciary.uk/wp-content/uploads/2020/08/R-Bridges-v-CC-South-Wales-ors-Judgment.pdf.","noteIndex"</w:instrText>
      </w:r>
      <w:r w:rsidRPr="00133BF6">
        <w:rPr>
          <w:rFonts w:ascii="Segoe UI" w:hAnsi="Segoe UI" w:cs="Segoe UI"/>
        </w:rPr>
        <w:instrText xml:space="preserve">:14},"citationItems":[{"id":4023,"uris":["http://zotero.org/users/5570075/items/4DUKQZI6"],"itemData":{"id":4023,"type":"legal_case","authority":"Court of Appeal (Civil Division)","number":"C1/2019/2670","title":"R (Bridges) v South Wales Police","URL":"https://www.judiciary.uk/wp-content/uploads/2020/08/R-Bridges-v-CC-South-Wales-ors-Judgment.pdf","issued":{"date-parts":[["2020",8,11]]}}}],"schema":"https://github.com/citation-style-language/schema/raw/master/csl-citation.json"} </w:instrText>
      </w:r>
      <w:r w:rsidRPr="00133BF6">
        <w:rPr>
          <w:rFonts w:ascii="Segoe UI" w:hAnsi="Segoe UI" w:cs="Segoe UI"/>
        </w:rPr>
        <w:fldChar w:fldCharType="separate"/>
      </w:r>
      <w:r w:rsidRPr="00133BF6">
        <w:rPr>
          <w:rFonts w:ascii="Segoe UI" w:hAnsi="Segoe UI" w:cs="Segoe UI"/>
        </w:rPr>
        <w:t>R (Bridges) v South Wales Police, C1/2019/2670 (Court of Appeal (Civil Division) 11 August 2020), https://www.judiciary.uk/wp-content/uploads/2020/08/R-Bridges-v-CC-South-Wales-ors-Judgment.pdf.</w:t>
      </w:r>
      <w:r w:rsidRPr="00133BF6">
        <w:rPr>
          <w:rFonts w:ascii="Segoe UI" w:hAnsi="Segoe UI" w:cs="Segoe UI"/>
        </w:rPr>
        <w:fldChar w:fldCharType="end"/>
      </w:r>
    </w:p>
  </w:endnote>
  <w:endnote w:id="16">
    <w:p w:rsidR="00AE1CB5" w:rsidRPr="008A0625" w:rsidP="00EA41A9">
      <w:pPr>
        <w:pStyle w:val="EndnoteText"/>
        <w:rPr>
          <w:rFonts w:ascii="Segoe UI" w:hAnsi="Segoe UI" w:cs="Segoe UI"/>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{"citationID":"rUN1WyKN","properties":{"formattedCitation":"Silkie Carlo, \\uc0\\u8216{}Facial Recognition Lessons from the EU AI Act\\uc0\\u8217{}, House of Lords, 10 September 2024.","plainCitation":"Silkie Carlo, ‘Facial Recognition Lessons from the EU AI Act’, House of Lords, 10 September 2024.","noteIndex":9},"citationItems":[{"id":1621,"uris":["http://zotero.org/users/5570075/items/6V3B7S5X"],"itemData":{"id":1621,"type":"speech","event-place":"House of Lords","publishe</w:instrText>
      </w:r>
      <w:r w:rsidRPr="008A0625">
        <w:rPr>
          <w:rFonts w:ascii="Segoe UI" w:hAnsi="Segoe UI" w:cs="Segoe UI"/>
        </w:rPr>
        <w:instrText xml:space="preserve">r-place":"House of Lords","title":"Facial recognition Lessons from the EU AI Act","author":[{"family":"Carlo","given":"Silkie"}],"issued":{"date-parts":[["2024",9,10]]}}}],"schema":"https://github.com/citation-style-language/schema/raw/master/csl-citation.json"}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Silkie Carlo, ‘Facial Recognition Lessons from the EU AI Act’, House of Lords, 10 September 2024.</w:t>
      </w:r>
      <w:r w:rsidRPr="008A0625">
        <w:rPr>
          <w:rFonts w:ascii="Segoe UI" w:hAnsi="Segoe UI" w:cs="Segoe UI"/>
        </w:rPr>
        <w:fldChar w:fldCharType="end"/>
      </w:r>
    </w:p>
  </w:endnote>
  <w:endnote w:id="17">
    <w:p w:rsidR="00AE1CB5" w:rsidRPr="008A0625" w:rsidP="008C06CF">
      <w:pPr>
        <w:pStyle w:val="EndnoteText"/>
        <w:rPr>
          <w:rFonts w:ascii="Segoe UI" w:hAnsi="Segoe UI" w:cs="Segoe UI"/>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{"citationID":"mEMox55X","properties":{"formattedCitation":"{\\i{}Data Protection and Digital Information}, vol. 2, with Alex Lawrence-Archer, Bill Debate, 2023, https://www.theyworkforyou.com/pbc/2022-23/Data_Protection_and_Digital_Information_%28No._2%29_Bill/02-0_2023-05-10a.76.0#g76.3.","plainCitation":"Data Protection and Digital Information, vol. 2, with Alex Lawrence-Archer, Bill Debate, 2023, https://www.theyworkforyou.com/pbc/2022-23/Data_Protection_and_Digital_Infor</w:instrText>
      </w:r>
      <w:r w:rsidRPr="008A0625">
        <w:rPr>
          <w:rFonts w:ascii="Segoe UI" w:hAnsi="Segoe UI" w:cs="Segoe UI"/>
        </w:rPr>
        <w:instrText>mation_%28No._2%29_Bill/02-0_2023-05-10a.76.0#g76.3.","noteIndex":10},"citationItems":[{"id":1620,"uris":["http://zotero.org/users/5570075/items/HMEXGJZS"],"itemData":{"id":1620,"type":"motion_picture","collection-title":"Bill Debate","title":"Data Protection and Digital Information","URL":"https://www.theyworkforyou.com/pbc/2022-23/Data_Protection_and_Digital_Information_%28No._2%29_Bill/02-0_2023-05-10a.76.0#g76.3","volume":"2","contributor":[{"family":"Lawrence-Archer","given":"Alex"}],"issued":{"date-pa</w:instrText>
      </w:r>
      <w:r w:rsidRPr="008A0625">
        <w:rPr>
          <w:rFonts w:ascii="Segoe UI" w:hAnsi="Segoe UI" w:cs="Segoe UI"/>
        </w:rPr>
        <w:instrText xml:space="preserve">rts":[["2023",5,10]]}}}],"schema":"https://github.com/citation-style-language/schema/raw/master/csl-citation.json"} </w:instrText>
      </w:r>
      <w:r w:rsidRPr="008A0625">
        <w:rPr>
          <w:rFonts w:ascii="Segoe UI" w:hAnsi="Segoe UI" w:cs="Segoe UI"/>
        </w:rPr>
        <w:fldChar w:fldCharType="separate"/>
      </w:r>
      <w:r w:rsidRPr="008A0625">
        <w:rPr>
          <w:rFonts w:ascii="Segoe UI" w:hAnsi="Segoe UI" w:cs="Segoe UI"/>
          <w:i/>
          <w:iCs/>
        </w:rPr>
        <w:t>Data Protection and Digital Information</w:t>
      </w:r>
      <w:r w:rsidRPr="008A0625">
        <w:rPr>
          <w:rFonts w:ascii="Segoe UI" w:hAnsi="Segoe UI" w:cs="Segoe UI"/>
        </w:rPr>
        <w:t>, vol. 2, with Alex Lawrence-Archer, Bill Debate, 2023, https://www.theyworkforyou.com/pbc/2022-23/Data_Protection_and_Digital_Information_%28No._2%29_Bill/02-0_2023-05-10a.76.0#g76.3.</w:t>
      </w:r>
      <w:r w:rsidRPr="008A0625">
        <w:rPr>
          <w:rFonts w:ascii="Segoe UI" w:hAnsi="Segoe UI" w:cs="Segoe UI"/>
        </w:rPr>
        <w:fldChar w:fldCharType="end"/>
      </w:r>
    </w:p>
  </w:endnote>
  <w:endnote w:id="18">
    <w:p w:rsidR="00AE1CB5" w:rsidRPr="008A0625" w:rsidP="00EA41A9">
      <w:pPr>
        <w:pStyle w:val="EndnoteText"/>
        <w:rPr>
          <w:rFonts w:ascii="Segoe UI" w:hAnsi="Segoe UI" w:cs="Segoe UI"/>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{"citationID":"3XLIFyIP","properties":{"formattedCitation":"Patrick Grother et al., {\\i{}Face Recognition Vendor Test (FRVT) Part 3: Demographic Effects}, no. 3 (National Institute of Standards and Technology U.S. Department of Commerce, 2019), 1\\uc0\\u8211{}79, https://doi.org/10.6028/NIST.IR.8280.","plainCitation":"Patrick Grother et al., Face Recognition Vendor Test (FRVT) Part 3: Demographic Effects, no. 3 (National Institute of Standards and Technology U.S. Department </w:instrText>
      </w:r>
      <w:r w:rsidRPr="008A0625">
        <w:rPr>
          <w:rFonts w:ascii="Segoe UI" w:hAnsi="Segoe UI" w:cs="Segoe UI"/>
        </w:rPr>
        <w:instrText>of Commerce, 2019), 1–79, https://doi.org/10.6028/NIST.IR.8280.","noteIndex":11},"citationItems":[{"id":1631,"uris":["http://zotero.org/users/5570075/items/RIWGRBPM"],"itemData":{"id":1631,"type":"report","number":"3","page":"1-79","publisher":"National Institute of Standards and Technology U.S. Department of Commerce","title":"Face Recognition Vendor Test (FRVT) Part 3: Demographic Effects","URL":"https://doi.org/10.6028/NIST.IR.8280","author":[{"family":"Grother","given":"Patrick"},{"family":"Ngan","given</w:instrText>
      </w:r>
      <w:r w:rsidRPr="008A0625">
        <w:rPr>
          <w:rFonts w:ascii="Segoe UI" w:hAnsi="Segoe UI" w:cs="Segoe UI"/>
        </w:rPr>
        <w:instrText xml:space="preserve">":"Mei"},{"family":"Hanaoka","given":"Kayee"}],"issued":{"date-parts":[["2019"]]}}}],"schema":"https://github.com/citation-style-language/schema/raw/master/csl-citation.json"}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 xml:space="preserve">Patrick Grother et al., </w:t>
      </w:r>
      <w:r w:rsidRPr="008A0625">
        <w:rPr>
          <w:rFonts w:ascii="Segoe UI" w:hAnsi="Segoe UI" w:cs="Segoe UI"/>
          <w:i/>
          <w:iCs/>
        </w:rPr>
        <w:t>Face Recognition Vendor Test (FRVT) Part 3: Demographic Effects</w:t>
      </w:r>
      <w:r w:rsidRPr="008A0625">
        <w:rPr>
          <w:rFonts w:ascii="Segoe UI" w:hAnsi="Segoe UI" w:cs="Segoe UI"/>
        </w:rPr>
        <w:t>, no. 3 (National Institute of Standards and Technology U.S. Department of Commerce, 2019), 1–79, https://doi.org/10.6028/NIST.IR.8280.</w:t>
      </w:r>
      <w:r w:rsidRPr="008A0625">
        <w:rPr>
          <w:rFonts w:ascii="Segoe UI" w:hAnsi="Segoe UI" w:cs="Segoe UI"/>
        </w:rPr>
        <w:fldChar w:fldCharType="end"/>
      </w:r>
    </w:p>
  </w:endnote>
  <w:endnote w:id="19">
    <w:p w:rsidR="00AE1CB5" w:rsidRPr="008A0625" w:rsidP="005D492F">
      <w:pPr>
        <w:pStyle w:val="EndnoteText"/>
        <w:rPr>
          <w:rFonts w:ascii="Segoe UI" w:hAnsi="Segoe UI" w:cs="Segoe UI"/>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{"citationID":"9XdsXfXE","properties":{"formattedCitation":"Metropolitan Police Service, {\\i{}Live Facial Recognition Annual Report} (London, United Kingdom, 2025), 19, https://www.met.police.uk/SysSiteAssets/media/downloads/force-content/met/advice/lfr/other-lfr-documents/live-facial-recognition-annual-report-2025.pdf.","plainCitation":"Metropolitan Police Service, Live Facial Recognition Annual Report (London, United Kingdom, 2025), 19, https://www.met.police.uk/SysSiteAss</w:instrText>
      </w:r>
      <w:r w:rsidRPr="008A0625">
        <w:rPr>
          <w:rFonts w:ascii="Segoe UI" w:hAnsi="Segoe UI" w:cs="Segoe UI"/>
        </w:rPr>
        <w:instrText>ets/media/downloads/force-content/met/advice/lfr/other-lfr-documents/live-facial-recognition-annual-report-2025.pdf.","noteIndex":12},"citationItems":[{"id":3836,"uris":["http://zotero.org/groups/5918879/items/9GYSBC6R"],"itemData":{"id":3836,"type":"report","event-place":"London, United Kingdom","page":"19","publisher-place":"London, United Kingdom","title":"Live Facial Recognition Annual Report","URL":"https://www.met.police.uk/SysSiteAssets/media/downloads/force-content/met/advice/lfr/other-lfr-documents</w:instrText>
      </w:r>
      <w:r w:rsidRPr="008A0625">
        <w:rPr>
          <w:rFonts w:ascii="Segoe UI" w:hAnsi="Segoe UI" w:cs="Segoe UI"/>
        </w:rPr>
        <w:instrText xml:space="preserve">/live-facial-recognition-annual-report-2025.pdf","author":[{"family":"Metropolitan Police Service","given":""}],"issued":{"date-parts":[["2025",9]]}}}],"schema":"https://github.com/citation-style-language/schema/raw/master/csl-citation.json"}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 xml:space="preserve">Metropolitan Police Service, </w:t>
      </w:r>
      <w:r w:rsidRPr="008A0625">
        <w:rPr>
          <w:rFonts w:ascii="Segoe UI" w:hAnsi="Segoe UI" w:cs="Segoe UI"/>
          <w:i/>
          <w:iCs/>
        </w:rPr>
        <w:t>Live Facial Recognition Annual Report</w:t>
      </w:r>
      <w:r w:rsidRPr="008A0625">
        <w:rPr>
          <w:rFonts w:ascii="Segoe UI" w:hAnsi="Segoe UI" w:cs="Segoe UI"/>
        </w:rPr>
        <w:t xml:space="preserve"> (London, United Kingdom, 2025), 19, https://www.met.police.uk/SysSiteAssets/media/downloads/force-content/met/advice/lfr/other-lfr-documents/live-facial-recognition-annual-report-2025.pdf.</w:t>
      </w:r>
      <w:r w:rsidRPr="008A0625">
        <w:rPr>
          <w:rFonts w:ascii="Segoe UI" w:hAnsi="Segoe UI" w:cs="Segoe UI"/>
        </w:rPr>
        <w:fldChar w:fldCharType="end"/>
      </w:r>
    </w:p>
  </w:endnote>
  <w:endnote w:id="20">
    <w:p w:rsidR="00AE1CB5" w:rsidRPr="008A0625" w:rsidP="000A3A3A">
      <w:pPr>
        <w:pStyle w:val="EndnoteText"/>
        <w:rPr>
          <w:rFonts w:ascii="Segoe UI" w:hAnsi="Segoe UI" w:cs="Segoe UI"/>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{"citationID":"g0GTsujU","properties":{"formattedCitation":"Artificial Intelligence Act (2024), https://clairk.digitalpolicyalert.org/documents/ai-act-official-journal-version/?refs=article-50,article-26.","plainCitation":"Artificial Intelligence Act (2024), https://clairk.digitalpolicyalert.org/documents/ai-act-official-journal-version/?refs=article-50,article-26.","noteIndex":13},"citationItems":[{"id":1622,"uris":["http://zotero.org/users/5570075/items/GK7MLCRJ"],"itemData</w:instrText>
      </w:r>
      <w:r w:rsidRPr="008A0625">
        <w:rPr>
          <w:rFonts w:ascii="Segoe UI" w:hAnsi="Segoe UI" w:cs="Segoe UI"/>
        </w:rPr>
        <w:instrText xml:space="preserve">":{"id":1622,"type":"legislation","title":"Artificial Intelligence Act","URL":"https://clairk.digitalpolicyalert.org/documents/ai-act-official-journal-version/?refs=article-50,article-26","author":[{"family":"European Union","given":""}],"issued":{"date-parts":[["2024"]]}}}],"schema":"https://github.com/citation-style-language/schema/raw/master/csl-citation.json"}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Artificial Intelligence Act (2024), https://clairk.digitalpolicyalert.org/documents/ai-act-official-journal-version/?refs=article-50,article-26.</w:t>
      </w:r>
      <w:r w:rsidRPr="008A0625">
        <w:rPr>
          <w:rFonts w:ascii="Segoe UI" w:hAnsi="Segoe UI" w:cs="Segoe UI"/>
        </w:rPr>
        <w:fldChar w:fldCharType="end"/>
      </w:r>
    </w:p>
  </w:endnote>
  <w:endnote w:id="21">
    <w:p w:rsidR="00AE1CB5" w:rsidRPr="008A0625" w:rsidP="00767F5A">
      <w:pPr>
        <w:pStyle w:val="EndnoteText"/>
        <w:rPr>
          <w:rFonts w:ascii="Segoe UI" w:hAnsi="Segoe UI" w:cs="Segoe UI"/>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{"citationID":"YJh9SX6K","properties":{"formattedCitation":"Ella Jakubowska, \\uc0\\u8216{}Facial Recognition Lessons from the EU AI Act\\uc0\\u8217{}, House of Lords, 10 September 2024.","plainCitation":"Ella Jakubowska, ‘Facial Recognition Lessons from the EU AI Act’, House of Lords, 10 September 2024.","noteIndex":14},"citationItems":[{"id":1619,"uris":["http://zotero.org/users/5570075/items/UZJ72HKN"],"itemData":{"id":1619,"type":"speech","event-place":"House of Lords","p</w:instrText>
      </w:r>
      <w:r w:rsidRPr="008A0625">
        <w:rPr>
          <w:rFonts w:ascii="Segoe UI" w:hAnsi="Segoe UI" w:cs="Segoe UI"/>
        </w:rPr>
        <w:instrText xml:space="preserve">ublisher-place":"House of Lords","title":"Facial recognition Lessons from the EU AI Act","author":[{"family":"Jakubowska","given":"Ella"}],"issued":{"date-parts":[["2024",9,10]]}}}],"schema":"https://github.com/citation-style-language/schema/raw/master/csl-citation.json"}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Ella Jakubowska, ‘Facial Recognition Lessons from the EU AI Act’, House of Lords, 10 September 2024.</w:t>
      </w:r>
      <w:r w:rsidRPr="008A0625">
        <w:rPr>
          <w:rFonts w:ascii="Segoe UI" w:hAnsi="Segoe UI" w:cs="Segoe UI"/>
        </w:rPr>
        <w:fldChar w:fldCharType="end"/>
      </w:r>
    </w:p>
  </w:endnote>
  <w:endnote w:id="22">
    <w:p w:rsidR="00AE1CB5" w:rsidRPr="008A0625" w:rsidP="00D42937">
      <w:pPr>
        <w:pStyle w:val="EndnoteText"/>
        <w:rPr>
          <w:rFonts w:ascii="Segoe UI" w:hAnsi="Segoe UI" w:cs="Segoe UI"/>
          <w:lang w:val="en-GB"/>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{"citationID":"3iC2t1gg","properties":{"formattedCitation":"HMICFRS, {\\i{}Race and Policing: An Inspection of Race Disparity in Police Criminal Justice Decision-Making} (HMICFRS, 2023), https://hmicfrs.justiceinspectorates.gov.uk/publication-html/inspection-of-race-disparity-in-police-criminal-justice-decision-making/.","plainCitation":"HMICFRS, Race and Policing: An Inspection of Race Disparity in Police Criminal Justice Decision-Making (HMICFRS, 2023), https://hmicfrs.just</w:instrText>
      </w:r>
      <w:r w:rsidRPr="008A0625">
        <w:rPr>
          <w:rFonts w:ascii="Segoe UI" w:hAnsi="Segoe UI" w:cs="Segoe UI"/>
        </w:rPr>
        <w:instrText>iceinspectorates.gov.uk/publication-html/inspection-of-race-disparity-in-police-criminal-justice-decision-making/.","noteIndex":15},"citationItems":[{"id":1158,"uris":["http://zotero.org/users/5570075/items/YRYWIRFD"],"itemData":{"id":1158,"type":"report","abstract":"Foreword Some decisions that the police make daily about criminal justice matters can have life‑changing consequences for the people concerned. For example, the power to arrest and deprive someone of their freedom is one of the strongest powers</w:instrText>
      </w:r>
      <w:r w:rsidRPr="008A0625">
        <w:rPr>
          <w:rFonts w:ascii="Segoe UI" w:hAnsi="Segoe UI" w:cs="Segoe UI"/>
        </w:rPr>
        <w:instrText xml:space="preserve"> available to police officers. Subsequent decisions on whether to charge someone with an offence, or deal with...","language":"en-GB","publisher":"HMICFRS","title":"Race and policing: An inspection of race disparity in police criminal justice decision-making","title-short":"Race and policing","URL":"https://hmicfrs.justiceinspectorates.gov.uk/publication-html/inspection-of-race-disparity-in-police-criminal-justice-decision-making/","author":[{"family":"HMICFRS","given":""}],"accessed":{"date-parts":[["2024"</w:instrText>
      </w:r>
      <w:r w:rsidRPr="008A0625">
        <w:rPr>
          <w:rFonts w:ascii="Segoe UI" w:hAnsi="Segoe UI" w:cs="Segoe UI"/>
        </w:rPr>
        <w:instrText xml:space="preserve">,6,6]]},"issued":{"date-parts":[["2023",8,25]]}}}],"schema":"https://github.com/citation-style-language/schema/raw/master/csl-citation.json"}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 xml:space="preserve">HMICFRS, </w:t>
      </w:r>
      <w:r w:rsidRPr="008A0625">
        <w:rPr>
          <w:rFonts w:ascii="Segoe UI" w:hAnsi="Segoe UI" w:cs="Segoe UI"/>
          <w:i/>
          <w:iCs/>
        </w:rPr>
        <w:t>Race and Policing: An Inspection of Race Disparity in Police Criminal Justice Decision-Making</w:t>
      </w:r>
      <w:r w:rsidRPr="008A0625">
        <w:rPr>
          <w:rFonts w:ascii="Segoe UI" w:hAnsi="Segoe UI" w:cs="Segoe UI"/>
        </w:rPr>
        <w:t xml:space="preserve"> (HMICFRS, 2023), https://hmicfrs.justiceinspectorates.gov.uk/publication-html/inspection-of-race-disparity-in-police-criminal-justice-decision-making/.</w:t>
      </w:r>
      <w:r w:rsidRPr="008A0625">
        <w:rPr>
          <w:rFonts w:ascii="Segoe UI" w:hAnsi="Segoe UI" w:cs="Segoe UI"/>
        </w:rPr>
        <w:fldChar w:fldCharType="end"/>
      </w:r>
    </w:p>
  </w:endnote>
  <w:endnote w:id="23">
    <w:p w:rsidR="00AE1CB5" w:rsidRPr="008A0625" w:rsidP="00D42937">
      <w:pPr>
        <w:pStyle w:val="EndnoteText"/>
        <w:rPr>
          <w:rFonts w:ascii="Segoe UI" w:hAnsi="Segoe UI" w:cs="Segoe UI"/>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{"citationID":"ywsCj5K8","properties":{"formattedCitation":"Office for National Statistics, {\\i{}Assessment of Compliance with the Code of Practice for Official Statistics}, no. 268, Statistics on Crime in England and Wales (UK Statistics Authority, 2014), 1\\uc0\\u8211{}36, https://osr.statisticsauthority.gov.uk/wp-content/uploads/2015/12/images-assessmentreport268statisticsoncrimeinenglandandwale_tcm97-43508-1.pdf.","plainCitation":"Office for National Statistics, Assessme</w:instrText>
      </w:r>
      <w:r w:rsidRPr="008A0625">
        <w:rPr>
          <w:rFonts w:ascii="Segoe UI" w:hAnsi="Segoe UI" w:cs="Segoe UI"/>
        </w:rPr>
        <w:instrText>nt of Compliance with the Code of Practice for Official Statistics, no. 268, Statistics on Crime in England and Wales (UK Statistics Authority, 2014), 1–36, https://osr.statisticsauthority.gov.uk/wp-content/uploads/2015/12/images-assessmentreport268statisticsoncrimeinenglandandwale_tcm97-43508-1.pdf.","noteIndex":16},"citationItems":[{"id":1605,"uris":["http://zotero.org/users/5570075/items/GU8ZIWK7"],"itemData":{"id":1605,"type":"report","collection-title":"Statistics on Crime in England and Wales","event-</w:instrText>
      </w:r>
      <w:r w:rsidRPr="008A0625">
        <w:rPr>
          <w:rFonts w:ascii="Segoe UI" w:hAnsi="Segoe UI" w:cs="Segoe UI"/>
        </w:rPr>
        <w:instrText>place":"London, United Kingdom","number":"268","page":"1-36","publisher":"UK Statistics Authority","publisher-place":"London, United Kingdom","title":"Assessment of compliance with the Code of Practice for Official Statistics","URL":"https://osr.statisticsauthority.gov.uk/wp-content/uploads/2015/12/images-assessmentreport268statisticsoncrimeinenglandandwale_tcm97-43508-1.pdf","author":[{"family":"Office for National Statistics","given":""}],"accessed":{"date-parts":[["2024",10,8]]},"issued":{"date-parts":[[</w:instrText>
      </w:r>
      <w:r w:rsidRPr="008A0625">
        <w:rPr>
          <w:rFonts w:ascii="Segoe UI" w:hAnsi="Segoe UI" w:cs="Segoe UI"/>
        </w:rPr>
        <w:instrText xml:space="preserve">"2014",1]]}}}],"schema":"https://github.com/citation-style-language/schema/raw/master/csl-citation.json"}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 xml:space="preserve">Office for National Statistics, </w:t>
      </w:r>
      <w:r w:rsidRPr="008A0625">
        <w:rPr>
          <w:rFonts w:ascii="Segoe UI" w:hAnsi="Segoe UI" w:cs="Segoe UI"/>
          <w:i/>
          <w:iCs/>
        </w:rPr>
        <w:t>Assessment of Compliance with the Code of Practice for Official Statistics</w:t>
      </w:r>
      <w:r w:rsidRPr="008A0625">
        <w:rPr>
          <w:rFonts w:ascii="Segoe UI" w:hAnsi="Segoe UI" w:cs="Segoe UI"/>
        </w:rPr>
        <w:t>, no. 268, Statistics on Crime in England and Wales (UK Statistics Authority, 2014), 1–36, https://osr.statisticsauthority.gov.uk/wp-content/uploads/2015/12/images-assessmentreport268statisticsoncrimeinenglandandwale_tcm97-43508-1.pdf.</w:t>
      </w:r>
      <w:r w:rsidRPr="008A0625">
        <w:rPr>
          <w:rFonts w:ascii="Segoe UI" w:hAnsi="Segoe UI" w:cs="Segoe UI"/>
        </w:rPr>
        <w:fldChar w:fldCharType="end"/>
      </w:r>
    </w:p>
  </w:endnote>
  <w:endnote w:id="24">
    <w:p w:rsidR="00AE1CB5" w:rsidRPr="008A0625">
      <w:pPr>
        <w:pStyle w:val="EndnoteText"/>
        <w:rPr>
          <w:rFonts w:ascii="Segoe UI" w:hAnsi="Segoe UI" w:cs="Segoe UI"/>
          <w:lang w:val="en-GB"/>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{"citationID":"7ttTRTVV","properties":{"formattedCitation":"See again Netpol\\uc0\\u8217{}s analysis on this here: Netpol, {\\i{}Latest Home Office Data on Protest Powers Continues to Avoid Openness and Transparency}.","plainCitation":"See again Netpol’s analysis on this here: Netpol, Latest Home Office Data on Protest Powers Continues to Avoid Openness and Transparency.","noteIndex":15},"citationItems":[{"id":4006,"uris":["http://zotero.org/users/5570075/items/HBILPQJ5"],"it</w:instrText>
      </w:r>
      <w:r w:rsidRPr="008A0625">
        <w:rPr>
          <w:rFonts w:ascii="Segoe UI" w:hAnsi="Segoe UI" w:cs="Segoe UI"/>
        </w:rPr>
        <w:instrText>emData":{"id":4006,"type":"post-weblog","abstract":"On 5 February, the Home Office released the second tranche of data on the police use of protest restrictions, specifically the use of Section 12 and Section 14 of the Public Order Act 1986. These powers allow police to place restrictions on protests (such as restricting the location, number of people, or duration) and then […]","language":"en-GB","title":"Latest Home Office Data on Protest Powers Continues to Avoid Openness and Transparency","URL":"https:/</w:instrText>
      </w:r>
      <w:r w:rsidRPr="008A0625">
        <w:rPr>
          <w:rFonts w:ascii="Segoe UI" w:hAnsi="Segoe UI" w:cs="Segoe UI"/>
        </w:rPr>
        <w:instrText xml:space="preserve">/netpol.org/2026/02/12/latest-home-office-data-on-protest-powers-continues-to-avoid-openness-and-transparency/","author":[{"family":"Netpol","given":""}],"accessed":{"date-parts":[["2026",4,22]]},"issued":{"date-parts":[["2026",2,12]]}},"prefix":"See again Netpol's analysis on this here:"}],"schema":"https://github.com/citation-style-language/schema/raw/master/csl-citation.json"}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 xml:space="preserve">See again </w:t>
      </w:r>
      <w:r w:rsidRPr="008A0625">
        <w:rPr>
          <w:rFonts w:ascii="Segoe UI" w:hAnsi="Segoe UI" w:cs="Segoe UI"/>
        </w:rPr>
        <w:t>Netpol’s</w:t>
      </w:r>
      <w:r w:rsidRPr="008A0625">
        <w:rPr>
          <w:rFonts w:ascii="Segoe UI" w:hAnsi="Segoe UI" w:cs="Segoe UI"/>
        </w:rPr>
        <w:t xml:space="preserve"> analysis on this here: </w:t>
      </w:r>
      <w:r w:rsidRPr="008A0625">
        <w:rPr>
          <w:rFonts w:ascii="Segoe UI" w:hAnsi="Segoe UI" w:cs="Segoe UI"/>
        </w:rPr>
        <w:t>Netpol</w:t>
      </w:r>
      <w:r w:rsidRPr="008A0625">
        <w:rPr>
          <w:rFonts w:ascii="Segoe UI" w:hAnsi="Segoe UI" w:cs="Segoe UI"/>
        </w:rPr>
        <w:t xml:space="preserve">, </w:t>
      </w:r>
      <w:r w:rsidRPr="008A0625">
        <w:rPr>
          <w:rFonts w:ascii="Segoe UI" w:hAnsi="Segoe UI" w:cs="Segoe UI"/>
          <w:i/>
          <w:iCs/>
        </w:rPr>
        <w:t>Latest Home Office Data on Protest Powers Continues to Avoid Openness and Transparency</w:t>
      </w:r>
      <w:r w:rsidRPr="008A0625">
        <w:rPr>
          <w:rFonts w:ascii="Segoe UI" w:hAnsi="Segoe UI" w:cs="Segoe UI"/>
        </w:rPr>
        <w:t>.</w:t>
      </w:r>
      <w:r w:rsidRPr="008A0625">
        <w:rPr>
          <w:rFonts w:ascii="Segoe UI" w:hAnsi="Segoe UI" w:cs="Segoe UI"/>
        </w:rPr>
        <w:fldChar w:fldCharType="end"/>
      </w:r>
    </w:p>
  </w:endnote>
  <w:endnote w:id="25">
    <w:p w:rsidR="00AE1CB5">
      <w:pPr>
        <w:pStyle w:val="EndnoteText"/>
        <w:rPr>
          <w:rFonts w:ascii="Segoe UI" w:hAnsi="Segoe UI" w:cs="Segoe UI"/>
        </w:rPr>
      </w:pPr>
      <w:r w:rsidRPr="008A0625">
        <w:rPr>
          <w:rStyle w:val="EndnoteReference"/>
          <w:rFonts w:ascii="Segoe UI" w:hAnsi="Segoe UI" w:cs="Segoe UI"/>
        </w:rPr>
        <w:endnoteRef/>
      </w:r>
      <w:r w:rsidRPr="008A0625">
        <w:rPr>
          <w:rFonts w:ascii="Segoe UI" w:hAnsi="Segoe UI" w:cs="Segoe UI"/>
        </w:rPr>
        <w:t xml:space="preserve"> </w:t>
      </w:r>
      <w:r w:rsidRPr="008A0625">
        <w:rPr>
          <w:rFonts w:ascii="Segoe UI" w:hAnsi="Segoe UI" w:cs="Segoe UI"/>
        </w:rPr>
        <w:fldChar w:fldCharType="begin"/>
      </w:r>
      <w:r w:rsidRPr="008A0625">
        <w:rPr>
          <w:rFonts w:ascii="Segoe UI" w:hAnsi="Segoe UI" w:cs="Segoe UI"/>
        </w:rPr>
        <w:instrText xml:space="preserve"> ADDIN ZOTERO_ITEM CSL_CITATION {"citationID":"vY1gkt1h","properties":{"formattedCitation":"Netpol, {\\i{}End Zero Accountability}, n.d., accessed 22 April 2026, https://netpol.org/end-zero-accountability/.","plainCitation":"Netpol, End Zero Accountability, n.d., accessed 22 April 2026, https://netpol.org/end-zero-accountability/.","noteIndex":18},"citationItems":[{"id":4017,"uris":["http://zotero.org/users/5570075/items/MMM4PR8H"],"itemData":{"id":4017,"type":"post-weblog","language":"en-GB","title":"End Z</w:instrText>
      </w:r>
      <w:r w:rsidRPr="008A0625">
        <w:rPr>
          <w:rFonts w:ascii="Segoe UI" w:hAnsi="Segoe UI" w:cs="Segoe UI"/>
        </w:rPr>
        <w:instrText xml:space="preserve">ero Accountability","URL":"https://netpol.org/end-zero-accountability/","author":[{"family":"Netpol","given":""}],"accessed":{"date-parts":[["2026",4,22]]}}}],"schema":"https://github.com/citation-style-language/schema/raw/master/csl-citation.json"} </w:instrText>
      </w:r>
      <w:r w:rsidRPr="008A0625">
        <w:rPr>
          <w:rFonts w:ascii="Segoe UI" w:hAnsi="Segoe UI" w:cs="Segoe UI"/>
        </w:rPr>
        <w:fldChar w:fldCharType="separate"/>
      </w:r>
      <w:r w:rsidRPr="008A0625">
        <w:rPr>
          <w:rFonts w:ascii="Segoe UI" w:hAnsi="Segoe UI" w:cs="Segoe UI"/>
        </w:rPr>
        <w:t>Netpol</w:t>
      </w:r>
      <w:r w:rsidRPr="008A0625">
        <w:rPr>
          <w:rFonts w:ascii="Segoe UI" w:hAnsi="Segoe UI" w:cs="Segoe UI"/>
        </w:rPr>
        <w:t xml:space="preserve">, </w:t>
      </w:r>
      <w:r w:rsidRPr="008A0625">
        <w:rPr>
          <w:rFonts w:ascii="Segoe UI" w:hAnsi="Segoe UI" w:cs="Segoe UI"/>
          <w:i/>
          <w:iCs/>
        </w:rPr>
        <w:t>End Zero Accountability</w:t>
      </w:r>
      <w:r w:rsidRPr="008A0625">
        <w:rPr>
          <w:rFonts w:ascii="Segoe UI" w:hAnsi="Segoe UI" w:cs="Segoe UI"/>
        </w:rPr>
        <w:t>, n.d., accessed 22 April 2026, https://netpol.org/end-zero-accountability/.</w:t>
      </w:r>
      <w:r w:rsidRPr="008A0625">
        <w:rPr>
          <w:rFonts w:ascii="Segoe UI" w:hAnsi="Segoe UI" w:cs="Segoe UI"/>
        </w:rPr>
        <w:fldChar w:fldCharType="end"/>
      </w:r>
    </w:p>
    <w:p w:rsidR="00BD056F" w:rsidRPr="00BD056F">
      <w:pPr>
        <w:pStyle w:val="EndnoteText"/>
        <w:rPr>
          <w:rFonts w:ascii="Calibri" w:hAnsi="Calibri" w:cs="Calibri"/>
        </w:rPr>
      </w:pPr>
    </w:p>
    <w:p w:rsidR="00BD056F" w:rsidRPr="00BD056F">
      <w:pPr>
        <w:pStyle w:val="EndnoteText"/>
        <w:rPr>
          <w:rFonts w:ascii="Segoe UI" w:hAnsi="Segoe UI" w:cs="Segoe UI"/>
          <w:b/>
          <w:bCs/>
          <w:i/>
          <w:iCs/>
          <w:sz w:val="24"/>
          <w:szCs w:val="24"/>
          <w:lang w:val="en-GB"/>
        </w:rPr>
      </w:pPr>
      <w:r w:rsidRPr="00BD056F">
        <w:rPr>
          <w:rFonts w:ascii="Calibri" w:hAnsi="Calibri" w:cs="Calibri"/>
          <w:b/>
          <w:bCs/>
          <w:i/>
          <w:iCs/>
          <w:sz w:val="24"/>
          <w:szCs w:val="24"/>
        </w:rPr>
        <w:t>(May 2026)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ublic Sans">
    <w:altName w:val="Calibri"/>
    <w:panose1 w:val="00000000000000000000"/>
    <w:charset w:val="00"/>
    <w:family w:val="modern"/>
    <w:notTrueType/>
    <w:pitch w:val="variable"/>
    <w:sig w:usb0="A00000FF" w:usb1="4000205B" w:usb2="00000000" w:usb3="00000000" w:csb0="0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CB5" w:rsidRPr="0090006A" w:rsidP="00BD056F">
    <w:pPr>
      <w:pStyle w:val="Header"/>
      <w:pBdr>
        <w:bottom w:val="single" w:sz="4" w:space="1" w:color="D9D9D9" w:themeColor="background1" w:themeShade="D9"/>
      </w:pBdr>
      <w:rPr>
        <w:rFonts w:ascii="Public Sans" w:hAnsi="Public Sans"/>
        <w:b/>
        <w:bCs/>
        <w:sz w:val="20"/>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CB5" w:rsidP="00395669">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C9045C"/>
    <w:multiLevelType w:val="hybridMultilevel"/>
    <w:tmpl w:val="0F4429D4"/>
    <w:lvl w:ilvl="0">
      <w:start w:val="1"/>
      <w:numFmt w:val="lowerRoman"/>
      <w:lvlText w:val="%1)"/>
      <w:lvlJc w:val="left"/>
      <w:pPr>
        <w:ind w:left="720" w:hanging="360"/>
      </w:pPr>
      <w:rPr>
        <w:rFonts w:ascii="Segoe UI" w:eastAsia="Segoe UI" w:hAnsi="Segoe UI" w:cs="Segoe U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E04064"/>
    <w:multiLevelType w:val="hybridMultilevel"/>
    <w:tmpl w:val="ECCE2A82"/>
    <w:lvl w:ilvl="0">
      <w:start w:val="2"/>
      <w:numFmt w:val="bullet"/>
      <w:lvlText w:val="-"/>
      <w:lvlJc w:val="left"/>
      <w:pPr>
        <w:ind w:left="720" w:hanging="360"/>
      </w:pPr>
      <w:rPr>
        <w:rFonts w:ascii="Segoe UI" w:eastAsia="Arial Unicode MS" w:hAnsi="Segoe UI" w:cs="Segoe U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65E51E3"/>
    <w:multiLevelType w:val="multilevel"/>
    <w:tmpl w:val="5A304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DF1C6B"/>
    <w:multiLevelType w:val="multilevel"/>
    <w:tmpl w:val="EB6A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7067B7A"/>
    <w:multiLevelType w:val="multilevel"/>
    <w:tmpl w:val="9DB83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B8B6817"/>
    <w:multiLevelType w:val="hybridMultilevel"/>
    <w:tmpl w:val="949000CA"/>
    <w:lvl w:ilvl="0">
      <w:start w:val="2"/>
      <w:numFmt w:val="bullet"/>
      <w:lvlText w:val="-"/>
      <w:lvlJc w:val="left"/>
      <w:pPr>
        <w:ind w:left="720" w:hanging="360"/>
      </w:pPr>
      <w:rPr>
        <w:rFonts w:ascii="Segoe UI" w:eastAsia="Arial Unicode MS" w:hAnsi="Segoe UI" w:cs="Segoe U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C4B1B31"/>
    <w:multiLevelType w:val="multilevel"/>
    <w:tmpl w:val="05AE64C0"/>
    <w:lvl w:ilvl="0">
      <w:start w:val="1"/>
      <w:numFmt w:val="bullet"/>
      <w:lvlText w:val=""/>
      <w:lvlJc w:val="left"/>
      <w:pPr>
        <w:tabs>
          <w:tab w:val="num" w:pos="720"/>
        </w:tabs>
        <w:ind w:left="720" w:hanging="360"/>
      </w:pPr>
      <w:rPr>
        <w:rFonts w:ascii="Symbol" w:hAnsi="Symbol" w:hint="default"/>
        <w:sz w:val="20"/>
        <w:lang w:val="en-US"/>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6106280"/>
    <w:multiLevelType w:val="hybridMultilevel"/>
    <w:tmpl w:val="41002E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313124E"/>
    <w:multiLevelType w:val="hybridMultilevel"/>
    <w:tmpl w:val="DA0ED1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D26135C"/>
    <w:multiLevelType w:val="hybridMultilevel"/>
    <w:tmpl w:val="8266115C"/>
    <w:lvl w:ilvl="0">
      <w:start w:val="1"/>
      <w:numFmt w:val="decimal"/>
      <w:lvlText w:val="%1."/>
      <w:lvlJc w:val="left"/>
      <w:pPr>
        <w:ind w:left="72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32B0DE1"/>
    <w:multiLevelType w:val="hybridMultilevel"/>
    <w:tmpl w:val="6C6873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94407AF"/>
    <w:multiLevelType w:val="hybridMultilevel"/>
    <w:tmpl w:val="EBB89E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D2B3655"/>
    <w:multiLevelType w:val="hybridMultilevel"/>
    <w:tmpl w:val="EBB89E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0B44497"/>
    <w:multiLevelType w:val="hybridMultilevel"/>
    <w:tmpl w:val="EBB89E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3BA3AC6"/>
    <w:multiLevelType w:val="multilevel"/>
    <w:tmpl w:val="D8D2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86F58F4"/>
    <w:multiLevelType w:val="hybridMultilevel"/>
    <w:tmpl w:val="008C45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9E3315A"/>
    <w:multiLevelType w:val="hybridMultilevel"/>
    <w:tmpl w:val="268C2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3533A57"/>
    <w:multiLevelType w:val="multilevel"/>
    <w:tmpl w:val="B1FA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2DC3611"/>
    <w:multiLevelType w:val="hybridMultilevel"/>
    <w:tmpl w:val="E91A0A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4A704DD"/>
    <w:multiLevelType w:val="multilevel"/>
    <w:tmpl w:val="81FC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96C7053"/>
    <w:multiLevelType w:val="multilevel"/>
    <w:tmpl w:val="C572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1"/>
  </w:num>
  <w:num w:numId="3">
    <w:abstractNumId w:val="12"/>
  </w:num>
  <w:num w:numId="4">
    <w:abstractNumId w:val="8"/>
  </w:num>
  <w:num w:numId="5">
    <w:abstractNumId w:val="13"/>
  </w:num>
  <w:num w:numId="6">
    <w:abstractNumId w:val="2"/>
  </w:num>
  <w:num w:numId="7">
    <w:abstractNumId w:val="7"/>
  </w:num>
  <w:num w:numId="8">
    <w:abstractNumId w:val="5"/>
  </w:num>
  <w:num w:numId="9">
    <w:abstractNumId w:val="3"/>
  </w:num>
  <w:num w:numId="10">
    <w:abstractNumId w:val="14"/>
  </w:num>
  <w:num w:numId="11">
    <w:abstractNumId w:val="6"/>
  </w:num>
  <w:num w:numId="12">
    <w:abstractNumId w:val="4"/>
  </w:num>
  <w:num w:numId="13">
    <w:abstractNumId w:val="19"/>
  </w:num>
  <w:num w:numId="14">
    <w:abstractNumId w:val="17"/>
  </w:num>
  <w:num w:numId="15">
    <w:abstractNumId w:val="1"/>
  </w:num>
  <w:num w:numId="16">
    <w:abstractNumId w:val="20"/>
  </w:num>
  <w:num w:numId="17">
    <w:abstractNumId w:val="10"/>
  </w:num>
  <w:num w:numId="18">
    <w:abstractNumId w:val="0"/>
  </w:num>
  <w:num w:numId="19">
    <w:abstractNumId w:val="16"/>
  </w:num>
  <w:num w:numId="20">
    <w:abstractNumId w:val="15"/>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doNotTrackMoves/>
  <w:defaultTabStop w:val="720"/>
  <w:characterSpacingControl w:val="doNotCompress"/>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300DF2"/>
    <w:pPr>
      <w:keepNext/>
      <w:keepLines/>
      <w:spacing w:before="240"/>
      <w:outlineLvl w:val="0"/>
    </w:pPr>
    <w:rPr>
      <w:rFonts w:asciiTheme="majorHAnsi" w:eastAsiaTheme="majorEastAsia" w:hAnsiTheme="majorHAnsi" w:cstheme="majorBidi"/>
      <w:color w:val="2F759E" w:themeColor="accent1" w:themeShade="BF"/>
      <w:sz w:val="32"/>
      <w:szCs w:val="32"/>
    </w:rPr>
  </w:style>
  <w:style w:type="paragraph" w:styleId="Heading2">
    <w:name w:val="heading 2"/>
    <w:basedOn w:val="Body"/>
    <w:next w:val="Normal"/>
    <w:link w:val="Heading2Char"/>
    <w:uiPriority w:val="9"/>
    <w:unhideWhenUsed/>
    <w:qFormat/>
    <w:rsid w:val="00666091"/>
    <w:pPr>
      <w:ind w:firstLine="0"/>
      <w:outlineLvl w:val="1"/>
    </w:pPr>
    <w:rPr>
      <w:rFonts w:ascii="Segoe UI" w:hAnsi="Segoe UI" w:cs="Segoe UI"/>
      <w:b/>
      <w:bCs/>
      <w:color w:val="E10000"/>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qFormat/>
    <w:rsid w:val="00991D95"/>
    <w:rPr>
      <w:rFonts w:ascii="Segoe UI" w:hAnsi="Segoe UI"/>
      <w:color w:val="E10000"/>
      <w:sz w:val="24"/>
      <w:u w:val="single"/>
    </w:rPr>
  </w:style>
  <w:style w:type="paragraph" w:customStyle="1" w:styleId="Body">
    <w:name w:val="Body"/>
    <w:pPr>
      <w:ind w:firstLine="113"/>
      <w:jc w:val="both"/>
    </w:pPr>
    <w:rPr>
      <w:rFonts w:ascii="Helvetica" w:hAnsi="Helvetica" w:cs="Arial Unicode MS"/>
      <w:color w:val="000000"/>
      <w:sz w:val="22"/>
      <w:szCs w:val="22"/>
      <w:lang w:val="en-US"/>
    </w:rPr>
  </w:style>
  <w:style w:type="paragraph" w:customStyle="1" w:styleId="Heading">
    <w:name w:val="Heading"/>
    <w:next w:val="Body"/>
    <w:pPr>
      <w:keepNext/>
      <w:spacing w:after="100"/>
      <w:jc w:val="center"/>
      <w:outlineLvl w:val="1"/>
    </w:pPr>
    <w:rPr>
      <w:rFonts w:ascii="Helvetica" w:eastAsia="Helvetica" w:hAnsi="Helvetica" w:cs="Helvetica"/>
      <w:b/>
      <w:bCs/>
      <w:color w:val="000000"/>
      <w:sz w:val="28"/>
      <w:szCs w:val="28"/>
    </w:rPr>
  </w:style>
  <w:style w:type="paragraph" w:styleId="Subtitle">
    <w:name w:val="Subtitle"/>
    <w:next w:val="Body"/>
    <w:uiPriority w:val="11"/>
    <w:qFormat/>
    <w:pPr>
      <w:keepNext/>
      <w:spacing w:after="100"/>
    </w:pPr>
    <w:rPr>
      <w:rFonts w:ascii="Helvetica" w:hAnsi="Helvetica" w:cs="Arial Unicode MS"/>
      <w:color w:val="000000"/>
      <w:sz w:val="28"/>
      <w:szCs w:val="28"/>
      <w:lang w:val="en-US"/>
    </w:rPr>
  </w:style>
  <w:style w:type="paragraph" w:styleId="Header">
    <w:name w:val="header"/>
    <w:basedOn w:val="Normal"/>
    <w:link w:val="HeaderChar"/>
    <w:uiPriority w:val="99"/>
    <w:unhideWhenUsed/>
    <w:rsid w:val="00F0047A"/>
    <w:pPr>
      <w:tabs>
        <w:tab w:val="center" w:pos="4513"/>
        <w:tab w:val="right" w:pos="9026"/>
      </w:tabs>
    </w:pPr>
  </w:style>
  <w:style w:type="character" w:customStyle="1" w:styleId="HeaderChar">
    <w:name w:val="Header Char"/>
    <w:basedOn w:val="DefaultParagraphFont"/>
    <w:link w:val="Header"/>
    <w:uiPriority w:val="99"/>
    <w:rsid w:val="00F0047A"/>
    <w:rPr>
      <w:sz w:val="24"/>
      <w:szCs w:val="24"/>
      <w:lang w:val="en-US" w:eastAsia="en-US"/>
    </w:rPr>
  </w:style>
  <w:style w:type="paragraph" w:styleId="Footer">
    <w:name w:val="footer"/>
    <w:basedOn w:val="Normal"/>
    <w:link w:val="FooterChar"/>
    <w:uiPriority w:val="99"/>
    <w:unhideWhenUsed/>
    <w:rsid w:val="00F0047A"/>
    <w:pPr>
      <w:tabs>
        <w:tab w:val="center" w:pos="4513"/>
        <w:tab w:val="right" w:pos="9026"/>
      </w:tabs>
    </w:pPr>
  </w:style>
  <w:style w:type="character" w:customStyle="1" w:styleId="FooterChar">
    <w:name w:val="Footer Char"/>
    <w:basedOn w:val="DefaultParagraphFont"/>
    <w:link w:val="Footer"/>
    <w:uiPriority w:val="99"/>
    <w:rsid w:val="00F0047A"/>
    <w:rPr>
      <w:sz w:val="24"/>
      <w:szCs w:val="24"/>
      <w:lang w:val="en-US" w:eastAsia="en-US"/>
    </w:rPr>
  </w:style>
  <w:style w:type="character" w:customStyle="1" w:styleId="UnresolvedMention1">
    <w:name w:val="Unresolved Mention1"/>
    <w:basedOn w:val="DefaultParagraphFont"/>
    <w:uiPriority w:val="99"/>
    <w:semiHidden/>
    <w:unhideWhenUsed/>
    <w:rsid w:val="004B6242"/>
    <w:rPr>
      <w:color w:val="605E5C"/>
      <w:shd w:val="clear" w:color="auto" w:fill="E1DFDD"/>
    </w:rPr>
  </w:style>
  <w:style w:type="paragraph" w:customStyle="1" w:styleId="xmsonormal">
    <w:name w:val="x_msonormal"/>
    <w:basedOn w:val="Normal"/>
    <w:rsid w:val="000C5FC5"/>
    <w:pPr>
      <w:spacing w:before="100" w:beforeAutospacing="1" w:after="100" w:afterAutospacing="1"/>
    </w:pPr>
    <w:rPr>
      <w:rFonts w:eastAsia="Times New Roman"/>
      <w:lang w:val="en-GB" w:eastAsia="en-GB"/>
    </w:rPr>
  </w:style>
  <w:style w:type="character" w:customStyle="1" w:styleId="mark82d00iz2i">
    <w:name w:val="mark82d00iz2i"/>
    <w:basedOn w:val="DefaultParagraphFont"/>
    <w:rsid w:val="00CB42FA"/>
  </w:style>
  <w:style w:type="paragraph" w:styleId="ListParagraph">
    <w:name w:val="List Paragraph"/>
    <w:basedOn w:val="Normal"/>
    <w:uiPriority w:val="34"/>
    <w:qFormat/>
    <w:rsid w:val="00CB42FA"/>
    <w:pPr>
      <w:ind w:left="720"/>
      <w:contextualSpacing/>
    </w:pPr>
  </w:style>
  <w:style w:type="character" w:customStyle="1" w:styleId="Heading2Char">
    <w:name w:val="Heading 2 Char"/>
    <w:basedOn w:val="DefaultParagraphFont"/>
    <w:link w:val="Heading2"/>
    <w:uiPriority w:val="9"/>
    <w:rsid w:val="00666091"/>
    <w:rPr>
      <w:rFonts w:ascii="Segoe UI" w:hAnsi="Segoe UI" w:cs="Segoe UI"/>
      <w:b/>
      <w:bCs/>
      <w:color w:val="E10000"/>
      <w:sz w:val="24"/>
      <w:szCs w:val="24"/>
    </w:rPr>
  </w:style>
  <w:style w:type="character" w:styleId="CommentReference">
    <w:name w:val="annotation reference"/>
    <w:basedOn w:val="DefaultParagraphFont"/>
    <w:uiPriority w:val="99"/>
    <w:semiHidden/>
    <w:unhideWhenUsed/>
    <w:rsid w:val="00532638"/>
    <w:rPr>
      <w:sz w:val="16"/>
      <w:szCs w:val="16"/>
    </w:rPr>
  </w:style>
  <w:style w:type="paragraph" w:styleId="CommentText">
    <w:name w:val="annotation text"/>
    <w:basedOn w:val="Normal"/>
    <w:link w:val="CommentTextChar"/>
    <w:uiPriority w:val="99"/>
    <w:unhideWhenUsed/>
    <w:rsid w:val="00532638"/>
    <w:rPr>
      <w:sz w:val="20"/>
      <w:szCs w:val="20"/>
    </w:rPr>
  </w:style>
  <w:style w:type="character" w:customStyle="1" w:styleId="CommentTextChar">
    <w:name w:val="Comment Text Char"/>
    <w:basedOn w:val="DefaultParagraphFont"/>
    <w:link w:val="CommentText"/>
    <w:uiPriority w:val="99"/>
    <w:rsid w:val="00532638"/>
    <w:rPr>
      <w:lang w:val="en-US" w:eastAsia="en-US"/>
    </w:rPr>
  </w:style>
  <w:style w:type="paragraph" w:styleId="CommentSubject">
    <w:name w:val="annotation subject"/>
    <w:basedOn w:val="CommentText"/>
    <w:next w:val="CommentText"/>
    <w:link w:val="CommentSubjectChar"/>
    <w:uiPriority w:val="99"/>
    <w:semiHidden/>
    <w:unhideWhenUsed/>
    <w:rsid w:val="00532638"/>
    <w:rPr>
      <w:b/>
      <w:bCs/>
    </w:rPr>
  </w:style>
  <w:style w:type="character" w:customStyle="1" w:styleId="CommentSubjectChar">
    <w:name w:val="Comment Subject Char"/>
    <w:basedOn w:val="CommentTextChar"/>
    <w:link w:val="CommentSubject"/>
    <w:uiPriority w:val="99"/>
    <w:semiHidden/>
    <w:rsid w:val="00532638"/>
    <w:rPr>
      <w:b/>
      <w:bCs/>
      <w:lang w:val="en-US" w:eastAsia="en-US"/>
    </w:rPr>
  </w:style>
  <w:style w:type="character" w:styleId="FollowedHyperlink">
    <w:name w:val="FollowedHyperlink"/>
    <w:basedOn w:val="DefaultParagraphFont"/>
    <w:uiPriority w:val="99"/>
    <w:semiHidden/>
    <w:unhideWhenUsed/>
    <w:rsid w:val="00912FC0"/>
    <w:rPr>
      <w:color w:val="FF00FF" w:themeColor="followedHyperlink"/>
      <w:u w:val="single"/>
    </w:rPr>
  </w:style>
  <w:style w:type="paragraph" w:styleId="EndnoteText">
    <w:name w:val="endnote text"/>
    <w:basedOn w:val="Normal"/>
    <w:link w:val="EndnoteTextChar"/>
    <w:uiPriority w:val="99"/>
    <w:semiHidden/>
    <w:unhideWhenUsed/>
    <w:rsid w:val="00534643"/>
    <w:rPr>
      <w:sz w:val="20"/>
      <w:szCs w:val="20"/>
    </w:rPr>
  </w:style>
  <w:style w:type="character" w:customStyle="1" w:styleId="EndnoteTextChar">
    <w:name w:val="Endnote Text Char"/>
    <w:basedOn w:val="DefaultParagraphFont"/>
    <w:link w:val="EndnoteText"/>
    <w:uiPriority w:val="99"/>
    <w:semiHidden/>
    <w:rsid w:val="00534643"/>
    <w:rPr>
      <w:lang w:val="en-US" w:eastAsia="en-US"/>
    </w:rPr>
  </w:style>
  <w:style w:type="character" w:styleId="EndnoteReference">
    <w:name w:val="endnote reference"/>
    <w:basedOn w:val="DefaultParagraphFont"/>
    <w:uiPriority w:val="99"/>
    <w:semiHidden/>
    <w:unhideWhenUsed/>
    <w:rsid w:val="00534643"/>
    <w:rPr>
      <w:vertAlign w:val="superscript"/>
    </w:rPr>
  </w:style>
  <w:style w:type="paragraph" w:styleId="NormalWeb">
    <w:name w:val="Normal (Web)"/>
    <w:basedOn w:val="Normal"/>
    <w:uiPriority w:val="99"/>
    <w:semiHidden/>
    <w:unhideWhenUsed/>
    <w:rsid w:val="00C53DB7"/>
  </w:style>
  <w:style w:type="paragraph" w:styleId="FootnoteText">
    <w:name w:val="footnote text"/>
    <w:basedOn w:val="Normal"/>
    <w:link w:val="FootnoteTextChar"/>
    <w:uiPriority w:val="99"/>
    <w:semiHidden/>
    <w:unhideWhenUsed/>
    <w:rsid w:val="008C06CF"/>
    <w:rPr>
      <w:rFonts w:ascii="Segoe UI" w:hAnsi="Segoe UI" w:eastAsiaTheme="minorHAnsi" w:cstheme="minorBidi"/>
      <w:kern w:val="2"/>
      <w:sz w:val="20"/>
      <w:szCs w:val="20"/>
      <w:lang w:val="en-GB"/>
    </w:rPr>
  </w:style>
  <w:style w:type="character" w:customStyle="1" w:styleId="FootnoteTextChar">
    <w:name w:val="Footnote Text Char"/>
    <w:basedOn w:val="DefaultParagraphFont"/>
    <w:link w:val="FootnoteText"/>
    <w:uiPriority w:val="99"/>
    <w:semiHidden/>
    <w:rsid w:val="008C06CF"/>
    <w:rPr>
      <w:rFonts w:ascii="Segoe UI" w:hAnsi="Segoe UI" w:eastAsiaTheme="minorHAnsi" w:cstheme="minorBidi"/>
      <w:kern w:val="2"/>
      <w:bdr w:val="nil"/>
      <w:lang w:eastAsia="en-US"/>
    </w:rPr>
  </w:style>
  <w:style w:type="character" w:styleId="FootnoteReference">
    <w:name w:val="footnote reference"/>
    <w:basedOn w:val="DefaultParagraphFont"/>
    <w:uiPriority w:val="99"/>
    <w:semiHidden/>
    <w:unhideWhenUsed/>
    <w:rsid w:val="008C06CF"/>
    <w:rPr>
      <w:vertAlign w:val="superscript"/>
    </w:rPr>
  </w:style>
  <w:style w:type="character" w:customStyle="1" w:styleId="cf01">
    <w:name w:val="cf01"/>
    <w:basedOn w:val="DefaultParagraphFont"/>
    <w:rsid w:val="000A3A3A"/>
    <w:rPr>
      <w:rFonts w:ascii="Segoe UI" w:hAnsi="Segoe UI" w:cs="Segoe UI" w:hint="default"/>
      <w:sz w:val="18"/>
      <w:szCs w:val="18"/>
    </w:rPr>
  </w:style>
  <w:style w:type="character" w:customStyle="1" w:styleId="Heading1Char">
    <w:name w:val="Heading 1 Char"/>
    <w:basedOn w:val="DefaultParagraphFont"/>
    <w:link w:val="Heading1"/>
    <w:uiPriority w:val="9"/>
    <w:rsid w:val="00300DF2"/>
    <w:rPr>
      <w:rFonts w:asciiTheme="majorHAnsi" w:eastAsiaTheme="majorEastAsia" w:hAnsiTheme="majorHAnsi" w:cstheme="majorBidi"/>
      <w:color w:val="2F759E"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odieBradshaw\Stopwatch\Staff%20Shared%20-%20Documents\Documents\Jodie\Consultations\2026%20Fairfield%20Independent%20Review%20StopWatch%20Submission.dotx" TargetMode="External" /></Relationships>
</file>

<file path=word/theme/_rels/theme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72000" algn="just"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264FBDE8952A41A5F0EF1734678E8E" ma:contentTypeVersion="20" ma:contentTypeDescription="Create a new document." ma:contentTypeScope="" ma:versionID="97be5284b351a4a4e3c9f0c2d8a84250">
  <xsd:schema xmlns:xsd="http://www.w3.org/2001/XMLSchema" xmlns:xs="http://www.w3.org/2001/XMLSchema" xmlns:p="http://schemas.microsoft.com/office/2006/metadata/properties" xmlns:ns1="http://schemas.microsoft.com/sharepoint/v3" xmlns:ns2="d6bc7e2f-c950-4993-bcc5-cfcabf2a6af2" xmlns:ns3="8f9b7d19-c652-4972-83dc-cc8bb96bbc43" targetNamespace="http://schemas.microsoft.com/office/2006/metadata/properties" ma:root="true" ma:fieldsID="e0a8536d307934df2ce2dedcb64a3267" ns1:_="" ns2:_="" ns3:_="">
    <xsd:import namespace="http://schemas.microsoft.com/sharepoint/v3"/>
    <xsd:import namespace="d6bc7e2f-c950-4993-bcc5-cfcabf2a6af2"/>
    <xsd:import namespace="8f9b7d19-c652-4972-83dc-cc8bb96bbc4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bc7e2f-c950-4993-bcc5-cfcabf2a6a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4caf74-374c-427c-9f14-6b650981ca33}" ma:internalName="TaxCatchAll" ma:showField="CatchAllData" ma:web="d6bc7e2f-c950-4993-bcc5-cfcabf2a6a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9b7d19-c652-4972-83dc-cc8bb96bbc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2ca1a5-a78f-42ad-8b66-dfdce3457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9b7d19-c652-4972-83dc-cc8bb96bbc43">
      <Terms xmlns="http://schemas.microsoft.com/office/infopath/2007/PartnerControls"/>
    </lcf76f155ced4ddcb4097134ff3c332f>
    <TaxCatchAll xmlns="d6bc7e2f-c950-4993-bcc5-cfcabf2a6af2"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6E5FF5E-16F2-4DD3-BC65-3978AF10D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6bc7e2f-c950-4993-bcc5-cfcabf2a6af2"/>
    <ds:schemaRef ds:uri="8f9b7d19-c652-4972-83dc-cc8bb96bb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1B814A-BA49-4E38-85CF-940468D0FC95}">
  <ds:schemaRefs>
    <ds:schemaRef ds:uri="http://schemas.microsoft.com/sharepoint/v3/contenttype/forms"/>
  </ds:schemaRefs>
</ds:datastoreItem>
</file>

<file path=customXml/itemProps3.xml><?xml version="1.0" encoding="utf-8"?>
<ds:datastoreItem xmlns:ds="http://schemas.openxmlformats.org/officeDocument/2006/customXml" ds:itemID="{E5A79D3C-B099-4AC6-862B-03FCF234CB9C}">
  <ds:schemaRefs>
    <ds:schemaRef ds:uri="http://schemas.microsoft.com/office/2006/metadata/properties"/>
    <ds:schemaRef ds:uri="http://schemas.microsoft.com/office/infopath/2007/PartnerControls"/>
    <ds:schemaRef ds:uri="8f9b7d19-c652-4972-83dc-cc8bb96bbc43"/>
    <ds:schemaRef ds:uri="d6bc7e2f-c950-4993-bcc5-cfcabf2a6af2"/>
    <ds:schemaRef ds:uri="http://schemas.microsoft.com/sharepoint/v3"/>
  </ds:schemaRefs>
</ds:datastoreItem>
</file>

<file path=customXml/itemProps4.xml><?xml version="1.0" encoding="utf-8"?>
<ds:datastoreItem xmlns:ds="http://schemas.openxmlformats.org/officeDocument/2006/customXml" ds:itemID="{FECE9A6D-5484-48FC-81C5-1AF1B45DA4CA}">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SSP0016</dc:title>
  <cp:revision>0</cp:revision>
</cp:coreProperties>
</file>