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60F51" w:rsidRPr="00360F51" w:rsidP="00360F51">
      <w:pPr>
        <w:spacing w:after="0" w:line="240" w:lineRule="auto"/>
        <w:jc w:val="center"/>
        <w:rPr>
          <w:rFonts w:ascii="Calibri" w:hAnsi="Calibri" w:cs="Calibri"/>
          <w:sz w:val="36"/>
          <w:szCs w:val="36"/>
        </w:rPr>
      </w:pPr>
      <w:r w:rsidRPr="00360F51">
        <w:rPr>
          <w:rFonts w:ascii="Calibri" w:hAnsi="Calibri" w:cs="Calibri"/>
          <w:sz w:val="36"/>
          <w:szCs w:val="36"/>
        </w:rPr>
        <w:t xml:space="preserve">Written Evidence submitted by </w:t>
      </w:r>
      <w:r w:rsidRPr="00E22DDC" w:rsidR="00E22DDC">
        <w:rPr>
          <w:rFonts w:ascii="Calibri" w:hAnsi="Calibri" w:cs="Calibri"/>
          <w:sz w:val="36"/>
          <w:szCs w:val="36"/>
        </w:rPr>
        <w:t>IMPOWER Consulting Ltd</w:t>
      </w:r>
      <w:r w:rsidRPr="00E22DDC" w:rsidR="00E22DDC">
        <w:rPr>
          <w:rFonts w:ascii="Calibri" w:hAnsi="Calibri" w:cs="Calibri"/>
          <w:sz w:val="36"/>
          <w:szCs w:val="36"/>
        </w:rPr>
        <w:t xml:space="preserve"> </w:t>
      </w:r>
      <w:r w:rsidRPr="00360F51">
        <w:rPr>
          <w:rFonts w:ascii="Calibri" w:hAnsi="Calibri" w:cs="Calibri"/>
          <w:sz w:val="36"/>
          <w:szCs w:val="36"/>
        </w:rPr>
        <w:t>(TRN005</w:t>
      </w:r>
      <w:r>
        <w:rPr>
          <w:rFonts w:ascii="Calibri" w:hAnsi="Calibri" w:cs="Calibri"/>
          <w:sz w:val="36"/>
          <w:szCs w:val="36"/>
        </w:rPr>
        <w:t>2</w:t>
      </w:r>
      <w:r w:rsidRPr="00360F51">
        <w:rPr>
          <w:rFonts w:ascii="Calibri" w:hAnsi="Calibri" w:cs="Calibri"/>
          <w:sz w:val="36"/>
          <w:szCs w:val="36"/>
        </w:rPr>
        <w:t>]</w:t>
      </w:r>
    </w:p>
    <w:p w:rsidR="00360F51" w:rsidRPr="00360F51" w:rsidP="00644EEC">
      <w:pPr>
        <w:spacing w:after="0" w:line="240" w:lineRule="auto"/>
        <w:rPr>
          <w:rFonts w:ascii="Calibri" w:hAnsi="Calibri" w:cs="Calibri"/>
        </w:rPr>
      </w:pPr>
    </w:p>
    <w:p w:rsidR="00360F51" w:rsidRPr="00360F51" w:rsidP="00644EEC">
      <w:pPr>
        <w:spacing w:after="0" w:line="240" w:lineRule="auto"/>
        <w:rPr>
          <w:rFonts w:ascii="Calibri" w:hAnsi="Calibri" w:cs="Calibri"/>
        </w:rPr>
      </w:pPr>
    </w:p>
    <w:p w:rsidR="00360F51" w:rsidRPr="00360F51" w:rsidP="00644EEC">
      <w:pPr>
        <w:spacing w:after="0" w:line="240" w:lineRule="auto"/>
        <w:rPr>
          <w:rFonts w:ascii="Calibri" w:hAnsi="Calibri" w:cs="Calibri"/>
        </w:rPr>
      </w:pPr>
    </w:p>
    <w:p w:rsidR="00360F51" w:rsidRPr="00360F51" w:rsidP="00644EEC">
      <w:pPr>
        <w:spacing w:after="0" w:line="240" w:lineRule="auto"/>
        <w:rPr>
          <w:rFonts w:ascii="Calibri" w:hAnsi="Calibri" w:cs="Calibri"/>
        </w:rPr>
      </w:pPr>
    </w:p>
    <w:p w:rsidR="00360F51"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IMPOWER welcomes the opportunity to contribute to this non-inquiry session on the transition from child to adult health and social care services.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IMPOWER supports public service organisations across all areas of the public sector; we have significant experience working across children’s services, adult social care, health and SEND. In recent years we have undertaken a significant body of work relating to Preparing for Adulthood (PfA), including research, regional analysis and direct support to local systems seeking to improve outcomes for young people moving into adult life.</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This submission draws primarily on two recent reports:</w:t>
      </w:r>
    </w:p>
    <w:p w:rsidR="00A64326" w:rsidRPr="00360F51" w:rsidP="00644EEC">
      <w:pPr>
        <w:numPr>
          <w:ilvl w:val="0"/>
          <w:numId w:val="1"/>
        </w:numPr>
        <w:spacing w:after="0" w:line="240" w:lineRule="auto"/>
        <w:rPr>
          <w:rFonts w:ascii="Calibri" w:hAnsi="Calibri" w:cs="Calibri"/>
        </w:rPr>
      </w:pPr>
      <w:r w:rsidRPr="00360F51">
        <w:rPr>
          <w:rFonts w:ascii="Calibri" w:hAnsi="Calibri" w:cs="Calibri"/>
          <w:i/>
          <w:iCs/>
        </w:rPr>
        <w:t>Preparing for adulthood: key challenges, best practice and recommendations for local and national change</w:t>
      </w:r>
      <w:r w:rsidRPr="00360F51">
        <w:rPr>
          <w:rFonts w:ascii="Calibri" w:hAnsi="Calibri" w:cs="Calibri"/>
        </w:rPr>
        <w:t xml:space="preserve"> (2024) </w:t>
      </w:r>
      <w:r>
        <w:rPr>
          <w:rStyle w:val="FootnoteReference"/>
          <w:rFonts w:ascii="Calibri" w:hAnsi="Calibri" w:cs="Calibri"/>
        </w:rPr>
        <w:footnoteReference w:id="2"/>
      </w:r>
    </w:p>
    <w:p w:rsidR="00A64326" w:rsidRPr="00360F51" w:rsidP="00644EEC">
      <w:pPr>
        <w:numPr>
          <w:ilvl w:val="0"/>
          <w:numId w:val="1"/>
        </w:numPr>
        <w:spacing w:after="0" w:line="240" w:lineRule="auto"/>
        <w:rPr>
          <w:rFonts w:ascii="Calibri" w:hAnsi="Calibri" w:cs="Calibri"/>
        </w:rPr>
      </w:pPr>
      <w:r w:rsidRPr="00360F51">
        <w:rPr>
          <w:rFonts w:ascii="Calibri" w:hAnsi="Calibri" w:cs="Calibri"/>
          <w:i/>
          <w:iCs/>
        </w:rPr>
        <w:t>Preparing for Adulthood: Mind the gap – Reflections on preparing for adulthood from the East Midlands</w:t>
      </w:r>
      <w:r w:rsidRPr="00360F51">
        <w:rPr>
          <w:rFonts w:ascii="Calibri" w:hAnsi="Calibri" w:cs="Calibri"/>
        </w:rPr>
        <w:t xml:space="preserve"> (2026) </w:t>
      </w:r>
      <w:r>
        <w:rPr>
          <w:rStyle w:val="FootnoteReference"/>
          <w:rFonts w:ascii="Calibri" w:hAnsi="Calibri" w:cs="Calibri"/>
        </w:rPr>
        <w:footnoteReference w:id="3"/>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The reports drew on engagement with local authority, health, education and VCSE partners, alongside case reviews, cohort analysis, practitioner surveys and examples of emerging local practice.</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Across both reports, several consistent themes emerged, including fragmentation between systems, late and reactive planning, inequitable outcomes for young people with overlapping needs, and insufficient focus on long-term adulthood outcomes and independence.</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Given the breadth of the call for evidence, we have focused our submission on the areas where our evidence base is strongest: whole-system coordination, developmentally appropriate independence, outcomes for young people with overlapping needs, and the gap between strategic ambition and operational delivery.</w:t>
      </w:r>
    </w:p>
    <w:p w:rsidR="00A64326" w:rsidRPr="00360F51" w:rsidP="00644EEC">
      <w:pPr>
        <w:spacing w:after="0" w:line="240" w:lineRule="auto"/>
        <w:rPr>
          <w:rFonts w:ascii="Calibri" w:hAnsi="Calibri" w:cs="Calibri"/>
        </w:rPr>
      </w:pPr>
      <w:r w:rsidRPr="00360F51">
        <w:rPr>
          <w:rFonts w:ascii="Calibri" w:hAnsi="Calibri" w:cs="Calibri"/>
        </w:rPr>
        <w:t>Full copies of both reports are attached as supporting evidence.</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sz w:val="28"/>
          <w:szCs w:val="28"/>
        </w:rPr>
      </w:pPr>
      <w:r w:rsidRPr="00360F51">
        <w:rPr>
          <w:rFonts w:ascii="Calibri" w:hAnsi="Calibri" w:cs="Calibri"/>
          <w:b/>
          <w:bCs/>
          <w:sz w:val="28"/>
          <w:szCs w:val="28"/>
        </w:rPr>
        <w:t>Key Messages</w:t>
      </w:r>
    </w:p>
    <w:p w:rsidR="00A64326" w:rsidRPr="00360F51" w:rsidP="00644EEC">
      <w:pPr>
        <w:spacing w:after="0" w:line="240" w:lineRule="auto"/>
        <w:rPr>
          <w:rFonts w:ascii="Calibri" w:hAnsi="Calibri" w:cs="Calibri"/>
          <w:b/>
          <w:bCs/>
        </w:rPr>
      </w:pPr>
      <w:r w:rsidRPr="00360F51">
        <w:rPr>
          <w:rFonts w:ascii="Calibri" w:hAnsi="Calibri" w:cs="Calibri"/>
          <w:b/>
          <w:bCs/>
        </w:rPr>
        <w:t>1. Preparation for adulthood remains too fragmented across systems</w:t>
      </w:r>
    </w:p>
    <w:p w:rsidR="00A64326" w:rsidRPr="00360F51" w:rsidP="00644EEC">
      <w:pPr>
        <w:spacing w:after="0" w:line="240" w:lineRule="auto"/>
        <w:rPr>
          <w:rFonts w:ascii="Calibri" w:hAnsi="Calibri" w:cs="Calibri"/>
        </w:rPr>
      </w:pPr>
      <w:r w:rsidRPr="00360F51">
        <w:rPr>
          <w:rFonts w:ascii="Calibri" w:hAnsi="Calibri" w:cs="Calibri"/>
        </w:rPr>
        <w:t xml:space="preserve">The strongest and most consistent finding across our work is that fragmentation between children’s services, adult social care, health, SEND and education remains one of the biggest </w:t>
      </w:r>
      <w:r w:rsidRPr="00360F51">
        <w:rPr>
          <w:rFonts w:ascii="Calibri" w:hAnsi="Calibri" w:cs="Calibri"/>
        </w:rPr>
        <w:t>barriers to effective preparation for adulthood. While many local areas have developed individual transition pathways, services often continue to operate with:</w:t>
      </w:r>
    </w:p>
    <w:p w:rsidR="00A64326" w:rsidRPr="00360F51" w:rsidP="00644EEC">
      <w:pPr>
        <w:numPr>
          <w:ilvl w:val="0"/>
          <w:numId w:val="4"/>
        </w:numPr>
        <w:spacing w:after="0" w:line="240" w:lineRule="auto"/>
        <w:rPr>
          <w:rFonts w:ascii="Calibri" w:hAnsi="Calibri" w:cs="Calibri"/>
        </w:rPr>
      </w:pPr>
      <w:r w:rsidRPr="00360F51">
        <w:rPr>
          <w:rFonts w:ascii="Calibri" w:hAnsi="Calibri" w:cs="Calibri"/>
        </w:rPr>
        <w:t xml:space="preserve">different thresholds; </w:t>
      </w:r>
    </w:p>
    <w:p w:rsidR="00A64326" w:rsidRPr="00360F51" w:rsidP="00644EEC">
      <w:pPr>
        <w:numPr>
          <w:ilvl w:val="0"/>
          <w:numId w:val="4"/>
        </w:numPr>
        <w:spacing w:after="0" w:line="240" w:lineRule="auto"/>
        <w:rPr>
          <w:rFonts w:ascii="Calibri" w:hAnsi="Calibri" w:cs="Calibri"/>
        </w:rPr>
      </w:pPr>
      <w:r w:rsidRPr="00360F51">
        <w:rPr>
          <w:rFonts w:ascii="Calibri" w:hAnsi="Calibri" w:cs="Calibri"/>
        </w:rPr>
        <w:t xml:space="preserve">different approaches to risk and independence; </w:t>
      </w:r>
    </w:p>
    <w:p w:rsidR="00A64326" w:rsidRPr="00360F51" w:rsidP="00644EEC">
      <w:pPr>
        <w:numPr>
          <w:ilvl w:val="0"/>
          <w:numId w:val="4"/>
        </w:numPr>
        <w:spacing w:after="0" w:line="240" w:lineRule="auto"/>
        <w:rPr>
          <w:rFonts w:ascii="Calibri" w:hAnsi="Calibri" w:cs="Calibri"/>
        </w:rPr>
      </w:pPr>
      <w:r w:rsidRPr="00360F51">
        <w:rPr>
          <w:rFonts w:ascii="Calibri" w:hAnsi="Calibri" w:cs="Calibri"/>
        </w:rPr>
        <w:t xml:space="preserve">separate data systems; </w:t>
      </w:r>
    </w:p>
    <w:p w:rsidR="00A64326" w:rsidRPr="00360F51" w:rsidP="00644EEC">
      <w:pPr>
        <w:numPr>
          <w:ilvl w:val="0"/>
          <w:numId w:val="4"/>
        </w:numPr>
        <w:spacing w:after="0" w:line="240" w:lineRule="auto"/>
        <w:rPr>
          <w:rFonts w:ascii="Calibri" w:hAnsi="Calibri" w:cs="Calibri"/>
        </w:rPr>
      </w:pPr>
      <w:r w:rsidRPr="00360F51">
        <w:rPr>
          <w:rFonts w:ascii="Calibri" w:hAnsi="Calibri" w:cs="Calibri"/>
        </w:rPr>
        <w:t xml:space="preserve">and limited shared accountability for long-term outcomes.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Young people and families frequently described “cliff edges” between children’s and adult services, repeated retelling of personal histories, and uncertainty about who was responsible for coordinating support. In practice, preparation for adulthood is still too often experienced as a transfer between services, rather than a coordinated developmental journey into adult life.</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2. Systems frequently start planning too late</w:t>
      </w:r>
    </w:p>
    <w:p w:rsidR="00A64326" w:rsidRPr="00360F51" w:rsidP="00644EEC">
      <w:pPr>
        <w:spacing w:after="0" w:line="240" w:lineRule="auto"/>
        <w:rPr>
          <w:rFonts w:ascii="Calibri" w:hAnsi="Calibri" w:cs="Calibri"/>
        </w:rPr>
      </w:pPr>
      <w:r w:rsidRPr="00360F51">
        <w:rPr>
          <w:rFonts w:ascii="Calibri" w:hAnsi="Calibri" w:cs="Calibri"/>
        </w:rPr>
        <w:t>Despite clear national guidance that transition planning should begin from Year 9 onwards, many systems continue to plan reactively, often close to age 18 and in response to immediate operational pressures. This is particularly problematic because many young people requiring significant adult support are already well known to children’s services over a long period of time. The challenge is therefore rarely identifying who may require future support; it is whether systems act early enough and consistently enough to build independence and prevent escalation. Late planning reduces opportunities to:</w:t>
      </w:r>
    </w:p>
    <w:p w:rsidR="00A64326" w:rsidRPr="00360F51" w:rsidP="00644EEC">
      <w:pPr>
        <w:numPr>
          <w:ilvl w:val="0"/>
          <w:numId w:val="5"/>
        </w:numPr>
        <w:spacing w:after="0" w:line="240" w:lineRule="auto"/>
        <w:rPr>
          <w:rFonts w:ascii="Calibri" w:hAnsi="Calibri" w:cs="Calibri"/>
        </w:rPr>
      </w:pPr>
      <w:r w:rsidRPr="00360F51">
        <w:rPr>
          <w:rFonts w:ascii="Calibri" w:hAnsi="Calibri" w:cs="Calibri"/>
        </w:rPr>
        <w:t xml:space="preserve">develop practical independence skills; </w:t>
      </w:r>
    </w:p>
    <w:p w:rsidR="00A64326" w:rsidRPr="00360F51" w:rsidP="00644EEC">
      <w:pPr>
        <w:numPr>
          <w:ilvl w:val="0"/>
          <w:numId w:val="5"/>
        </w:numPr>
        <w:spacing w:after="0" w:line="240" w:lineRule="auto"/>
        <w:rPr>
          <w:rFonts w:ascii="Calibri" w:hAnsi="Calibri" w:cs="Calibri"/>
        </w:rPr>
      </w:pPr>
      <w:r w:rsidRPr="00360F51">
        <w:rPr>
          <w:rFonts w:ascii="Calibri" w:hAnsi="Calibri" w:cs="Calibri"/>
        </w:rPr>
        <w:t xml:space="preserve">support employment and participation; </w:t>
      </w:r>
    </w:p>
    <w:p w:rsidR="00A64326" w:rsidRPr="00360F51" w:rsidP="00644EEC">
      <w:pPr>
        <w:numPr>
          <w:ilvl w:val="0"/>
          <w:numId w:val="5"/>
        </w:numPr>
        <w:spacing w:after="0" w:line="240" w:lineRule="auto"/>
        <w:rPr>
          <w:rFonts w:ascii="Calibri" w:hAnsi="Calibri" w:cs="Calibri"/>
        </w:rPr>
      </w:pPr>
      <w:r w:rsidRPr="00360F51">
        <w:rPr>
          <w:rFonts w:ascii="Calibri" w:hAnsi="Calibri" w:cs="Calibri"/>
        </w:rPr>
        <w:t xml:space="preserve">prepare families gradually for adulthood; </w:t>
      </w:r>
    </w:p>
    <w:p w:rsidR="00A64326" w:rsidRPr="00360F51" w:rsidP="00644EEC">
      <w:pPr>
        <w:numPr>
          <w:ilvl w:val="0"/>
          <w:numId w:val="5"/>
        </w:numPr>
        <w:spacing w:after="0" w:line="240" w:lineRule="auto"/>
        <w:rPr>
          <w:rFonts w:ascii="Calibri" w:hAnsi="Calibri" w:cs="Calibri"/>
        </w:rPr>
      </w:pPr>
      <w:r w:rsidRPr="00360F51">
        <w:rPr>
          <w:rFonts w:ascii="Calibri" w:hAnsi="Calibri" w:cs="Calibri"/>
        </w:rPr>
        <w:t xml:space="preserve">and avoid crisis-driven transitions.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3. Young people with overlapping needs experience the greatest challenges</w:t>
      </w:r>
    </w:p>
    <w:p w:rsidR="00A64326" w:rsidRPr="00360F51" w:rsidP="00644EEC">
      <w:pPr>
        <w:spacing w:after="0" w:line="240" w:lineRule="auto"/>
        <w:rPr>
          <w:rFonts w:ascii="Calibri" w:hAnsi="Calibri" w:cs="Calibri"/>
        </w:rPr>
      </w:pPr>
      <w:r w:rsidRPr="00360F51">
        <w:rPr>
          <w:rFonts w:ascii="Calibri" w:hAnsi="Calibri" w:cs="Calibri"/>
        </w:rPr>
        <w:t>Our evidence suggests that systems are often configured around single-service pathways, while many young people experience overlapping needs spanning:</w:t>
      </w:r>
    </w:p>
    <w:p w:rsidR="00A64326" w:rsidRPr="00360F51" w:rsidP="00644EEC">
      <w:pPr>
        <w:numPr>
          <w:ilvl w:val="0"/>
          <w:numId w:val="6"/>
        </w:numPr>
        <w:spacing w:after="0" w:line="240" w:lineRule="auto"/>
        <w:rPr>
          <w:rFonts w:ascii="Calibri" w:hAnsi="Calibri" w:cs="Calibri"/>
        </w:rPr>
      </w:pPr>
      <w:r w:rsidRPr="00360F51">
        <w:rPr>
          <w:rFonts w:ascii="Calibri" w:hAnsi="Calibri" w:cs="Calibri"/>
        </w:rPr>
        <w:t xml:space="preserve">neurodiversity; </w:t>
      </w:r>
    </w:p>
    <w:p w:rsidR="00A64326" w:rsidRPr="00360F51" w:rsidP="00644EEC">
      <w:pPr>
        <w:numPr>
          <w:ilvl w:val="0"/>
          <w:numId w:val="6"/>
        </w:numPr>
        <w:spacing w:after="0" w:line="240" w:lineRule="auto"/>
        <w:rPr>
          <w:rFonts w:ascii="Calibri" w:hAnsi="Calibri" w:cs="Calibri"/>
        </w:rPr>
      </w:pPr>
      <w:r w:rsidRPr="00360F51">
        <w:rPr>
          <w:rFonts w:ascii="Calibri" w:hAnsi="Calibri" w:cs="Calibri"/>
        </w:rPr>
        <w:t xml:space="preserve">mental health; </w:t>
      </w:r>
    </w:p>
    <w:p w:rsidR="00A64326" w:rsidRPr="00360F51" w:rsidP="00644EEC">
      <w:pPr>
        <w:numPr>
          <w:ilvl w:val="0"/>
          <w:numId w:val="6"/>
        </w:numPr>
        <w:spacing w:after="0" w:line="240" w:lineRule="auto"/>
        <w:rPr>
          <w:rFonts w:ascii="Calibri" w:hAnsi="Calibri" w:cs="Calibri"/>
        </w:rPr>
      </w:pPr>
      <w:r w:rsidRPr="00360F51">
        <w:rPr>
          <w:rFonts w:ascii="Calibri" w:hAnsi="Calibri" w:cs="Calibri"/>
        </w:rPr>
        <w:t xml:space="preserve">trauma; </w:t>
      </w:r>
    </w:p>
    <w:p w:rsidR="00A64326" w:rsidRPr="00360F51" w:rsidP="00644EEC">
      <w:pPr>
        <w:numPr>
          <w:ilvl w:val="0"/>
          <w:numId w:val="6"/>
        </w:numPr>
        <w:spacing w:after="0" w:line="240" w:lineRule="auto"/>
        <w:rPr>
          <w:rFonts w:ascii="Calibri" w:hAnsi="Calibri" w:cs="Calibri"/>
        </w:rPr>
      </w:pPr>
      <w:r w:rsidRPr="00360F51">
        <w:rPr>
          <w:rFonts w:ascii="Calibri" w:hAnsi="Calibri" w:cs="Calibri"/>
        </w:rPr>
        <w:t xml:space="preserve">behavioural complexity; </w:t>
      </w:r>
    </w:p>
    <w:p w:rsidR="00A64326" w:rsidRPr="00360F51" w:rsidP="00644EEC">
      <w:pPr>
        <w:numPr>
          <w:ilvl w:val="0"/>
          <w:numId w:val="6"/>
        </w:numPr>
        <w:spacing w:after="0" w:line="240" w:lineRule="auto"/>
        <w:rPr>
          <w:rFonts w:ascii="Calibri" w:hAnsi="Calibri" w:cs="Calibri"/>
        </w:rPr>
      </w:pPr>
      <w:r w:rsidRPr="00360F51">
        <w:rPr>
          <w:rFonts w:ascii="Calibri" w:hAnsi="Calibri" w:cs="Calibri"/>
        </w:rPr>
        <w:t>safeguarding concerns; and</w:t>
      </w:r>
    </w:p>
    <w:p w:rsidR="00A64326" w:rsidRPr="00360F51" w:rsidP="00644EEC">
      <w:pPr>
        <w:numPr>
          <w:ilvl w:val="0"/>
          <w:numId w:val="6"/>
        </w:numPr>
        <w:spacing w:after="0" w:line="240" w:lineRule="auto"/>
        <w:rPr>
          <w:rFonts w:ascii="Calibri" w:hAnsi="Calibri" w:cs="Calibri"/>
        </w:rPr>
      </w:pPr>
      <w:r w:rsidRPr="00360F51">
        <w:rPr>
          <w:rFonts w:ascii="Calibri" w:hAnsi="Calibri" w:cs="Calibri"/>
        </w:rPr>
        <w:t xml:space="preserve">social care involvement.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These young people were significantly more likely to experience:</w:t>
      </w:r>
    </w:p>
    <w:p w:rsidR="00A64326" w:rsidRPr="00360F51" w:rsidP="00644EEC">
      <w:pPr>
        <w:numPr>
          <w:ilvl w:val="0"/>
          <w:numId w:val="7"/>
        </w:numPr>
        <w:spacing w:after="0" w:line="240" w:lineRule="auto"/>
        <w:rPr>
          <w:rFonts w:ascii="Calibri" w:hAnsi="Calibri" w:cs="Calibri"/>
        </w:rPr>
      </w:pPr>
      <w:r w:rsidRPr="00360F51">
        <w:rPr>
          <w:rFonts w:ascii="Calibri" w:hAnsi="Calibri" w:cs="Calibri"/>
        </w:rPr>
        <w:t xml:space="preserve">fragmented pathways; </w:t>
      </w:r>
    </w:p>
    <w:p w:rsidR="00A64326" w:rsidRPr="00360F51" w:rsidP="00644EEC">
      <w:pPr>
        <w:numPr>
          <w:ilvl w:val="0"/>
          <w:numId w:val="7"/>
        </w:numPr>
        <w:spacing w:after="0" w:line="240" w:lineRule="auto"/>
        <w:rPr>
          <w:rFonts w:ascii="Calibri" w:hAnsi="Calibri" w:cs="Calibri"/>
        </w:rPr>
      </w:pPr>
      <w:r w:rsidRPr="00360F51">
        <w:rPr>
          <w:rFonts w:ascii="Calibri" w:hAnsi="Calibri" w:cs="Calibri"/>
        </w:rPr>
        <w:t xml:space="preserve">reactive planning; </w:t>
      </w:r>
    </w:p>
    <w:p w:rsidR="00A64326" w:rsidRPr="00360F51" w:rsidP="00644EEC">
      <w:pPr>
        <w:numPr>
          <w:ilvl w:val="0"/>
          <w:numId w:val="7"/>
        </w:numPr>
        <w:spacing w:after="0" w:line="240" w:lineRule="auto"/>
        <w:rPr>
          <w:rFonts w:ascii="Calibri" w:hAnsi="Calibri" w:cs="Calibri"/>
        </w:rPr>
      </w:pPr>
      <w:r w:rsidRPr="00360F51">
        <w:rPr>
          <w:rFonts w:ascii="Calibri" w:hAnsi="Calibri" w:cs="Calibri"/>
        </w:rPr>
        <w:t xml:space="preserve">safeguarding concerns; </w:t>
      </w:r>
    </w:p>
    <w:p w:rsidR="00A64326" w:rsidRPr="00360F51" w:rsidP="00644EEC">
      <w:pPr>
        <w:numPr>
          <w:ilvl w:val="0"/>
          <w:numId w:val="7"/>
        </w:numPr>
        <w:spacing w:after="0" w:line="240" w:lineRule="auto"/>
        <w:rPr>
          <w:rFonts w:ascii="Calibri" w:hAnsi="Calibri" w:cs="Calibri"/>
        </w:rPr>
      </w:pPr>
      <w:r w:rsidRPr="00360F51">
        <w:rPr>
          <w:rFonts w:ascii="Calibri" w:hAnsi="Calibri" w:cs="Calibri"/>
        </w:rPr>
        <w:t xml:space="preserve">placement instability; </w:t>
      </w:r>
    </w:p>
    <w:p w:rsidR="00A64326" w:rsidRPr="00360F51" w:rsidP="00644EEC">
      <w:pPr>
        <w:numPr>
          <w:ilvl w:val="0"/>
          <w:numId w:val="7"/>
        </w:numPr>
        <w:spacing w:after="0" w:line="240" w:lineRule="auto"/>
        <w:rPr>
          <w:rFonts w:ascii="Calibri" w:hAnsi="Calibri" w:cs="Calibri"/>
        </w:rPr>
      </w:pPr>
      <w:r w:rsidRPr="00360F51">
        <w:rPr>
          <w:rFonts w:ascii="Calibri" w:hAnsi="Calibri" w:cs="Calibri"/>
        </w:rPr>
        <w:t xml:space="preserve">and restrictive or high-cost adult support arrangements.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They are also more likely to fall between organisational boundaries and eligibility frameworks, particularly where no obvious adult pathway exists.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4. Systems focus too heavily on transfer between services rather than adulthood outcomes</w:t>
      </w:r>
    </w:p>
    <w:p w:rsidR="00A64326" w:rsidRPr="00360F51" w:rsidP="00644EEC">
      <w:pPr>
        <w:spacing w:after="0" w:line="240" w:lineRule="auto"/>
        <w:rPr>
          <w:rFonts w:ascii="Calibri" w:hAnsi="Calibri" w:cs="Calibri"/>
        </w:rPr>
      </w:pPr>
    </w:p>
    <w:p w:rsidR="00A64326" w:rsidRPr="00360F51" w:rsidP="006B7489">
      <w:pPr>
        <w:tabs>
          <w:tab w:val="num" w:pos="720"/>
        </w:tabs>
        <w:spacing w:after="0" w:line="240" w:lineRule="auto"/>
        <w:rPr>
          <w:rFonts w:ascii="Calibri" w:hAnsi="Calibri" w:cs="Calibri"/>
        </w:rPr>
      </w:pPr>
      <w:r w:rsidRPr="00360F51">
        <w:rPr>
          <w:rFonts w:ascii="Calibri" w:hAnsi="Calibri" w:cs="Calibri"/>
        </w:rPr>
        <w:t>Current transition arrangements frequently prioritise service eligibility, organisational responsibility and statutory process compliance, rather than broader adulthood outcomes. However, successful preparation for adulthood depends on much more than transfer between services. Young people and families consistently identified the importance of:</w:t>
      </w:r>
    </w:p>
    <w:p w:rsidR="00A64326" w:rsidRPr="00360F51" w:rsidP="00644EEC">
      <w:pPr>
        <w:numPr>
          <w:ilvl w:val="0"/>
          <w:numId w:val="9"/>
        </w:numPr>
        <w:spacing w:after="0" w:line="240" w:lineRule="auto"/>
        <w:rPr>
          <w:rFonts w:ascii="Calibri" w:hAnsi="Calibri" w:cs="Calibri"/>
        </w:rPr>
      </w:pPr>
      <w:r w:rsidRPr="00360F51">
        <w:rPr>
          <w:rFonts w:ascii="Calibri" w:hAnsi="Calibri" w:cs="Calibri"/>
        </w:rPr>
        <w:t xml:space="preserve">employment and meaningful occupation; </w:t>
      </w:r>
    </w:p>
    <w:p w:rsidR="00A64326" w:rsidRPr="00360F51" w:rsidP="00644EEC">
      <w:pPr>
        <w:numPr>
          <w:ilvl w:val="0"/>
          <w:numId w:val="9"/>
        </w:numPr>
        <w:spacing w:after="0" w:line="240" w:lineRule="auto"/>
        <w:rPr>
          <w:rFonts w:ascii="Calibri" w:hAnsi="Calibri" w:cs="Calibri"/>
        </w:rPr>
      </w:pPr>
      <w:r w:rsidRPr="00360F51">
        <w:rPr>
          <w:rFonts w:ascii="Calibri" w:hAnsi="Calibri" w:cs="Calibri"/>
        </w:rPr>
        <w:t xml:space="preserve">relationships and community inclusion; </w:t>
      </w:r>
    </w:p>
    <w:p w:rsidR="00A64326" w:rsidRPr="00360F51" w:rsidP="00644EEC">
      <w:pPr>
        <w:numPr>
          <w:ilvl w:val="0"/>
          <w:numId w:val="9"/>
        </w:numPr>
        <w:spacing w:after="0" w:line="240" w:lineRule="auto"/>
        <w:rPr>
          <w:rFonts w:ascii="Calibri" w:hAnsi="Calibri" w:cs="Calibri"/>
        </w:rPr>
      </w:pPr>
      <w:r w:rsidRPr="00360F51">
        <w:rPr>
          <w:rFonts w:ascii="Calibri" w:hAnsi="Calibri" w:cs="Calibri"/>
        </w:rPr>
        <w:t xml:space="preserve">emotional wellbeing; </w:t>
      </w:r>
    </w:p>
    <w:p w:rsidR="00A64326" w:rsidRPr="00360F51" w:rsidP="00644EEC">
      <w:pPr>
        <w:numPr>
          <w:ilvl w:val="0"/>
          <w:numId w:val="9"/>
        </w:numPr>
        <w:spacing w:after="0" w:line="240" w:lineRule="auto"/>
        <w:rPr>
          <w:rFonts w:ascii="Calibri" w:hAnsi="Calibri" w:cs="Calibri"/>
        </w:rPr>
      </w:pPr>
      <w:r w:rsidRPr="00360F51">
        <w:rPr>
          <w:rFonts w:ascii="Calibri" w:hAnsi="Calibri" w:cs="Calibri"/>
        </w:rPr>
        <w:t xml:space="preserve">stable housing; </w:t>
      </w:r>
    </w:p>
    <w:p w:rsidR="00A64326" w:rsidRPr="00360F51" w:rsidP="00644EEC">
      <w:pPr>
        <w:numPr>
          <w:ilvl w:val="0"/>
          <w:numId w:val="9"/>
        </w:numPr>
        <w:spacing w:after="0" w:line="240" w:lineRule="auto"/>
        <w:rPr>
          <w:rFonts w:ascii="Calibri" w:hAnsi="Calibri" w:cs="Calibri"/>
        </w:rPr>
      </w:pPr>
      <w:r w:rsidRPr="00360F51">
        <w:rPr>
          <w:rFonts w:ascii="Calibri" w:hAnsi="Calibri" w:cs="Calibri"/>
        </w:rPr>
        <w:t xml:space="preserve">confidence and identity; </w:t>
      </w:r>
    </w:p>
    <w:p w:rsidR="00A64326" w:rsidRPr="00360F51" w:rsidP="00644EEC">
      <w:pPr>
        <w:numPr>
          <w:ilvl w:val="0"/>
          <w:numId w:val="9"/>
        </w:numPr>
        <w:spacing w:after="0" w:line="240" w:lineRule="auto"/>
        <w:rPr>
          <w:rFonts w:ascii="Calibri" w:hAnsi="Calibri" w:cs="Calibri"/>
        </w:rPr>
      </w:pPr>
      <w:r w:rsidRPr="00360F51">
        <w:rPr>
          <w:rFonts w:ascii="Calibri" w:hAnsi="Calibri" w:cs="Calibri"/>
        </w:rPr>
        <w:t xml:space="preserve">and gradual development of independence.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The strongest examples identified through our work were those that treated preparation for adulthood as a whole-life-course issue, rather than a single transition event.</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5. Strengths-based practice is improving, but opportunities to build future independence are often missed</w:t>
      </w:r>
    </w:p>
    <w:p w:rsidR="00A64326" w:rsidRPr="00360F51" w:rsidP="006B7489">
      <w:pPr>
        <w:spacing w:after="0" w:line="240" w:lineRule="auto"/>
        <w:rPr>
          <w:rFonts w:ascii="Calibri" w:hAnsi="Calibri" w:cs="Calibri"/>
        </w:rPr>
      </w:pPr>
      <w:r w:rsidRPr="00360F51">
        <w:rPr>
          <w:rFonts w:ascii="Calibri" w:hAnsi="Calibri" w:cs="Calibri"/>
        </w:rPr>
        <w:t xml:space="preserve">Strengths-based approaches are increasingly embedded across local systems, and many practitioners demonstrate strong commitment to person-centred practice. However, there remains an important gap between identifying current strengths and actively building future independence over time.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In our East Midlands work, we saw significant variation in the extent to which planning for the future was evident for young adults. In some cases, aspirations for independence reduced once needs were perceived as highly complex. This risks creating systems that manage dependency more effectively, rather than systems that consistently build independence, confidence and participation.</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6. Better coordination and earlier intervention would improve both outcomes and sustainability</w:t>
      </w:r>
    </w:p>
    <w:p w:rsidR="00A64326" w:rsidRPr="00360F51" w:rsidP="00644EEC">
      <w:pPr>
        <w:spacing w:after="0" w:line="240" w:lineRule="auto"/>
        <w:rPr>
          <w:rFonts w:ascii="Calibri" w:hAnsi="Calibri" w:cs="Calibri"/>
        </w:rPr>
      </w:pPr>
      <w:r w:rsidRPr="00360F51">
        <w:rPr>
          <w:rFonts w:ascii="Calibri" w:hAnsi="Calibri" w:cs="Calibri"/>
        </w:rPr>
        <w:t>Many of the pressures currently experienced within adult services are shaped by missed opportunities earlier in young people’s journeys. The interventions most frequently identified as having potential to improve outcomes and reduce future need included:</w:t>
      </w:r>
    </w:p>
    <w:p w:rsidR="00A64326" w:rsidRPr="00360F51" w:rsidP="00644EEC">
      <w:pPr>
        <w:numPr>
          <w:ilvl w:val="0"/>
          <w:numId w:val="11"/>
        </w:numPr>
        <w:spacing w:after="0" w:line="240" w:lineRule="auto"/>
        <w:rPr>
          <w:rFonts w:ascii="Calibri" w:hAnsi="Calibri" w:cs="Calibri"/>
        </w:rPr>
      </w:pPr>
      <w:r w:rsidRPr="00360F51">
        <w:rPr>
          <w:rFonts w:ascii="Calibri" w:hAnsi="Calibri" w:cs="Calibri"/>
        </w:rPr>
        <w:t xml:space="preserve">employment and volunteering opportunities; </w:t>
      </w:r>
    </w:p>
    <w:p w:rsidR="00A64326" w:rsidRPr="00360F51" w:rsidP="00644EEC">
      <w:pPr>
        <w:numPr>
          <w:ilvl w:val="0"/>
          <w:numId w:val="11"/>
        </w:numPr>
        <w:spacing w:after="0" w:line="240" w:lineRule="auto"/>
        <w:rPr>
          <w:rFonts w:ascii="Calibri" w:hAnsi="Calibri" w:cs="Calibri"/>
        </w:rPr>
      </w:pPr>
      <w:r w:rsidRPr="00360F51">
        <w:rPr>
          <w:rFonts w:ascii="Calibri" w:hAnsi="Calibri" w:cs="Calibri"/>
        </w:rPr>
        <w:t xml:space="preserve">enablement and independence-building support; </w:t>
      </w:r>
    </w:p>
    <w:p w:rsidR="00A64326" w:rsidRPr="00360F51" w:rsidP="00644EEC">
      <w:pPr>
        <w:numPr>
          <w:ilvl w:val="0"/>
          <w:numId w:val="11"/>
        </w:numPr>
        <w:spacing w:after="0" w:line="240" w:lineRule="auto"/>
        <w:rPr>
          <w:rFonts w:ascii="Calibri" w:hAnsi="Calibri" w:cs="Calibri"/>
        </w:rPr>
      </w:pPr>
      <w:r w:rsidRPr="00360F51">
        <w:rPr>
          <w:rFonts w:ascii="Calibri" w:hAnsi="Calibri" w:cs="Calibri"/>
        </w:rPr>
        <w:t xml:space="preserve">mental health support; </w:t>
      </w:r>
    </w:p>
    <w:p w:rsidR="00A64326" w:rsidRPr="00360F51" w:rsidP="00644EEC">
      <w:pPr>
        <w:numPr>
          <w:ilvl w:val="0"/>
          <w:numId w:val="11"/>
        </w:numPr>
        <w:spacing w:after="0" w:line="240" w:lineRule="auto"/>
        <w:rPr>
          <w:rFonts w:ascii="Calibri" w:hAnsi="Calibri" w:cs="Calibri"/>
        </w:rPr>
      </w:pPr>
      <w:r w:rsidRPr="00360F51">
        <w:rPr>
          <w:rFonts w:ascii="Calibri" w:hAnsi="Calibri" w:cs="Calibri"/>
        </w:rPr>
        <w:t xml:space="preserve">housing support; </w:t>
      </w:r>
    </w:p>
    <w:p w:rsidR="00A64326" w:rsidRPr="00360F51" w:rsidP="00644EEC">
      <w:pPr>
        <w:numPr>
          <w:ilvl w:val="0"/>
          <w:numId w:val="11"/>
        </w:numPr>
        <w:spacing w:after="0" w:line="240" w:lineRule="auto"/>
        <w:rPr>
          <w:rFonts w:ascii="Calibri" w:hAnsi="Calibri" w:cs="Calibri"/>
        </w:rPr>
      </w:pPr>
      <w:r w:rsidRPr="00360F51">
        <w:rPr>
          <w:rFonts w:ascii="Calibri" w:hAnsi="Calibri" w:cs="Calibri"/>
        </w:rPr>
        <w:t>technology-enabled care; and</w:t>
      </w:r>
    </w:p>
    <w:p w:rsidR="00A64326" w:rsidRPr="00360F51" w:rsidP="00644EEC">
      <w:pPr>
        <w:numPr>
          <w:ilvl w:val="0"/>
          <w:numId w:val="11"/>
        </w:numPr>
        <w:spacing w:after="0" w:line="240" w:lineRule="auto"/>
        <w:rPr>
          <w:rFonts w:ascii="Calibri" w:hAnsi="Calibri" w:cs="Calibri"/>
        </w:rPr>
      </w:pPr>
      <w:r w:rsidRPr="00360F51">
        <w:rPr>
          <w:rFonts w:ascii="Calibri" w:hAnsi="Calibri" w:cs="Calibri"/>
        </w:rPr>
        <w:t xml:space="preserve">community-based provision.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 xml:space="preserve">However, access to these supports remains inconsistent nationally.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sz w:val="28"/>
          <w:szCs w:val="28"/>
        </w:rPr>
      </w:pPr>
      <w:r w:rsidRPr="00360F51">
        <w:rPr>
          <w:rFonts w:ascii="Calibri" w:hAnsi="Calibri" w:cs="Calibri"/>
          <w:b/>
          <w:bCs/>
          <w:sz w:val="28"/>
          <w:szCs w:val="28"/>
        </w:rPr>
        <w:t>Evidence on key system challenges</w:t>
      </w:r>
    </w:p>
    <w:p w:rsidR="00A64326" w:rsidRPr="00360F51" w:rsidP="00644EEC">
      <w:pPr>
        <w:spacing w:after="0" w:line="240" w:lineRule="auto"/>
        <w:rPr>
          <w:rFonts w:ascii="Calibri" w:hAnsi="Calibri" w:cs="Calibri"/>
        </w:rPr>
      </w:pPr>
      <w:r w:rsidRPr="00360F51">
        <w:rPr>
          <w:rFonts w:ascii="Calibri" w:hAnsi="Calibri" w:cs="Calibri"/>
        </w:rPr>
        <w:t xml:space="preserve">The following sections focus on the areas where our evidence base is strongest and where we believe the most significant systemic barriers remain. While grouped under separate themes within the call for evidence, our findings consistently demonstrated that these issues </w:t>
      </w:r>
      <w:r w:rsidRPr="00360F51">
        <w:rPr>
          <w:rFonts w:ascii="Calibri" w:hAnsi="Calibri" w:cs="Calibri"/>
        </w:rPr>
        <w:t>are interconnected — particularly fragmentation across services, reactive planning, weak data-sharing and insufficient focus on long-term adulthood outcomes.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Theme 1: Early planning and cross-system coordination</w:t>
      </w:r>
    </w:p>
    <w:p w:rsidR="00A64326" w:rsidRPr="00360F51" w:rsidP="00644EEC">
      <w:pPr>
        <w:spacing w:after="0" w:line="240" w:lineRule="auto"/>
        <w:rPr>
          <w:rFonts w:ascii="Calibri" w:hAnsi="Calibri" w:cs="Calibri"/>
          <w:i/>
          <w:iCs/>
        </w:rPr>
      </w:pPr>
      <w:r w:rsidRPr="00360F51">
        <w:rPr>
          <w:rFonts w:ascii="Calibri" w:hAnsi="Calibri" w:cs="Calibri"/>
          <w:i/>
          <w:iCs/>
        </w:rPr>
        <w:t>(Focus Area 1 – Effectiveness and implementation: “How do services identify those who will need to transition to adult services, and what proportion start transition planning in year 9? How is this monitored?”)</w:t>
      </w:r>
    </w:p>
    <w:p w:rsidR="00A64326" w:rsidRPr="00360F51" w:rsidP="00644EEC">
      <w:pPr>
        <w:spacing w:after="0" w:line="240" w:lineRule="auto"/>
        <w:rPr>
          <w:rFonts w:ascii="Calibri" w:hAnsi="Calibri" w:cs="Calibri"/>
          <w:i/>
          <w:iCs/>
        </w:rPr>
      </w:pPr>
    </w:p>
    <w:p w:rsidR="00A64326" w:rsidRPr="00360F51" w:rsidP="00644EEC">
      <w:pPr>
        <w:spacing w:after="0" w:line="240" w:lineRule="auto"/>
        <w:rPr>
          <w:rFonts w:ascii="Calibri" w:hAnsi="Calibri" w:cs="Calibri"/>
        </w:rPr>
      </w:pPr>
      <w:r w:rsidRPr="00360F51">
        <w:rPr>
          <w:rFonts w:ascii="Calibri" w:hAnsi="Calibri" w:cs="Calibri"/>
          <w:i/>
          <w:iCs/>
        </w:rPr>
        <w:t>(Focus Area 2 – Effectiveness and implementation: “How effective is joint commissioning and coordinated delivery of the care received by children and young people at the point of transition?”)</w:t>
      </w:r>
    </w:p>
    <w:p w:rsidR="00A64326" w:rsidRPr="00360F51" w:rsidP="00644EEC">
      <w:pPr>
        <w:spacing w:after="0" w:line="240" w:lineRule="auto"/>
        <w:rPr>
          <w:rFonts w:ascii="Calibri" w:hAnsi="Calibri" w:cs="Calibri"/>
        </w:rPr>
      </w:pPr>
    </w:p>
    <w:p w:rsidR="00A64326" w:rsidRPr="00360F51" w:rsidP="00346C4E">
      <w:pPr>
        <w:spacing w:after="0" w:line="240" w:lineRule="auto"/>
        <w:rPr>
          <w:rFonts w:ascii="Calibri" w:hAnsi="Calibri" w:cs="Calibri"/>
        </w:rPr>
      </w:pPr>
      <w:r w:rsidRPr="00360F51">
        <w:rPr>
          <w:rFonts w:ascii="Calibri" w:hAnsi="Calibri" w:cs="Calibri"/>
        </w:rPr>
        <w:t>While many local areas have developed transition pathways and partnership structures, these do not consistently translate into coordinated operational delivery. Young people and families frequently described “cliff edges” between services, repeated retelling of personal histories and uncertainty about who was responsible for coordinating support.</w:t>
      </w:r>
    </w:p>
    <w:p w:rsidR="00A64326" w:rsidRPr="00360F51" w:rsidP="00AB7129">
      <w:pPr>
        <w:spacing w:after="0" w:line="240" w:lineRule="auto"/>
        <w:rPr>
          <w:rFonts w:ascii="Calibri" w:hAnsi="Calibri" w:cs="Calibri"/>
        </w:rPr>
      </w:pPr>
      <w:r w:rsidRPr="00360F51">
        <w:rPr>
          <w:rFonts w:ascii="Calibri" w:hAnsi="Calibri" w:cs="Calibri"/>
        </w:rPr>
        <w:t>Systems often continue to operate with:</w:t>
      </w:r>
    </w:p>
    <w:p w:rsidR="00A64326" w:rsidRPr="00360F51" w:rsidP="00AB7129">
      <w:pPr>
        <w:numPr>
          <w:ilvl w:val="0"/>
          <w:numId w:val="43"/>
        </w:numPr>
        <w:spacing w:after="0" w:line="240" w:lineRule="auto"/>
        <w:rPr>
          <w:rFonts w:ascii="Calibri" w:hAnsi="Calibri" w:cs="Calibri"/>
        </w:rPr>
      </w:pPr>
      <w:r w:rsidRPr="00360F51">
        <w:rPr>
          <w:rFonts w:ascii="Calibri" w:hAnsi="Calibri" w:cs="Calibri"/>
        </w:rPr>
        <w:t xml:space="preserve">different thresholds; </w:t>
      </w:r>
    </w:p>
    <w:p w:rsidR="00A64326" w:rsidRPr="00360F51" w:rsidP="00AB7129">
      <w:pPr>
        <w:numPr>
          <w:ilvl w:val="0"/>
          <w:numId w:val="43"/>
        </w:numPr>
        <w:spacing w:after="0" w:line="240" w:lineRule="auto"/>
        <w:rPr>
          <w:rFonts w:ascii="Calibri" w:hAnsi="Calibri" w:cs="Calibri"/>
        </w:rPr>
      </w:pPr>
      <w:r w:rsidRPr="00360F51">
        <w:rPr>
          <w:rFonts w:ascii="Calibri" w:hAnsi="Calibri" w:cs="Calibri"/>
        </w:rPr>
        <w:t xml:space="preserve">different approaches to risk and independence; </w:t>
      </w:r>
    </w:p>
    <w:p w:rsidR="00A64326" w:rsidRPr="00360F51" w:rsidP="00AB7129">
      <w:pPr>
        <w:numPr>
          <w:ilvl w:val="0"/>
          <w:numId w:val="43"/>
        </w:numPr>
        <w:spacing w:after="0" w:line="240" w:lineRule="auto"/>
        <w:rPr>
          <w:rFonts w:ascii="Calibri" w:hAnsi="Calibri" w:cs="Calibri"/>
        </w:rPr>
      </w:pPr>
      <w:r w:rsidRPr="00360F51">
        <w:rPr>
          <w:rFonts w:ascii="Calibri" w:hAnsi="Calibri" w:cs="Calibri"/>
        </w:rPr>
        <w:t xml:space="preserve">separate commissioning and data arrangements; </w:t>
      </w:r>
    </w:p>
    <w:p w:rsidR="00A64326" w:rsidRPr="00360F51" w:rsidP="00AB7129">
      <w:pPr>
        <w:numPr>
          <w:ilvl w:val="0"/>
          <w:numId w:val="43"/>
        </w:numPr>
        <w:spacing w:after="0" w:line="240" w:lineRule="auto"/>
        <w:rPr>
          <w:rFonts w:ascii="Calibri" w:hAnsi="Calibri" w:cs="Calibri"/>
        </w:rPr>
      </w:pPr>
      <w:r w:rsidRPr="00360F51">
        <w:rPr>
          <w:rFonts w:ascii="Calibri" w:hAnsi="Calibri" w:cs="Calibri"/>
        </w:rPr>
        <w:t xml:space="preserve">and limited shared accountability for long-term outcomes. </w:t>
      </w:r>
    </w:p>
    <w:p w:rsidR="00A64326" w:rsidRPr="00360F51" w:rsidP="00AB7129">
      <w:pPr>
        <w:spacing w:after="0" w:line="240" w:lineRule="auto"/>
        <w:rPr>
          <w:rFonts w:ascii="Calibri" w:hAnsi="Calibri" w:cs="Calibri"/>
        </w:rPr>
      </w:pPr>
    </w:p>
    <w:p w:rsidR="00A64326" w:rsidRPr="00360F51" w:rsidP="00AB7129">
      <w:pPr>
        <w:spacing w:after="0" w:line="240" w:lineRule="auto"/>
        <w:rPr>
          <w:rFonts w:ascii="Calibri" w:hAnsi="Calibri" w:cs="Calibri"/>
        </w:rPr>
      </w:pPr>
      <w:r w:rsidRPr="00360F51">
        <w:rPr>
          <w:rFonts w:ascii="Calibri" w:hAnsi="Calibri" w:cs="Calibri"/>
        </w:rPr>
        <w:t>These challenges are particularly significant for young people with overlapping needs relating to neurodiversity, mental health, trauma and behavioural complexity, who frequently require support from multiple agencies simultaneously.</w:t>
      </w:r>
    </w:p>
    <w:p w:rsidR="00A64326" w:rsidRPr="00360F51" w:rsidP="00AB7129">
      <w:pPr>
        <w:spacing w:after="0" w:line="240" w:lineRule="auto"/>
        <w:rPr>
          <w:rFonts w:ascii="Calibri" w:hAnsi="Calibri" w:cs="Calibri"/>
        </w:rPr>
      </w:pPr>
    </w:p>
    <w:p w:rsidR="00A64326" w:rsidRPr="00360F51" w:rsidP="00AB7129">
      <w:pPr>
        <w:spacing w:after="0" w:line="240" w:lineRule="auto"/>
        <w:rPr>
          <w:rFonts w:ascii="Calibri" w:hAnsi="Calibri" w:cs="Calibri"/>
        </w:rPr>
      </w:pPr>
      <w:r w:rsidRPr="00360F51">
        <w:rPr>
          <w:rFonts w:ascii="Calibri" w:hAnsi="Calibri" w:cs="Calibri"/>
        </w:rPr>
        <w:t>Importantly, many local systems are already aware of the young people most likely to require ongoing support into adulthood, often over a significant number of years. The challenge is therefore less about identification itself, and more about whether systems begin coordinated and developmental planning early enough. Across our East Midlands work, many of the young people requiring high-cost adult support were already well known to children’s services. However, despite national guidance that transition planning should begin from Year 9 onwards, planning often appeared to begin too late and became reactive rather than developmental, frequently intensifying close to age 18 in response to immediate operational pressures, uncertainty around eligibility or emerging crises. This late and fragmented planning reduces opportunities to:</w:t>
      </w:r>
    </w:p>
    <w:p w:rsidR="00A64326" w:rsidRPr="00360F51" w:rsidP="00AB7129">
      <w:pPr>
        <w:numPr>
          <w:ilvl w:val="0"/>
          <w:numId w:val="44"/>
        </w:numPr>
        <w:spacing w:after="0" w:line="240" w:lineRule="auto"/>
        <w:rPr>
          <w:rFonts w:ascii="Calibri" w:hAnsi="Calibri" w:cs="Calibri"/>
        </w:rPr>
      </w:pPr>
      <w:r w:rsidRPr="00360F51">
        <w:rPr>
          <w:rFonts w:ascii="Calibri" w:hAnsi="Calibri" w:cs="Calibri"/>
        </w:rPr>
        <w:t xml:space="preserve">build practical independence gradually; </w:t>
      </w:r>
    </w:p>
    <w:p w:rsidR="00A64326" w:rsidRPr="00360F51" w:rsidP="00AB7129">
      <w:pPr>
        <w:numPr>
          <w:ilvl w:val="0"/>
          <w:numId w:val="44"/>
        </w:numPr>
        <w:spacing w:after="0" w:line="240" w:lineRule="auto"/>
        <w:rPr>
          <w:rFonts w:ascii="Calibri" w:hAnsi="Calibri" w:cs="Calibri"/>
        </w:rPr>
      </w:pPr>
      <w:r w:rsidRPr="00360F51">
        <w:rPr>
          <w:rFonts w:ascii="Calibri" w:hAnsi="Calibri" w:cs="Calibri"/>
        </w:rPr>
        <w:t xml:space="preserve">support employment and participation; </w:t>
      </w:r>
    </w:p>
    <w:p w:rsidR="00A64326" w:rsidRPr="00360F51" w:rsidP="00AB7129">
      <w:pPr>
        <w:numPr>
          <w:ilvl w:val="0"/>
          <w:numId w:val="44"/>
        </w:numPr>
        <w:spacing w:after="0" w:line="240" w:lineRule="auto"/>
        <w:rPr>
          <w:rFonts w:ascii="Calibri" w:hAnsi="Calibri" w:cs="Calibri"/>
        </w:rPr>
      </w:pPr>
      <w:r w:rsidRPr="00360F51">
        <w:rPr>
          <w:rFonts w:ascii="Calibri" w:hAnsi="Calibri" w:cs="Calibri"/>
        </w:rPr>
        <w:t xml:space="preserve">prepare families for changing roles and expectations; </w:t>
      </w:r>
    </w:p>
    <w:p w:rsidR="00A64326" w:rsidRPr="00360F51" w:rsidP="00AB7129">
      <w:pPr>
        <w:numPr>
          <w:ilvl w:val="0"/>
          <w:numId w:val="44"/>
        </w:numPr>
        <w:spacing w:after="0" w:line="240" w:lineRule="auto"/>
        <w:rPr>
          <w:rFonts w:ascii="Calibri" w:hAnsi="Calibri" w:cs="Calibri"/>
        </w:rPr>
      </w:pPr>
      <w:r w:rsidRPr="00360F51">
        <w:rPr>
          <w:rFonts w:ascii="Calibri" w:hAnsi="Calibri" w:cs="Calibri"/>
        </w:rPr>
        <w:t xml:space="preserve">and coordinate adulthood pathways effectively across agencies. </w:t>
      </w:r>
    </w:p>
    <w:p w:rsidR="00A64326" w:rsidRPr="00360F51" w:rsidP="00AB7129">
      <w:pPr>
        <w:spacing w:after="0" w:line="240" w:lineRule="auto"/>
        <w:rPr>
          <w:rFonts w:ascii="Calibri" w:hAnsi="Calibri" w:cs="Calibri"/>
        </w:rPr>
      </w:pPr>
    </w:p>
    <w:p w:rsidR="00A64326" w:rsidRPr="00360F51" w:rsidP="00AB7129">
      <w:pPr>
        <w:spacing w:after="0" w:line="240" w:lineRule="auto"/>
        <w:rPr>
          <w:rFonts w:ascii="Calibri" w:hAnsi="Calibri" w:cs="Calibri"/>
        </w:rPr>
      </w:pPr>
      <w:r w:rsidRPr="00360F51">
        <w:rPr>
          <w:rFonts w:ascii="Calibri" w:hAnsi="Calibri" w:cs="Calibri"/>
        </w:rPr>
        <w:t>A key barrier identified through our work was weak cross-system data sharing and oversight. Many organisations hold information individually, but lack joined-up datasets and shared monitoring across children’s services, adult social care, health and education. This limits systems’ ability to:</w:t>
      </w:r>
    </w:p>
    <w:p w:rsidR="00A64326" w:rsidRPr="00360F51" w:rsidP="00AB7129">
      <w:pPr>
        <w:numPr>
          <w:ilvl w:val="0"/>
          <w:numId w:val="45"/>
        </w:numPr>
        <w:spacing w:after="0" w:line="240" w:lineRule="auto"/>
        <w:rPr>
          <w:rFonts w:ascii="Calibri" w:hAnsi="Calibri" w:cs="Calibri"/>
        </w:rPr>
      </w:pPr>
      <w:r w:rsidRPr="00360F51">
        <w:rPr>
          <w:rFonts w:ascii="Calibri" w:hAnsi="Calibri" w:cs="Calibri"/>
        </w:rPr>
        <w:t xml:space="preserve">track transition pathways longitudinally; </w:t>
      </w:r>
    </w:p>
    <w:p w:rsidR="00A64326" w:rsidRPr="00360F51" w:rsidP="00AB7129">
      <w:pPr>
        <w:numPr>
          <w:ilvl w:val="0"/>
          <w:numId w:val="45"/>
        </w:numPr>
        <w:spacing w:after="0" w:line="240" w:lineRule="auto"/>
        <w:rPr>
          <w:rFonts w:ascii="Calibri" w:hAnsi="Calibri" w:cs="Calibri"/>
        </w:rPr>
      </w:pPr>
      <w:r w:rsidRPr="00360F51">
        <w:rPr>
          <w:rFonts w:ascii="Calibri" w:hAnsi="Calibri" w:cs="Calibri"/>
        </w:rPr>
        <w:t xml:space="preserve">identify young people at risk of poor outcomes early; </w:t>
      </w:r>
    </w:p>
    <w:p w:rsidR="00A64326" w:rsidRPr="00360F51" w:rsidP="00AB7129">
      <w:pPr>
        <w:numPr>
          <w:ilvl w:val="0"/>
          <w:numId w:val="45"/>
        </w:numPr>
        <w:spacing w:after="0" w:line="240" w:lineRule="auto"/>
        <w:rPr>
          <w:rFonts w:ascii="Calibri" w:hAnsi="Calibri" w:cs="Calibri"/>
        </w:rPr>
      </w:pPr>
      <w:r w:rsidRPr="00360F51">
        <w:rPr>
          <w:rFonts w:ascii="Calibri" w:hAnsi="Calibri" w:cs="Calibri"/>
        </w:rPr>
        <w:t xml:space="preserve">monitor whether planning is taking place early enough; </w:t>
      </w:r>
    </w:p>
    <w:p w:rsidR="00A64326" w:rsidRPr="00360F51" w:rsidP="00AB7129">
      <w:pPr>
        <w:numPr>
          <w:ilvl w:val="0"/>
          <w:numId w:val="45"/>
        </w:numPr>
        <w:spacing w:after="0" w:line="240" w:lineRule="auto"/>
        <w:rPr>
          <w:rFonts w:ascii="Calibri" w:hAnsi="Calibri" w:cs="Calibri"/>
        </w:rPr>
      </w:pPr>
      <w:r w:rsidRPr="00360F51">
        <w:rPr>
          <w:rFonts w:ascii="Calibri" w:hAnsi="Calibri" w:cs="Calibri"/>
        </w:rPr>
        <w:t xml:space="preserve">and understand long-term adulthood outcomes. </w:t>
      </w:r>
    </w:p>
    <w:p w:rsidR="00A64326" w:rsidRPr="00360F51" w:rsidP="00AB7129">
      <w:pPr>
        <w:spacing w:after="0" w:line="240" w:lineRule="auto"/>
        <w:rPr>
          <w:rFonts w:ascii="Calibri" w:hAnsi="Calibri" w:cs="Calibri"/>
        </w:rPr>
      </w:pPr>
    </w:p>
    <w:p w:rsidR="00A64326" w:rsidRPr="00360F51" w:rsidP="00AB7129">
      <w:pPr>
        <w:spacing w:after="0" w:line="240" w:lineRule="auto"/>
        <w:rPr>
          <w:rFonts w:ascii="Calibri" w:hAnsi="Calibri" w:cs="Calibri"/>
        </w:rPr>
      </w:pPr>
      <w:r w:rsidRPr="00360F51">
        <w:rPr>
          <w:rFonts w:ascii="Calibri" w:hAnsi="Calibri" w:cs="Calibri"/>
        </w:rPr>
        <w:t>In practice, joint commissioning arrangements often appear stronger strategically than operationally. Many systems have shared transition strategies, but fewer have:</w:t>
      </w:r>
    </w:p>
    <w:p w:rsidR="00A64326" w:rsidRPr="00360F51" w:rsidP="00AB7129">
      <w:pPr>
        <w:numPr>
          <w:ilvl w:val="0"/>
          <w:numId w:val="46"/>
        </w:numPr>
        <w:spacing w:after="0" w:line="240" w:lineRule="auto"/>
        <w:rPr>
          <w:rFonts w:ascii="Calibri" w:hAnsi="Calibri" w:cs="Calibri"/>
        </w:rPr>
      </w:pPr>
      <w:r w:rsidRPr="00360F51">
        <w:rPr>
          <w:rFonts w:ascii="Calibri" w:hAnsi="Calibri" w:cs="Calibri"/>
        </w:rPr>
        <w:t xml:space="preserve">integrated data and oversight; </w:t>
      </w:r>
    </w:p>
    <w:p w:rsidR="00A64326" w:rsidRPr="00360F51" w:rsidP="00AB7129">
      <w:pPr>
        <w:numPr>
          <w:ilvl w:val="0"/>
          <w:numId w:val="46"/>
        </w:numPr>
        <w:spacing w:after="0" w:line="240" w:lineRule="auto"/>
        <w:rPr>
          <w:rFonts w:ascii="Calibri" w:hAnsi="Calibri" w:cs="Calibri"/>
        </w:rPr>
      </w:pPr>
      <w:r w:rsidRPr="00360F51">
        <w:rPr>
          <w:rFonts w:ascii="Calibri" w:hAnsi="Calibri" w:cs="Calibri"/>
        </w:rPr>
        <w:t xml:space="preserve">coordinated pathway design; </w:t>
      </w:r>
    </w:p>
    <w:p w:rsidR="00A64326" w:rsidRPr="00360F51" w:rsidP="00AB7129">
      <w:pPr>
        <w:numPr>
          <w:ilvl w:val="0"/>
          <w:numId w:val="46"/>
        </w:numPr>
        <w:spacing w:after="0" w:line="240" w:lineRule="auto"/>
        <w:rPr>
          <w:rFonts w:ascii="Calibri" w:hAnsi="Calibri" w:cs="Calibri"/>
        </w:rPr>
      </w:pPr>
      <w:r w:rsidRPr="00360F51">
        <w:rPr>
          <w:rFonts w:ascii="Calibri" w:hAnsi="Calibri" w:cs="Calibri"/>
        </w:rPr>
        <w:t xml:space="preserve">shared outcome frameworks; </w:t>
      </w:r>
    </w:p>
    <w:p w:rsidR="00A64326" w:rsidRPr="00360F51" w:rsidP="00AB7129">
      <w:pPr>
        <w:numPr>
          <w:ilvl w:val="0"/>
          <w:numId w:val="46"/>
        </w:numPr>
        <w:spacing w:after="0" w:line="240" w:lineRule="auto"/>
        <w:rPr>
          <w:rFonts w:ascii="Calibri" w:hAnsi="Calibri" w:cs="Calibri"/>
        </w:rPr>
      </w:pPr>
      <w:r w:rsidRPr="00360F51">
        <w:rPr>
          <w:rFonts w:ascii="Calibri" w:hAnsi="Calibri" w:cs="Calibri"/>
        </w:rPr>
        <w:t xml:space="preserve">or jointly commissioned preventative and community-based provision. </w:t>
      </w:r>
    </w:p>
    <w:p w:rsidR="00A64326" w:rsidRPr="00360F51" w:rsidP="00AB7129">
      <w:pPr>
        <w:spacing w:after="0" w:line="240" w:lineRule="auto"/>
        <w:rPr>
          <w:rFonts w:ascii="Calibri" w:hAnsi="Calibri" w:cs="Calibri"/>
        </w:rPr>
      </w:pPr>
    </w:p>
    <w:p w:rsidR="00A64326" w:rsidRPr="00360F51" w:rsidP="00AB7129">
      <w:pPr>
        <w:spacing w:after="0" w:line="240" w:lineRule="auto"/>
        <w:rPr>
          <w:rFonts w:ascii="Calibri" w:hAnsi="Calibri" w:cs="Calibri"/>
        </w:rPr>
      </w:pPr>
      <w:r w:rsidRPr="00360F51">
        <w:rPr>
          <w:rFonts w:ascii="Calibri" w:hAnsi="Calibri" w:cs="Calibri"/>
        </w:rPr>
        <w:t>The strongest examples identified through our work were characterised not simply by formal governance arrangements, but by shared culture, shared language and shared expectations around adulthood and independence.</w:t>
      </w:r>
    </w:p>
    <w:p w:rsidR="00A64326" w:rsidRPr="00360F51" w:rsidP="00AB7129">
      <w:pPr>
        <w:spacing w:after="0" w:line="240" w:lineRule="auto"/>
        <w:rPr>
          <w:rFonts w:ascii="Calibri" w:hAnsi="Calibri" w:cs="Calibri"/>
        </w:rPr>
      </w:pPr>
      <w:r w:rsidRPr="00360F51">
        <w:rPr>
          <w:rFonts w:ascii="Calibri" w:hAnsi="Calibri" w:cs="Calibri"/>
        </w:rPr>
        <w:t>Overall, preparation for adulthood should be understood less as a late-stage transfer process and more as a long-term prevention and development issue requiring shared ownership across agencies throughout adolescence and early adulthood.</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Theme 2: Consequences of poor or inconsistent transition support</w:t>
      </w:r>
    </w:p>
    <w:p w:rsidR="00A64326" w:rsidRPr="00360F51" w:rsidP="00644EEC">
      <w:pPr>
        <w:spacing w:after="0" w:line="240" w:lineRule="auto"/>
        <w:rPr>
          <w:rFonts w:ascii="Calibri" w:hAnsi="Calibri" w:cs="Calibri"/>
        </w:rPr>
      </w:pPr>
      <w:r w:rsidRPr="00360F51">
        <w:rPr>
          <w:rFonts w:ascii="Calibri" w:hAnsi="Calibri" w:cs="Calibri"/>
          <w:i/>
          <w:iCs/>
        </w:rPr>
        <w:t>(Focus Area 2 – Impact and outcomes: “Where health and social care organisations have not been able to fulfil these statements of intent, what has the impact been?”)</w:t>
      </w:r>
    </w:p>
    <w:p w:rsidR="00A64326" w:rsidRPr="00360F51" w:rsidP="00644EEC">
      <w:pPr>
        <w:spacing w:after="0" w:line="240" w:lineRule="auto"/>
        <w:rPr>
          <w:rFonts w:ascii="Calibri" w:hAnsi="Calibri" w:cs="Calibri"/>
        </w:rPr>
      </w:pPr>
    </w:p>
    <w:p w:rsidR="00A64326" w:rsidRPr="00360F51" w:rsidP="00967D74">
      <w:pPr>
        <w:spacing w:after="0" w:line="240" w:lineRule="auto"/>
        <w:rPr>
          <w:rFonts w:ascii="Calibri" w:hAnsi="Calibri" w:cs="Calibri"/>
        </w:rPr>
      </w:pPr>
      <w:r w:rsidRPr="00360F51">
        <w:rPr>
          <w:rFonts w:ascii="Calibri" w:hAnsi="Calibri" w:cs="Calibri"/>
        </w:rPr>
        <w:t>Where transition support is fragmented, delayed or inconsistent, consequences include anxiety, uncertainty, reactive decision-making, emergency placements and poorer long-term adulthood outcomes including housing instability, reduced participation and increased reliance on statutory support. Many of these pressures are not inevitable consequences of complexity alone, but are shaped by whether systems intervene early enough, coordinate effectively enough and maintain sufficiently ambitious expectations for young people’s futures.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Theme 3: Appropriate ambition for independence and adulthood outcomes</w:t>
      </w:r>
    </w:p>
    <w:p w:rsidR="00A64326" w:rsidRPr="00360F51" w:rsidP="00644EEC">
      <w:pPr>
        <w:spacing w:after="0" w:line="240" w:lineRule="auto"/>
        <w:rPr>
          <w:rFonts w:ascii="Calibri" w:hAnsi="Calibri" w:cs="Calibri"/>
        </w:rPr>
      </w:pPr>
      <w:r w:rsidRPr="00360F51">
        <w:rPr>
          <w:rFonts w:ascii="Calibri" w:hAnsi="Calibri" w:cs="Calibri"/>
          <w:i/>
          <w:iCs/>
        </w:rPr>
        <w:t>(Focus Area 5 – Impact and outcomes: “What evidence is there that developmentally appropriate transition support improves safety and independence-related outcomes after entry to adult services?”)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The best transition support improves outcomes by enabling young people to build confidence, skills, resilience and support networks gradually over time, rather than entering adult services through crisis or abrupt transfer.</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The most effective approaches identified through our work included:</w:t>
      </w:r>
    </w:p>
    <w:p w:rsidR="00A64326" w:rsidRPr="00360F51" w:rsidP="00644EEC">
      <w:pPr>
        <w:numPr>
          <w:ilvl w:val="0"/>
          <w:numId w:val="22"/>
        </w:numPr>
        <w:spacing w:after="0" w:line="240" w:lineRule="auto"/>
        <w:rPr>
          <w:rFonts w:ascii="Calibri" w:hAnsi="Calibri" w:cs="Calibri"/>
        </w:rPr>
      </w:pPr>
      <w:r w:rsidRPr="00360F51">
        <w:rPr>
          <w:rFonts w:ascii="Calibri" w:hAnsi="Calibri" w:cs="Calibri"/>
        </w:rPr>
        <w:t xml:space="preserve">supported employment and volunteering pathways; </w:t>
      </w:r>
    </w:p>
    <w:p w:rsidR="00A64326" w:rsidRPr="00360F51" w:rsidP="00644EEC">
      <w:pPr>
        <w:numPr>
          <w:ilvl w:val="0"/>
          <w:numId w:val="22"/>
        </w:numPr>
        <w:spacing w:after="0" w:line="240" w:lineRule="auto"/>
        <w:rPr>
          <w:rFonts w:ascii="Calibri" w:hAnsi="Calibri" w:cs="Calibri"/>
        </w:rPr>
      </w:pPr>
      <w:r w:rsidRPr="00360F51">
        <w:rPr>
          <w:rFonts w:ascii="Calibri" w:hAnsi="Calibri" w:cs="Calibri"/>
        </w:rPr>
        <w:t xml:space="preserve">enablement and independence-building support; </w:t>
      </w:r>
    </w:p>
    <w:p w:rsidR="00A64326" w:rsidRPr="00360F51" w:rsidP="00644EEC">
      <w:pPr>
        <w:numPr>
          <w:ilvl w:val="0"/>
          <w:numId w:val="22"/>
        </w:numPr>
        <w:spacing w:after="0" w:line="240" w:lineRule="auto"/>
        <w:rPr>
          <w:rFonts w:ascii="Calibri" w:hAnsi="Calibri" w:cs="Calibri"/>
        </w:rPr>
      </w:pPr>
      <w:r w:rsidRPr="00360F51">
        <w:rPr>
          <w:rFonts w:ascii="Calibri" w:hAnsi="Calibri" w:cs="Calibri"/>
        </w:rPr>
        <w:t xml:space="preserve">technology-enabled care; </w:t>
      </w:r>
    </w:p>
    <w:p w:rsidR="00A64326" w:rsidRPr="00360F51" w:rsidP="00644EEC">
      <w:pPr>
        <w:numPr>
          <w:ilvl w:val="0"/>
          <w:numId w:val="22"/>
        </w:numPr>
        <w:spacing w:after="0" w:line="240" w:lineRule="auto"/>
        <w:rPr>
          <w:rFonts w:ascii="Calibri" w:hAnsi="Calibri" w:cs="Calibri"/>
        </w:rPr>
      </w:pPr>
      <w:r w:rsidRPr="00360F51">
        <w:rPr>
          <w:rFonts w:ascii="Calibri" w:hAnsi="Calibri" w:cs="Calibri"/>
        </w:rPr>
        <w:t xml:space="preserve">independent travel training; </w:t>
      </w:r>
    </w:p>
    <w:p w:rsidR="00A64326" w:rsidRPr="00360F51" w:rsidP="00644EEC">
      <w:pPr>
        <w:numPr>
          <w:ilvl w:val="0"/>
          <w:numId w:val="22"/>
        </w:numPr>
        <w:spacing w:after="0" w:line="240" w:lineRule="auto"/>
        <w:rPr>
          <w:rFonts w:ascii="Calibri" w:hAnsi="Calibri" w:cs="Calibri"/>
        </w:rPr>
      </w:pPr>
      <w:r w:rsidRPr="00360F51">
        <w:rPr>
          <w:rFonts w:ascii="Calibri" w:hAnsi="Calibri" w:cs="Calibri"/>
        </w:rPr>
        <w:t>community participation; and</w:t>
      </w:r>
    </w:p>
    <w:p w:rsidR="00A64326" w:rsidRPr="00360F51" w:rsidP="00644EEC">
      <w:pPr>
        <w:numPr>
          <w:ilvl w:val="0"/>
          <w:numId w:val="22"/>
        </w:numPr>
        <w:spacing w:after="0" w:line="240" w:lineRule="auto"/>
        <w:rPr>
          <w:rFonts w:ascii="Calibri" w:hAnsi="Calibri" w:cs="Calibri"/>
        </w:rPr>
      </w:pPr>
      <w:r w:rsidRPr="00360F51">
        <w:rPr>
          <w:rFonts w:ascii="Calibri" w:hAnsi="Calibri" w:cs="Calibri"/>
        </w:rPr>
        <w:t xml:space="preserve">strengths-based planning focused on adulthood outcomes.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These approaches support young people to practise independence incrementally and safely, while maintaining continuity of support and relationships. Our reports also identified substantial variation between areas in access to:</w:t>
      </w:r>
    </w:p>
    <w:p w:rsidR="00A64326" w:rsidRPr="00360F51" w:rsidP="00644EEC">
      <w:pPr>
        <w:numPr>
          <w:ilvl w:val="0"/>
          <w:numId w:val="23"/>
        </w:numPr>
        <w:spacing w:after="0" w:line="240" w:lineRule="auto"/>
        <w:rPr>
          <w:rFonts w:ascii="Calibri" w:hAnsi="Calibri" w:cs="Calibri"/>
        </w:rPr>
      </w:pPr>
      <w:r w:rsidRPr="00360F51">
        <w:rPr>
          <w:rFonts w:ascii="Calibri" w:hAnsi="Calibri" w:cs="Calibri"/>
        </w:rPr>
        <w:t xml:space="preserve">community provision; </w:t>
      </w:r>
    </w:p>
    <w:p w:rsidR="00A64326" w:rsidRPr="00360F51" w:rsidP="00644EEC">
      <w:pPr>
        <w:numPr>
          <w:ilvl w:val="0"/>
          <w:numId w:val="23"/>
        </w:numPr>
        <w:spacing w:after="0" w:line="240" w:lineRule="auto"/>
        <w:rPr>
          <w:rFonts w:ascii="Calibri" w:hAnsi="Calibri" w:cs="Calibri"/>
        </w:rPr>
      </w:pPr>
      <w:r w:rsidRPr="00360F51">
        <w:rPr>
          <w:rFonts w:ascii="Calibri" w:hAnsi="Calibri" w:cs="Calibri"/>
        </w:rPr>
        <w:t xml:space="preserve">supported employment; </w:t>
      </w:r>
    </w:p>
    <w:p w:rsidR="00A64326" w:rsidRPr="00360F51" w:rsidP="00644EEC">
      <w:pPr>
        <w:numPr>
          <w:ilvl w:val="0"/>
          <w:numId w:val="23"/>
        </w:numPr>
        <w:spacing w:after="0" w:line="240" w:lineRule="auto"/>
        <w:rPr>
          <w:rFonts w:ascii="Calibri" w:hAnsi="Calibri" w:cs="Calibri"/>
        </w:rPr>
      </w:pPr>
      <w:r w:rsidRPr="00360F51">
        <w:rPr>
          <w:rFonts w:ascii="Calibri" w:hAnsi="Calibri" w:cs="Calibri"/>
        </w:rPr>
        <w:t xml:space="preserve">VCSE support; </w:t>
      </w:r>
    </w:p>
    <w:p w:rsidR="00A64326" w:rsidRPr="00360F51" w:rsidP="00644EEC">
      <w:pPr>
        <w:numPr>
          <w:ilvl w:val="0"/>
          <w:numId w:val="23"/>
        </w:numPr>
        <w:spacing w:after="0" w:line="240" w:lineRule="auto"/>
        <w:rPr>
          <w:rFonts w:ascii="Calibri" w:hAnsi="Calibri" w:cs="Calibri"/>
        </w:rPr>
      </w:pPr>
      <w:r w:rsidRPr="00360F51">
        <w:rPr>
          <w:rFonts w:ascii="Calibri" w:hAnsi="Calibri" w:cs="Calibri"/>
        </w:rPr>
        <w:t xml:space="preserve">and technology-enabled care.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This variation contributes directly to inequity in adulthood outcomes.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Successful preparation for adulthood should not be measured solely by whether transfer between services occurs smoothly. Rather, success should be understood in terms of whether young people are supported towards:</w:t>
      </w:r>
    </w:p>
    <w:p w:rsidR="00A64326" w:rsidRPr="00360F51" w:rsidP="00644EEC">
      <w:pPr>
        <w:numPr>
          <w:ilvl w:val="0"/>
          <w:numId w:val="24"/>
        </w:numPr>
        <w:spacing w:after="0" w:line="240" w:lineRule="auto"/>
        <w:rPr>
          <w:rFonts w:ascii="Calibri" w:hAnsi="Calibri" w:cs="Calibri"/>
        </w:rPr>
      </w:pPr>
      <w:r w:rsidRPr="00360F51">
        <w:rPr>
          <w:rFonts w:ascii="Calibri" w:hAnsi="Calibri" w:cs="Calibri"/>
        </w:rPr>
        <w:t xml:space="preserve">stable housing; </w:t>
      </w:r>
    </w:p>
    <w:p w:rsidR="00A64326" w:rsidRPr="00360F51" w:rsidP="00644EEC">
      <w:pPr>
        <w:numPr>
          <w:ilvl w:val="0"/>
          <w:numId w:val="24"/>
        </w:numPr>
        <w:spacing w:after="0" w:line="240" w:lineRule="auto"/>
        <w:rPr>
          <w:rFonts w:ascii="Calibri" w:hAnsi="Calibri" w:cs="Calibri"/>
        </w:rPr>
      </w:pPr>
      <w:r w:rsidRPr="00360F51">
        <w:rPr>
          <w:rFonts w:ascii="Calibri" w:hAnsi="Calibri" w:cs="Calibri"/>
        </w:rPr>
        <w:t xml:space="preserve">meaningful occupation; </w:t>
      </w:r>
    </w:p>
    <w:p w:rsidR="00A64326" w:rsidRPr="00360F51" w:rsidP="00644EEC">
      <w:pPr>
        <w:numPr>
          <w:ilvl w:val="0"/>
          <w:numId w:val="24"/>
        </w:numPr>
        <w:spacing w:after="0" w:line="240" w:lineRule="auto"/>
        <w:rPr>
          <w:rFonts w:ascii="Calibri" w:hAnsi="Calibri" w:cs="Calibri"/>
        </w:rPr>
      </w:pPr>
      <w:r w:rsidRPr="00360F51">
        <w:rPr>
          <w:rFonts w:ascii="Calibri" w:hAnsi="Calibri" w:cs="Calibri"/>
        </w:rPr>
        <w:t xml:space="preserve">positive relationships; </w:t>
      </w:r>
    </w:p>
    <w:p w:rsidR="00A64326" w:rsidRPr="00360F51" w:rsidP="00644EEC">
      <w:pPr>
        <w:numPr>
          <w:ilvl w:val="0"/>
          <w:numId w:val="24"/>
        </w:numPr>
        <w:spacing w:after="0" w:line="240" w:lineRule="auto"/>
        <w:rPr>
          <w:rFonts w:ascii="Calibri" w:hAnsi="Calibri" w:cs="Calibri"/>
        </w:rPr>
      </w:pPr>
      <w:r w:rsidRPr="00360F51">
        <w:rPr>
          <w:rFonts w:ascii="Calibri" w:hAnsi="Calibri" w:cs="Calibri"/>
        </w:rPr>
        <w:t xml:space="preserve">emotional wellbeing; </w:t>
      </w:r>
    </w:p>
    <w:p w:rsidR="00A64326" w:rsidRPr="00360F51" w:rsidP="00644EEC">
      <w:pPr>
        <w:numPr>
          <w:ilvl w:val="0"/>
          <w:numId w:val="24"/>
        </w:numPr>
        <w:spacing w:after="0" w:line="240" w:lineRule="auto"/>
        <w:rPr>
          <w:rFonts w:ascii="Calibri" w:hAnsi="Calibri" w:cs="Calibri"/>
        </w:rPr>
      </w:pPr>
      <w:r w:rsidRPr="00360F51">
        <w:rPr>
          <w:rFonts w:ascii="Calibri" w:hAnsi="Calibri" w:cs="Calibri"/>
        </w:rPr>
        <w:t>community inclusion; and</w:t>
      </w:r>
    </w:p>
    <w:p w:rsidR="00A64326" w:rsidRPr="00360F51" w:rsidP="00644EEC">
      <w:pPr>
        <w:numPr>
          <w:ilvl w:val="0"/>
          <w:numId w:val="24"/>
        </w:numPr>
        <w:spacing w:after="0" w:line="240" w:lineRule="auto"/>
        <w:rPr>
          <w:rFonts w:ascii="Calibri" w:hAnsi="Calibri" w:cs="Calibri"/>
        </w:rPr>
      </w:pPr>
      <w:r w:rsidRPr="00360F51">
        <w:rPr>
          <w:rFonts w:ascii="Calibri" w:hAnsi="Calibri" w:cs="Calibri"/>
        </w:rPr>
        <w:t xml:space="preserve">greater independence and choice over time. </w:t>
      </w:r>
    </w:p>
    <w:p w:rsidR="00A64326" w:rsidRPr="00360F51" w:rsidP="00644EEC">
      <w:pPr>
        <w:spacing w:after="0" w:line="240" w:lineRule="auto"/>
        <w:rPr>
          <w:rFonts w:ascii="Calibri" w:hAnsi="Calibri" w:cs="Calibri"/>
          <w:b/>
          <w:bCs/>
        </w:rPr>
      </w:pPr>
    </w:p>
    <w:p w:rsidR="00A64326" w:rsidRPr="00360F51" w:rsidP="00644EEC">
      <w:pPr>
        <w:spacing w:after="0" w:line="240" w:lineRule="auto"/>
        <w:rPr>
          <w:rFonts w:ascii="Calibri" w:hAnsi="Calibri" w:cs="Calibri"/>
          <w:b/>
          <w:bCs/>
        </w:rPr>
      </w:pPr>
      <w:r w:rsidRPr="00360F51">
        <w:rPr>
          <w:rFonts w:ascii="Calibri" w:hAnsi="Calibri" w:cs="Calibri"/>
          <w:b/>
          <w:bCs/>
        </w:rPr>
        <w:t>Theme 4: Independence for young people who will continue to require substantial support</w:t>
      </w:r>
    </w:p>
    <w:p w:rsidR="00A64326" w:rsidRPr="00360F51" w:rsidP="00644EEC">
      <w:pPr>
        <w:spacing w:after="0" w:line="240" w:lineRule="auto"/>
        <w:rPr>
          <w:rFonts w:ascii="Calibri" w:hAnsi="Calibri" w:cs="Calibri"/>
        </w:rPr>
      </w:pPr>
      <w:r w:rsidRPr="00360F51">
        <w:rPr>
          <w:rFonts w:ascii="Calibri" w:hAnsi="Calibri" w:cs="Calibri"/>
          <w:i/>
          <w:iCs/>
        </w:rPr>
        <w:t>(Focus Area 5 – Appropriateness: “How is the model of independence appropriately adapted for young people who will continue to require substantial support in adult life?”)</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Independence should not be understood simply as a reduction or withdrawal of support. For young people who will continue to require substantial support in adulthood, independence is better understood as increasing choice and control, participation, confidence, relationships, and community connection, while ensuring support remains proportionate and enabling. This distinction is not yet consistently reflected in practice.</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Across our East Midlands work, practitioners were generally effective at identifying current strengths and needs. However, there was less evidence of systems consistently and proactively building future strengths and independence over time. In some cases, aspirations reduced once needs were perceived as highly complex.</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Systems can sometimes default towards managing long-term dependency rather than actively developing communication, relationships, confidence, participation and practical independence wherever possible. The strongest examples identified through our work adopted broader and more ambitious definitions of adulthood outcomes. These included:</w:t>
      </w:r>
    </w:p>
    <w:p w:rsidR="00A64326" w:rsidRPr="00360F51" w:rsidP="00644EEC">
      <w:pPr>
        <w:numPr>
          <w:ilvl w:val="0"/>
          <w:numId w:val="27"/>
        </w:numPr>
        <w:spacing w:after="0" w:line="240" w:lineRule="auto"/>
        <w:rPr>
          <w:rFonts w:ascii="Calibri" w:hAnsi="Calibri" w:cs="Calibri"/>
        </w:rPr>
      </w:pPr>
      <w:r w:rsidRPr="00360F51">
        <w:rPr>
          <w:rFonts w:ascii="Calibri" w:hAnsi="Calibri" w:cs="Calibri"/>
        </w:rPr>
        <w:t xml:space="preserve">use of technology-enabled care; </w:t>
      </w:r>
    </w:p>
    <w:p w:rsidR="00A64326" w:rsidRPr="00360F51" w:rsidP="00644EEC">
      <w:pPr>
        <w:numPr>
          <w:ilvl w:val="0"/>
          <w:numId w:val="27"/>
        </w:numPr>
        <w:spacing w:after="0" w:line="240" w:lineRule="auto"/>
        <w:rPr>
          <w:rFonts w:ascii="Calibri" w:hAnsi="Calibri" w:cs="Calibri"/>
        </w:rPr>
      </w:pPr>
      <w:r w:rsidRPr="00360F51">
        <w:rPr>
          <w:rFonts w:ascii="Calibri" w:hAnsi="Calibri" w:cs="Calibri"/>
        </w:rPr>
        <w:t xml:space="preserve">community participation models; </w:t>
      </w:r>
    </w:p>
    <w:p w:rsidR="00A64326" w:rsidRPr="00360F51" w:rsidP="00644EEC">
      <w:pPr>
        <w:numPr>
          <w:ilvl w:val="0"/>
          <w:numId w:val="27"/>
        </w:numPr>
        <w:spacing w:after="0" w:line="240" w:lineRule="auto"/>
        <w:rPr>
          <w:rFonts w:ascii="Calibri" w:hAnsi="Calibri" w:cs="Calibri"/>
        </w:rPr>
      </w:pPr>
      <w:r w:rsidRPr="00360F51">
        <w:rPr>
          <w:rFonts w:ascii="Calibri" w:hAnsi="Calibri" w:cs="Calibri"/>
        </w:rPr>
        <w:t xml:space="preserve">supported employment and volunteering; </w:t>
      </w:r>
    </w:p>
    <w:p w:rsidR="00A64326" w:rsidRPr="00360F51" w:rsidP="00644EEC">
      <w:pPr>
        <w:numPr>
          <w:ilvl w:val="0"/>
          <w:numId w:val="27"/>
        </w:numPr>
        <w:spacing w:after="0" w:line="240" w:lineRule="auto"/>
        <w:rPr>
          <w:rFonts w:ascii="Calibri" w:hAnsi="Calibri" w:cs="Calibri"/>
        </w:rPr>
      </w:pPr>
      <w:r w:rsidRPr="00360F51">
        <w:rPr>
          <w:rFonts w:ascii="Calibri" w:hAnsi="Calibri" w:cs="Calibri"/>
        </w:rPr>
        <w:t>peer support; and</w:t>
      </w:r>
    </w:p>
    <w:p w:rsidR="00A64326" w:rsidRPr="00360F51" w:rsidP="00644EEC">
      <w:pPr>
        <w:numPr>
          <w:ilvl w:val="0"/>
          <w:numId w:val="27"/>
        </w:numPr>
        <w:spacing w:after="0" w:line="240" w:lineRule="auto"/>
        <w:rPr>
          <w:rFonts w:ascii="Calibri" w:hAnsi="Calibri" w:cs="Calibri"/>
        </w:rPr>
      </w:pPr>
      <w:r w:rsidRPr="00360F51">
        <w:rPr>
          <w:rFonts w:ascii="Calibri" w:hAnsi="Calibri" w:cs="Calibri"/>
        </w:rPr>
        <w:t xml:space="preserve">strengths-based planning approaches focused on quality of life and inclusion rather than solely service provision.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Overall, effective preparation for adulthood requires systems to maintain ambitious expectations for all young people, including those with the highest levels of need.</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Theme 5: Leadership, coordination and named accountability</w:t>
      </w:r>
    </w:p>
    <w:p w:rsidR="00A64326" w:rsidRPr="00360F51" w:rsidP="00644EEC">
      <w:pPr>
        <w:spacing w:after="0" w:line="240" w:lineRule="auto"/>
        <w:rPr>
          <w:rFonts w:ascii="Calibri" w:hAnsi="Calibri" w:cs="Calibri"/>
        </w:rPr>
      </w:pPr>
      <w:r w:rsidRPr="00360F51">
        <w:rPr>
          <w:rFonts w:ascii="Calibri" w:hAnsi="Calibri" w:cs="Calibri"/>
          <w:i/>
          <w:iCs/>
        </w:rPr>
        <w:t>(Focus Area 4 – Impact and outcomes: “What is the impact of having named staff members responsible for transitions?”)</w:t>
      </w:r>
    </w:p>
    <w:p w:rsidR="00A64326" w:rsidRPr="00360F51" w:rsidP="00644EEC">
      <w:pPr>
        <w:spacing w:after="0" w:line="240" w:lineRule="auto"/>
        <w:rPr>
          <w:rFonts w:ascii="Calibri" w:hAnsi="Calibri" w:cs="Calibri"/>
        </w:rPr>
      </w:pPr>
    </w:p>
    <w:p w:rsidR="00A64326" w:rsidRPr="00360F51" w:rsidP="00242872">
      <w:pPr>
        <w:spacing w:after="0" w:line="240" w:lineRule="auto"/>
        <w:rPr>
          <w:rFonts w:ascii="Calibri" w:hAnsi="Calibri" w:cs="Calibri"/>
        </w:rPr>
      </w:pPr>
      <w:r w:rsidRPr="00360F51">
        <w:rPr>
          <w:rFonts w:ascii="Calibri" w:hAnsi="Calibri" w:cs="Calibri"/>
        </w:rPr>
        <w:t xml:space="preserve">Clear leadership and coordination roles can improve continuity, accountability and consistency within transition pathways. Young people and families consistently emphasised the importance of trusted relationships; continuity; and knowing who was responsible for coordinating support. </w:t>
      </w:r>
    </w:p>
    <w:p w:rsidR="00A64326" w:rsidRPr="00360F51" w:rsidP="00644EEC">
      <w:pPr>
        <w:spacing w:after="0" w:line="240" w:lineRule="auto"/>
        <w:rPr>
          <w:rFonts w:ascii="Calibri" w:hAnsi="Calibri" w:cs="Calibri"/>
        </w:rPr>
      </w:pPr>
    </w:p>
    <w:p w:rsidR="00A64326" w:rsidRPr="00360F51" w:rsidP="00242872">
      <w:pPr>
        <w:spacing w:after="0" w:line="240" w:lineRule="auto"/>
        <w:rPr>
          <w:rFonts w:ascii="Calibri" w:hAnsi="Calibri" w:cs="Calibri"/>
        </w:rPr>
      </w:pPr>
      <w:r w:rsidRPr="00360F51">
        <w:rPr>
          <w:rFonts w:ascii="Calibri" w:hAnsi="Calibri" w:cs="Calibri"/>
        </w:rPr>
        <w:t>Named workers and lead professionals can reduce fragmentation by improving continuity and helping young people and families navigate complex systems.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At strategic level, named senior leaders and executive champions are important in ensuring preparation for adulthood remains visible within system priorities and governance arrangements.</w:t>
      </w:r>
    </w:p>
    <w:p w:rsidR="00A64326" w:rsidRPr="00360F51" w:rsidP="00644EEC">
      <w:pPr>
        <w:spacing w:after="0" w:line="240" w:lineRule="auto"/>
        <w:rPr>
          <w:rFonts w:ascii="Calibri" w:hAnsi="Calibri" w:cs="Calibri"/>
        </w:rPr>
      </w:pPr>
    </w:p>
    <w:p w:rsidR="00A64326" w:rsidRPr="00360F51" w:rsidP="003E0C32">
      <w:pPr>
        <w:tabs>
          <w:tab w:val="num" w:pos="720"/>
        </w:tabs>
        <w:spacing w:after="0" w:line="240" w:lineRule="auto"/>
        <w:rPr>
          <w:rFonts w:ascii="Calibri" w:hAnsi="Calibri" w:cs="Calibri"/>
        </w:rPr>
      </w:pPr>
      <w:r w:rsidRPr="00360F51">
        <w:rPr>
          <w:rFonts w:ascii="Calibri" w:hAnsi="Calibri" w:cs="Calibri"/>
        </w:rPr>
        <w:t xml:space="preserve">A recurring finding across our work was that many systems had developed strong ambitions relating to preparation for adulthood, but weaker shared accountability for delivery across organisations. Named leadership roles can help strengthen cross-system ownership, coordination between children’s and adult services, and focus on long-term outcomes and prevention.  However, our evidence also suggests that named roles alone are insufficient where wider systems remain fragmented. Effective coordination depends not only on individual roles, but also on shared culture, integrated planning, access to shared information, and sufficient protected time for relationship-based practice.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Theme 6: Person-centred support, equity and inclusion</w:t>
      </w:r>
    </w:p>
    <w:p w:rsidR="00A64326" w:rsidRPr="00360F51" w:rsidP="00644EEC">
      <w:pPr>
        <w:spacing w:after="0" w:line="240" w:lineRule="auto"/>
        <w:rPr>
          <w:rFonts w:ascii="Calibri" w:hAnsi="Calibri" w:cs="Calibri"/>
        </w:rPr>
      </w:pPr>
      <w:r w:rsidRPr="00360F51">
        <w:rPr>
          <w:rFonts w:ascii="Calibri" w:hAnsi="Calibri" w:cs="Calibri"/>
          <w:i/>
          <w:iCs/>
        </w:rPr>
        <w:t>(Focus Area 6 – Impact and outcomes: “What is the impact of the provision, or lack of provision, of person-centred care for individuals with additional needs?”)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Our work highlighted that genuinely person-centred support can significantly improve confidence, participation, emotional wellbeing and long-term independence for young people with additional or complex needs.</w:t>
      </w:r>
    </w:p>
    <w:p w:rsidR="00A64326" w:rsidRPr="00360F51" w:rsidP="00524AAF">
      <w:pPr>
        <w:tabs>
          <w:tab w:val="num" w:pos="720"/>
        </w:tabs>
        <w:spacing w:after="0" w:line="240" w:lineRule="auto"/>
        <w:rPr>
          <w:rFonts w:ascii="Calibri" w:hAnsi="Calibri" w:cs="Calibri"/>
        </w:rPr>
      </w:pPr>
      <w:r w:rsidRPr="00360F51">
        <w:rPr>
          <w:rFonts w:ascii="Calibri" w:hAnsi="Calibri" w:cs="Calibri"/>
        </w:rPr>
        <w:t xml:space="preserve">The strongest examples identified through our work were characterised by early and coordinated planning, flexible and accessible communication, continuity of relationships, strengths-based approaches, and support focused on participation, identity and adulthood aspirations rather than service eligibility alone. </w:t>
      </w:r>
    </w:p>
    <w:p w:rsidR="00A64326" w:rsidRPr="00360F51" w:rsidP="00644EEC">
      <w:pPr>
        <w:spacing w:after="0" w:line="240" w:lineRule="auto"/>
        <w:rPr>
          <w:rFonts w:ascii="Calibri" w:hAnsi="Calibri" w:cs="Calibri"/>
        </w:rPr>
      </w:pPr>
    </w:p>
    <w:p w:rsidR="00A64326" w:rsidRPr="00360F51" w:rsidP="00524AAF">
      <w:pPr>
        <w:tabs>
          <w:tab w:val="num" w:pos="720"/>
        </w:tabs>
        <w:spacing w:after="0" w:line="240" w:lineRule="auto"/>
        <w:rPr>
          <w:rFonts w:ascii="Calibri" w:hAnsi="Calibri" w:cs="Calibri"/>
        </w:rPr>
      </w:pPr>
      <w:r w:rsidRPr="00360F51">
        <w:rPr>
          <w:rFonts w:ascii="Calibri" w:hAnsi="Calibri" w:cs="Calibri"/>
        </w:rPr>
        <w:t xml:space="preserve">However, our evidence also suggests that outcomes remain highly unequal across groups of young people. Young people with overlapping neurodiversity, mental health needs, trauma and behavioural complexity were significantly more likely to experience fragmented pathways, reactive planning, safeguarding concerns, restrictive support arrangements and poorer adulthood outcomes.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Importantly, inequity often appears to arise less from formal policy than from variation in local system capability, provision and confidence in working with complexity. Person-centred support is most effective where systems:</w:t>
      </w:r>
    </w:p>
    <w:p w:rsidR="00A64326" w:rsidRPr="00360F51" w:rsidP="00644EEC">
      <w:pPr>
        <w:numPr>
          <w:ilvl w:val="0"/>
          <w:numId w:val="34"/>
        </w:numPr>
        <w:spacing w:after="0" w:line="240" w:lineRule="auto"/>
        <w:rPr>
          <w:rFonts w:ascii="Calibri" w:hAnsi="Calibri" w:cs="Calibri"/>
        </w:rPr>
      </w:pPr>
      <w:r w:rsidRPr="00360F51">
        <w:rPr>
          <w:rFonts w:ascii="Calibri" w:hAnsi="Calibri" w:cs="Calibri"/>
        </w:rPr>
        <w:t xml:space="preserve">maintain ambitious expectations for all young people; </w:t>
      </w:r>
    </w:p>
    <w:p w:rsidR="00A64326" w:rsidRPr="00360F51" w:rsidP="00644EEC">
      <w:pPr>
        <w:numPr>
          <w:ilvl w:val="0"/>
          <w:numId w:val="34"/>
        </w:numPr>
        <w:spacing w:after="0" w:line="240" w:lineRule="auto"/>
        <w:rPr>
          <w:rFonts w:ascii="Calibri" w:hAnsi="Calibri" w:cs="Calibri"/>
        </w:rPr>
      </w:pPr>
      <w:r w:rsidRPr="00360F51">
        <w:rPr>
          <w:rFonts w:ascii="Calibri" w:hAnsi="Calibri" w:cs="Calibri"/>
        </w:rPr>
        <w:t xml:space="preserve">coordinate effectively across agencies; </w:t>
      </w:r>
    </w:p>
    <w:p w:rsidR="00A64326" w:rsidRPr="00360F51" w:rsidP="00644EEC">
      <w:pPr>
        <w:numPr>
          <w:ilvl w:val="0"/>
          <w:numId w:val="34"/>
        </w:numPr>
        <w:spacing w:after="0" w:line="240" w:lineRule="auto"/>
        <w:rPr>
          <w:rFonts w:ascii="Calibri" w:hAnsi="Calibri" w:cs="Calibri"/>
        </w:rPr>
      </w:pPr>
      <w:r w:rsidRPr="00360F51">
        <w:rPr>
          <w:rFonts w:ascii="Calibri" w:hAnsi="Calibri" w:cs="Calibri"/>
        </w:rPr>
        <w:t>adapt communication and engagement approaches flexibly; and</w:t>
      </w:r>
    </w:p>
    <w:p w:rsidR="00A64326" w:rsidRPr="00360F51" w:rsidP="00644EEC">
      <w:pPr>
        <w:numPr>
          <w:ilvl w:val="0"/>
          <w:numId w:val="34"/>
        </w:numPr>
        <w:spacing w:after="0" w:line="240" w:lineRule="auto"/>
        <w:rPr>
          <w:rFonts w:ascii="Calibri" w:hAnsi="Calibri" w:cs="Calibri"/>
        </w:rPr>
      </w:pPr>
      <w:r w:rsidRPr="00360F51">
        <w:rPr>
          <w:rFonts w:ascii="Calibri" w:hAnsi="Calibri" w:cs="Calibri"/>
        </w:rPr>
        <w:t xml:space="preserve">invest in community-based and preventative support.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Without this, systems risk becoming primarily organised around managing eligibility and risk, rather than supporting young people to lead meaningful adult lives.</w:t>
      </w:r>
    </w:p>
    <w:p w:rsidR="00A64326" w:rsidRPr="00360F51" w:rsidP="00644EEC">
      <w:pPr>
        <w:spacing w:after="0" w:line="240" w:lineRule="auto"/>
        <w:rPr>
          <w:rFonts w:ascii="Calibri" w:hAnsi="Calibri" w:cs="Calibri"/>
          <w:b/>
          <w:bCs/>
        </w:rPr>
      </w:pPr>
    </w:p>
    <w:p w:rsidR="00A64326" w:rsidRPr="00360F51" w:rsidP="00644EEC">
      <w:pPr>
        <w:spacing w:after="0" w:line="240" w:lineRule="auto"/>
        <w:rPr>
          <w:rFonts w:ascii="Calibri" w:hAnsi="Calibri" w:cs="Calibri"/>
          <w:b/>
          <w:bCs/>
        </w:rPr>
      </w:pPr>
    </w:p>
    <w:p w:rsidR="00A64326" w:rsidRPr="00360F51" w:rsidP="00644EEC">
      <w:pPr>
        <w:spacing w:after="0" w:line="240" w:lineRule="auto"/>
        <w:rPr>
          <w:rFonts w:ascii="Calibri" w:hAnsi="Calibri" w:cs="Calibri"/>
          <w:b/>
          <w:bCs/>
          <w:sz w:val="28"/>
          <w:szCs w:val="28"/>
        </w:rPr>
      </w:pPr>
      <w:r w:rsidRPr="00360F51">
        <w:rPr>
          <w:rFonts w:ascii="Calibri" w:hAnsi="Calibri" w:cs="Calibri"/>
          <w:b/>
          <w:bCs/>
          <w:sz w:val="28"/>
          <w:szCs w:val="28"/>
        </w:rPr>
        <w:t>Recommendations</w:t>
      </w:r>
    </w:p>
    <w:p w:rsidR="00A64326" w:rsidRPr="00360F51" w:rsidP="00644EEC">
      <w:pPr>
        <w:spacing w:after="0" w:line="240" w:lineRule="auto"/>
        <w:rPr>
          <w:rFonts w:ascii="Calibri" w:hAnsi="Calibri" w:cs="Calibri"/>
        </w:rPr>
      </w:pPr>
      <w:r w:rsidRPr="00360F51">
        <w:rPr>
          <w:rFonts w:ascii="Calibri" w:hAnsi="Calibri" w:cs="Calibri"/>
        </w:rPr>
        <w:t>Based on the evidence gathered through both reports, we would recommend the following areas of national and local focus to strengthen preparation for adulthood and improve transition experiences and outcomes for young people and families.</w:t>
      </w:r>
    </w:p>
    <w:p w:rsidR="00A64326" w:rsidRPr="00360F51" w:rsidP="00644EEC">
      <w:pPr>
        <w:spacing w:after="0" w:line="240" w:lineRule="auto"/>
        <w:rPr>
          <w:rFonts w:ascii="Calibri" w:hAnsi="Calibri" w:cs="Calibri"/>
          <w:b/>
          <w:bCs/>
        </w:rPr>
      </w:pPr>
    </w:p>
    <w:p w:rsidR="00A64326" w:rsidRPr="00360F51" w:rsidP="00644EEC">
      <w:pPr>
        <w:spacing w:after="0" w:line="240" w:lineRule="auto"/>
        <w:rPr>
          <w:rFonts w:ascii="Calibri" w:hAnsi="Calibri" w:cs="Calibri"/>
          <w:b/>
          <w:bCs/>
        </w:rPr>
      </w:pPr>
      <w:r w:rsidRPr="00360F51">
        <w:rPr>
          <w:rFonts w:ascii="Calibri" w:hAnsi="Calibri" w:cs="Calibri"/>
          <w:b/>
          <w:bCs/>
        </w:rPr>
        <w:t>1. Reframe preparation for adulthood as a whole-system, whole-life-course responsibility</w:t>
      </w:r>
    </w:p>
    <w:p w:rsidR="00A64326" w:rsidRPr="00360F51" w:rsidP="00644EEC">
      <w:pPr>
        <w:spacing w:after="0" w:line="240" w:lineRule="auto"/>
        <w:rPr>
          <w:rFonts w:ascii="Calibri" w:hAnsi="Calibri" w:cs="Calibri"/>
        </w:rPr>
      </w:pPr>
      <w:r w:rsidRPr="00360F51">
        <w:rPr>
          <w:rFonts w:ascii="Calibri" w:hAnsi="Calibri" w:cs="Calibri"/>
        </w:rPr>
        <w:t>Preparation for adulthood should be treated as a shared, long-term responsibility across teams and services. This should include clearer expectations around shared accountability for adulthood outcomes across agencies.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2. Strengthen earlier and more proactive planning</w:t>
      </w:r>
    </w:p>
    <w:p w:rsidR="00A64326" w:rsidRPr="00360F51" w:rsidP="00644EEC">
      <w:pPr>
        <w:spacing w:after="0" w:line="240" w:lineRule="auto"/>
        <w:rPr>
          <w:rFonts w:ascii="Calibri" w:hAnsi="Calibri" w:cs="Calibri"/>
        </w:rPr>
      </w:pPr>
      <w:r w:rsidRPr="00360F51">
        <w:rPr>
          <w:rFonts w:ascii="Calibri" w:hAnsi="Calibri" w:cs="Calibri"/>
        </w:rPr>
        <w:t>National and local systems should strengthen expectations that preparation for adulthood begins early and remains developmental throughout adolescence.</w:t>
      </w:r>
    </w:p>
    <w:p w:rsidR="00A64326" w:rsidRPr="00360F51" w:rsidP="00524AAF">
      <w:pPr>
        <w:spacing w:after="0" w:line="240" w:lineRule="auto"/>
        <w:rPr>
          <w:rFonts w:ascii="Calibri" w:hAnsi="Calibri" w:cs="Calibri"/>
        </w:rPr>
      </w:pPr>
      <w:r w:rsidRPr="00360F51">
        <w:rPr>
          <w:rFonts w:ascii="Calibri" w:hAnsi="Calibri" w:cs="Calibri"/>
        </w:rPr>
        <w:t xml:space="preserve">This should include earlier multi-agency planning; proactive identification of young people likely to require ongoing support; stronger continuity between children’s and adult services; and greater focus on building independence gradually over time.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Monitoring should focus not only on whether planning processes exist, but whether they begin early enough and improve long-term outcomes.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3. Improve support for young people with overlapping and complex needs</w:t>
      </w:r>
    </w:p>
    <w:p w:rsidR="00A64326" w:rsidRPr="00360F51" w:rsidP="00644EEC">
      <w:pPr>
        <w:spacing w:after="0" w:line="240" w:lineRule="auto"/>
        <w:rPr>
          <w:rFonts w:ascii="Calibri" w:hAnsi="Calibri" w:cs="Calibri"/>
        </w:rPr>
      </w:pPr>
      <w:r w:rsidRPr="00360F51">
        <w:rPr>
          <w:rFonts w:ascii="Calibri" w:hAnsi="Calibri" w:cs="Calibri"/>
        </w:rPr>
        <w:t>National guidance and local system design should place greater emphasis on:</w:t>
      </w:r>
    </w:p>
    <w:p w:rsidR="00A64326" w:rsidRPr="00360F51" w:rsidP="00644EEC">
      <w:pPr>
        <w:numPr>
          <w:ilvl w:val="0"/>
          <w:numId w:val="37"/>
        </w:numPr>
        <w:spacing w:after="0" w:line="240" w:lineRule="auto"/>
        <w:rPr>
          <w:rFonts w:ascii="Calibri" w:hAnsi="Calibri" w:cs="Calibri"/>
        </w:rPr>
      </w:pPr>
      <w:r w:rsidRPr="00360F51">
        <w:rPr>
          <w:rFonts w:ascii="Calibri" w:hAnsi="Calibri" w:cs="Calibri"/>
        </w:rPr>
        <w:t xml:space="preserve">joined-up pathways for young people whose needs span multiple services; </w:t>
      </w:r>
    </w:p>
    <w:p w:rsidR="00A64326" w:rsidRPr="00360F51" w:rsidP="00644EEC">
      <w:pPr>
        <w:numPr>
          <w:ilvl w:val="0"/>
          <w:numId w:val="37"/>
        </w:numPr>
        <w:spacing w:after="0" w:line="240" w:lineRule="auto"/>
        <w:rPr>
          <w:rFonts w:ascii="Calibri" w:hAnsi="Calibri" w:cs="Calibri"/>
        </w:rPr>
      </w:pPr>
      <w:r w:rsidRPr="00360F51">
        <w:rPr>
          <w:rFonts w:ascii="Calibri" w:hAnsi="Calibri" w:cs="Calibri"/>
        </w:rPr>
        <w:t>avoiding gaps between thresholds and eligibility frameworks; and</w:t>
      </w:r>
    </w:p>
    <w:p w:rsidR="00A64326" w:rsidRPr="00360F51" w:rsidP="00644EEC">
      <w:pPr>
        <w:numPr>
          <w:ilvl w:val="0"/>
          <w:numId w:val="37"/>
        </w:numPr>
        <w:spacing w:after="0" w:line="240" w:lineRule="auto"/>
        <w:rPr>
          <w:rFonts w:ascii="Calibri" w:hAnsi="Calibri" w:cs="Calibri"/>
        </w:rPr>
      </w:pPr>
      <w:r w:rsidRPr="00360F51">
        <w:rPr>
          <w:rFonts w:ascii="Calibri" w:hAnsi="Calibri" w:cs="Calibri"/>
        </w:rPr>
        <w:t xml:space="preserve">supporting practitioners to work confidently with complexity across organisational boundaries.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4. Shift performance and monitoring towards adulthood outcomes</w:t>
      </w:r>
    </w:p>
    <w:p w:rsidR="00A64326" w:rsidRPr="00360F51" w:rsidP="00644EEC">
      <w:pPr>
        <w:spacing w:after="0" w:line="240" w:lineRule="auto"/>
        <w:rPr>
          <w:rFonts w:ascii="Calibri" w:hAnsi="Calibri" w:cs="Calibri"/>
        </w:rPr>
      </w:pPr>
      <w:r w:rsidRPr="00360F51">
        <w:rPr>
          <w:rFonts w:ascii="Calibri" w:hAnsi="Calibri" w:cs="Calibri"/>
        </w:rPr>
        <w:t>Success should be defined not simply by successful transfer between services, but by whether young people are supported to lead meaningful adult lives. National and local systems should strengthen monitoring of:</w:t>
      </w:r>
    </w:p>
    <w:p w:rsidR="00A64326" w:rsidRPr="00360F51" w:rsidP="00644EEC">
      <w:pPr>
        <w:spacing w:after="0" w:line="240" w:lineRule="auto"/>
        <w:rPr>
          <w:rFonts w:ascii="Calibri" w:hAnsi="Calibri" w:cs="Calibri"/>
        </w:rPr>
      </w:pPr>
    </w:p>
    <w:p w:rsidR="00A64326" w:rsidRPr="00360F51" w:rsidP="00644EEC">
      <w:pPr>
        <w:numPr>
          <w:ilvl w:val="0"/>
          <w:numId w:val="38"/>
        </w:numPr>
        <w:spacing w:after="0" w:line="240" w:lineRule="auto"/>
        <w:rPr>
          <w:rFonts w:ascii="Calibri" w:hAnsi="Calibri" w:cs="Calibri"/>
        </w:rPr>
      </w:pPr>
      <w:r w:rsidRPr="00360F51">
        <w:rPr>
          <w:rFonts w:ascii="Calibri" w:hAnsi="Calibri" w:cs="Calibri"/>
        </w:rPr>
        <w:t xml:space="preserve">employment and meaningful occupation; </w:t>
      </w:r>
    </w:p>
    <w:p w:rsidR="00A64326" w:rsidRPr="00360F51" w:rsidP="00644EEC">
      <w:pPr>
        <w:numPr>
          <w:ilvl w:val="0"/>
          <w:numId w:val="38"/>
        </w:numPr>
        <w:spacing w:after="0" w:line="240" w:lineRule="auto"/>
        <w:rPr>
          <w:rFonts w:ascii="Calibri" w:hAnsi="Calibri" w:cs="Calibri"/>
        </w:rPr>
      </w:pPr>
      <w:r w:rsidRPr="00360F51">
        <w:rPr>
          <w:rFonts w:ascii="Calibri" w:hAnsi="Calibri" w:cs="Calibri"/>
        </w:rPr>
        <w:t xml:space="preserve">stable housing; </w:t>
      </w:r>
    </w:p>
    <w:p w:rsidR="00A64326" w:rsidRPr="00360F51" w:rsidP="00644EEC">
      <w:pPr>
        <w:numPr>
          <w:ilvl w:val="0"/>
          <w:numId w:val="38"/>
        </w:numPr>
        <w:spacing w:after="0" w:line="240" w:lineRule="auto"/>
        <w:rPr>
          <w:rFonts w:ascii="Calibri" w:hAnsi="Calibri" w:cs="Calibri"/>
        </w:rPr>
      </w:pPr>
      <w:r w:rsidRPr="00360F51">
        <w:rPr>
          <w:rFonts w:ascii="Calibri" w:hAnsi="Calibri" w:cs="Calibri"/>
        </w:rPr>
        <w:t xml:space="preserve">emotional wellbeing; </w:t>
      </w:r>
    </w:p>
    <w:p w:rsidR="00A64326" w:rsidRPr="00360F51" w:rsidP="00644EEC">
      <w:pPr>
        <w:numPr>
          <w:ilvl w:val="0"/>
          <w:numId w:val="38"/>
        </w:numPr>
        <w:spacing w:after="0" w:line="240" w:lineRule="auto"/>
        <w:rPr>
          <w:rFonts w:ascii="Calibri" w:hAnsi="Calibri" w:cs="Calibri"/>
        </w:rPr>
      </w:pPr>
      <w:r w:rsidRPr="00360F51">
        <w:rPr>
          <w:rFonts w:ascii="Calibri" w:hAnsi="Calibri" w:cs="Calibri"/>
        </w:rPr>
        <w:t xml:space="preserve">community participation; </w:t>
      </w:r>
    </w:p>
    <w:p w:rsidR="00A64326" w:rsidRPr="00360F51" w:rsidP="00644EEC">
      <w:pPr>
        <w:numPr>
          <w:ilvl w:val="0"/>
          <w:numId w:val="38"/>
        </w:numPr>
        <w:spacing w:after="0" w:line="240" w:lineRule="auto"/>
        <w:rPr>
          <w:rFonts w:ascii="Calibri" w:hAnsi="Calibri" w:cs="Calibri"/>
        </w:rPr>
      </w:pPr>
      <w:r w:rsidRPr="00360F51">
        <w:rPr>
          <w:rFonts w:ascii="Calibri" w:hAnsi="Calibri" w:cs="Calibri"/>
        </w:rPr>
        <w:t xml:space="preserve">continuity of relationships and support; and </w:t>
      </w:r>
    </w:p>
    <w:p w:rsidR="00A64326" w:rsidRPr="00360F51" w:rsidP="00644EEC">
      <w:pPr>
        <w:numPr>
          <w:ilvl w:val="0"/>
          <w:numId w:val="38"/>
        </w:numPr>
        <w:spacing w:after="0" w:line="240" w:lineRule="auto"/>
        <w:rPr>
          <w:rFonts w:ascii="Calibri" w:hAnsi="Calibri" w:cs="Calibri"/>
        </w:rPr>
      </w:pPr>
      <w:r w:rsidRPr="00360F51">
        <w:rPr>
          <w:rFonts w:ascii="Calibri" w:hAnsi="Calibri" w:cs="Calibri"/>
        </w:rPr>
        <w:t xml:space="preserve">young people’s lived experience of transition.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5. Invest in preventative and independence-building support</w:t>
      </w:r>
    </w:p>
    <w:p w:rsidR="00A64326" w:rsidRPr="00360F51" w:rsidP="00644EEC">
      <w:pPr>
        <w:spacing w:after="0" w:line="240" w:lineRule="auto"/>
        <w:rPr>
          <w:rFonts w:ascii="Calibri" w:hAnsi="Calibri" w:cs="Calibri"/>
        </w:rPr>
      </w:pPr>
      <w:r w:rsidRPr="00360F51">
        <w:rPr>
          <w:rFonts w:ascii="Calibri" w:hAnsi="Calibri" w:cs="Calibri"/>
        </w:rPr>
        <w:t>Greater investment is needed in preventative and independence-building support, including supported employment, enablement, VCSE provision, travel training, and emotional wellbeing and mental health support. These supports should be understood as core components of preparation for adulthood, rather than optional additions.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6. Strengthen cross-system data sharing and longitudinal oversight</w:t>
      </w:r>
    </w:p>
    <w:p w:rsidR="00A64326" w:rsidRPr="00360F51" w:rsidP="00644EEC">
      <w:pPr>
        <w:spacing w:after="0" w:line="240" w:lineRule="auto"/>
        <w:rPr>
          <w:rFonts w:ascii="Calibri" w:hAnsi="Calibri" w:cs="Calibri"/>
        </w:rPr>
      </w:pPr>
      <w:r w:rsidRPr="00360F51">
        <w:rPr>
          <w:rFonts w:ascii="Calibri" w:hAnsi="Calibri" w:cs="Calibri"/>
        </w:rPr>
        <w:t>National and local systems should strengthen:</w:t>
      </w:r>
    </w:p>
    <w:p w:rsidR="00A64326" w:rsidRPr="00360F51" w:rsidP="00644EEC">
      <w:pPr>
        <w:numPr>
          <w:ilvl w:val="0"/>
          <w:numId w:val="40"/>
        </w:numPr>
        <w:spacing w:after="0" w:line="240" w:lineRule="auto"/>
        <w:rPr>
          <w:rFonts w:ascii="Calibri" w:hAnsi="Calibri" w:cs="Calibri"/>
        </w:rPr>
      </w:pPr>
      <w:r w:rsidRPr="00360F51">
        <w:rPr>
          <w:rFonts w:ascii="Calibri" w:hAnsi="Calibri" w:cs="Calibri"/>
        </w:rPr>
        <w:t xml:space="preserve">shared datasets and governance arrangements; </w:t>
      </w:r>
    </w:p>
    <w:p w:rsidR="00A64326" w:rsidRPr="00360F51" w:rsidP="00644EEC">
      <w:pPr>
        <w:numPr>
          <w:ilvl w:val="0"/>
          <w:numId w:val="40"/>
        </w:numPr>
        <w:spacing w:after="0" w:line="240" w:lineRule="auto"/>
        <w:rPr>
          <w:rFonts w:ascii="Calibri" w:hAnsi="Calibri" w:cs="Calibri"/>
        </w:rPr>
      </w:pPr>
      <w:r w:rsidRPr="00360F51">
        <w:rPr>
          <w:rFonts w:ascii="Calibri" w:hAnsi="Calibri" w:cs="Calibri"/>
        </w:rPr>
        <w:t xml:space="preserve">longitudinal cohort tracking; </w:t>
      </w:r>
    </w:p>
    <w:p w:rsidR="00A64326" w:rsidRPr="00360F51" w:rsidP="00644EEC">
      <w:pPr>
        <w:numPr>
          <w:ilvl w:val="0"/>
          <w:numId w:val="40"/>
        </w:numPr>
        <w:spacing w:after="0" w:line="240" w:lineRule="auto"/>
        <w:rPr>
          <w:rFonts w:ascii="Calibri" w:hAnsi="Calibri" w:cs="Calibri"/>
        </w:rPr>
      </w:pPr>
      <w:r w:rsidRPr="00360F51">
        <w:rPr>
          <w:rFonts w:ascii="Calibri" w:hAnsi="Calibri" w:cs="Calibri"/>
        </w:rPr>
        <w:t xml:space="preserve">monitoring of young people with overlapping vulnerabilities; </w:t>
      </w:r>
    </w:p>
    <w:p w:rsidR="00A64326" w:rsidRPr="00360F51" w:rsidP="00644EEC">
      <w:pPr>
        <w:numPr>
          <w:ilvl w:val="0"/>
          <w:numId w:val="40"/>
        </w:numPr>
        <w:spacing w:after="0" w:line="240" w:lineRule="auto"/>
        <w:rPr>
          <w:rFonts w:ascii="Calibri" w:hAnsi="Calibri" w:cs="Calibri"/>
        </w:rPr>
      </w:pPr>
      <w:r w:rsidRPr="00360F51">
        <w:rPr>
          <w:rFonts w:ascii="Calibri" w:hAnsi="Calibri" w:cs="Calibri"/>
        </w:rPr>
        <w:t xml:space="preserve">and analysis of long-term adulthood outcomes. </w:t>
      </w:r>
    </w:p>
    <w:p w:rsidR="00A64326" w:rsidRPr="00360F51" w:rsidP="00644EEC">
      <w:pPr>
        <w:spacing w:after="0" w:line="240" w:lineRule="auto"/>
        <w:rPr>
          <w:rFonts w:ascii="Calibri" w:hAnsi="Calibri" w:cs="Calibri"/>
        </w:rPr>
      </w:pPr>
      <w:r w:rsidRPr="00360F51">
        <w:rPr>
          <w:rFonts w:ascii="Calibri" w:hAnsi="Calibri" w:cs="Calibri"/>
        </w:rPr>
        <w:t>This is particularly important for understanding inequity, unmet need and the experiences of young people who fall below adult service thresholds.</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7. Maintain ambitious expectations for all young people</w:t>
      </w:r>
    </w:p>
    <w:p w:rsidR="00A64326" w:rsidRPr="00360F51" w:rsidP="00644EEC">
      <w:pPr>
        <w:spacing w:after="0" w:line="240" w:lineRule="auto"/>
        <w:rPr>
          <w:rFonts w:ascii="Calibri" w:hAnsi="Calibri" w:cs="Calibri"/>
        </w:rPr>
      </w:pPr>
      <w:r w:rsidRPr="00360F51">
        <w:rPr>
          <w:rFonts w:ascii="Calibri" w:hAnsi="Calibri" w:cs="Calibri"/>
        </w:rPr>
        <w:t>National guidance and workforce development should reinforce that independence is not solely defined by reduced support, but also by choice and control, participation, relationships and inclusion within communities. Systems should maintain ambitious and strengths-based expectations for all young people, including those likely to require substantial ongoing support in adulthood.</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b/>
          <w:bCs/>
        </w:rPr>
      </w:pPr>
      <w:r w:rsidRPr="00360F51">
        <w:rPr>
          <w:rFonts w:ascii="Calibri" w:hAnsi="Calibri" w:cs="Calibri"/>
          <w:b/>
          <w:bCs/>
        </w:rPr>
        <w:t>8. Strengthen leadership, coordination and shared accountability</w:t>
      </w:r>
    </w:p>
    <w:p w:rsidR="00A64326" w:rsidRPr="00360F51" w:rsidP="00644EEC">
      <w:pPr>
        <w:spacing w:after="0" w:line="240" w:lineRule="auto"/>
        <w:rPr>
          <w:rFonts w:ascii="Calibri" w:hAnsi="Calibri" w:cs="Calibri"/>
        </w:rPr>
      </w:pPr>
      <w:r w:rsidRPr="00360F51">
        <w:rPr>
          <w:rFonts w:ascii="Calibri" w:hAnsi="Calibri" w:cs="Calibri"/>
        </w:rPr>
        <w:t>Preparation for adulthood requires stronger visible leadership across systems.</w:t>
      </w:r>
    </w:p>
    <w:p w:rsidR="00A64326" w:rsidRPr="00360F51" w:rsidP="00644EEC">
      <w:pPr>
        <w:spacing w:after="0" w:line="240" w:lineRule="auto"/>
        <w:rPr>
          <w:rFonts w:ascii="Calibri" w:hAnsi="Calibri" w:cs="Calibri"/>
        </w:rPr>
      </w:pPr>
      <w:r w:rsidRPr="00360F51">
        <w:rPr>
          <w:rFonts w:ascii="Calibri" w:hAnsi="Calibri" w:cs="Calibri"/>
        </w:rPr>
        <w:t>This should include:</w:t>
      </w:r>
    </w:p>
    <w:p w:rsidR="00A64326" w:rsidRPr="00360F51" w:rsidP="00644EEC">
      <w:pPr>
        <w:numPr>
          <w:ilvl w:val="0"/>
          <w:numId w:val="42"/>
        </w:numPr>
        <w:spacing w:after="0" w:line="240" w:lineRule="auto"/>
        <w:rPr>
          <w:rFonts w:ascii="Calibri" w:hAnsi="Calibri" w:cs="Calibri"/>
        </w:rPr>
      </w:pPr>
      <w:r w:rsidRPr="00360F51">
        <w:rPr>
          <w:rFonts w:ascii="Calibri" w:hAnsi="Calibri" w:cs="Calibri"/>
        </w:rPr>
        <w:t xml:space="preserve">clearer executive accountability across organisations; </w:t>
      </w:r>
    </w:p>
    <w:p w:rsidR="00A64326" w:rsidRPr="00360F51" w:rsidP="00644EEC">
      <w:pPr>
        <w:numPr>
          <w:ilvl w:val="0"/>
          <w:numId w:val="42"/>
        </w:numPr>
        <w:spacing w:after="0" w:line="240" w:lineRule="auto"/>
        <w:rPr>
          <w:rFonts w:ascii="Calibri" w:hAnsi="Calibri" w:cs="Calibri"/>
        </w:rPr>
      </w:pPr>
      <w:r w:rsidRPr="00360F51">
        <w:rPr>
          <w:rFonts w:ascii="Calibri" w:hAnsi="Calibri" w:cs="Calibri"/>
        </w:rPr>
        <w:t xml:space="preserve">named coordination roles for young people with complex needs; </w:t>
      </w:r>
    </w:p>
    <w:p w:rsidR="00A64326" w:rsidRPr="00360F51" w:rsidP="00644EEC">
      <w:pPr>
        <w:numPr>
          <w:ilvl w:val="0"/>
          <w:numId w:val="42"/>
        </w:numPr>
        <w:spacing w:after="0" w:line="240" w:lineRule="auto"/>
        <w:rPr>
          <w:rFonts w:ascii="Calibri" w:hAnsi="Calibri" w:cs="Calibri"/>
        </w:rPr>
      </w:pPr>
      <w:r w:rsidRPr="00360F51">
        <w:rPr>
          <w:rFonts w:ascii="Calibri" w:hAnsi="Calibri" w:cs="Calibri"/>
        </w:rPr>
        <w:t>stronger joint governance arrangements; and</w:t>
      </w:r>
    </w:p>
    <w:p w:rsidR="00A64326" w:rsidRPr="00360F51" w:rsidP="00644EEC">
      <w:pPr>
        <w:numPr>
          <w:ilvl w:val="0"/>
          <w:numId w:val="42"/>
        </w:numPr>
        <w:spacing w:after="0" w:line="240" w:lineRule="auto"/>
        <w:rPr>
          <w:rFonts w:ascii="Calibri" w:hAnsi="Calibri" w:cs="Calibri"/>
        </w:rPr>
      </w:pPr>
      <w:r w:rsidRPr="00360F51">
        <w:rPr>
          <w:rFonts w:ascii="Calibri" w:hAnsi="Calibri" w:cs="Calibri"/>
        </w:rPr>
        <w:t xml:space="preserve">protected capacity for multi-agency coordination and relationship-based practice. </w:t>
      </w:r>
    </w:p>
    <w:p w:rsidR="00A64326" w:rsidRPr="00360F51" w:rsidP="00644EEC">
      <w:pPr>
        <w:spacing w:after="0" w:line="240" w:lineRule="auto"/>
        <w:rPr>
          <w:rFonts w:ascii="Calibri" w:hAnsi="Calibri" w:cs="Calibri"/>
        </w:rPr>
      </w:pPr>
    </w:p>
    <w:p w:rsidR="00A64326" w:rsidRPr="00360F51" w:rsidP="00644EEC">
      <w:pPr>
        <w:spacing w:after="0" w:line="240" w:lineRule="auto"/>
        <w:rPr>
          <w:rFonts w:ascii="Calibri" w:hAnsi="Calibri" w:cs="Calibri"/>
        </w:rPr>
      </w:pPr>
      <w:r w:rsidRPr="00360F51">
        <w:rPr>
          <w:rFonts w:ascii="Calibri" w:hAnsi="Calibri" w:cs="Calibri"/>
        </w:rPr>
        <w:t>Effective preparation for adulthood depends not only on individual practitioner commitment, but on whether systems themselves are organised around shared responsibility for young people’s futures.</w:t>
      </w:r>
    </w:p>
    <w:p w:rsidR="00360F51" w:rsidP="00854C62">
      <w:pPr>
        <w:pStyle w:val="Header"/>
        <w:rPr>
          <w:rFonts w:ascii="Calibri" w:hAnsi="Calibri" w:cs="Calibri"/>
        </w:rPr>
      </w:pPr>
    </w:p>
    <w:p w:rsidR="00360F51" w:rsidP="00854C62">
      <w:pPr>
        <w:pStyle w:val="Header"/>
        <w:rPr>
          <w:rFonts w:ascii="Calibri" w:hAnsi="Calibri" w:cs="Calibri"/>
        </w:rPr>
      </w:pPr>
    </w:p>
    <w:p w:rsidR="00A64326" w:rsidRPr="00360F51" w:rsidP="00854C62">
      <w:pPr>
        <w:pStyle w:val="Header"/>
        <w:rPr>
          <w:rFonts w:ascii="Calibri" w:hAnsi="Calibri" w:cs="Calibri"/>
        </w:rPr>
      </w:pPr>
      <w:r w:rsidRPr="00360F51">
        <w:rPr>
          <w:rFonts w:ascii="Calibri" w:hAnsi="Calibri" w:cs="Calibri"/>
          <w:i/>
          <w:i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511B8" w:rsidP="00C267B2">
      <w:pPr>
        <w:spacing w:after="0" w:line="240" w:lineRule="auto"/>
      </w:pPr>
      <w:r>
        <w:separator/>
      </w:r>
    </w:p>
  </w:footnote>
  <w:footnote w:type="continuationSeparator" w:id="1">
    <w:p w:rsidR="00E511B8" w:rsidP="00C267B2">
      <w:pPr>
        <w:spacing w:after="0" w:line="240" w:lineRule="auto"/>
      </w:pPr>
      <w:r>
        <w:continuationSeparator/>
      </w:r>
    </w:p>
  </w:footnote>
  <w:footnote w:id="2">
    <w:p w:rsidR="00A64326">
      <w:pPr>
        <w:pStyle w:val="FootnoteText"/>
      </w:pPr>
      <w:r>
        <w:rPr>
          <w:rStyle w:val="FootnoteReference"/>
        </w:rPr>
        <w:footnoteRef/>
      </w:r>
      <w:r>
        <w:t xml:space="preserve"> </w:t>
      </w:r>
      <w:r w:rsidRPr="00E72AEE">
        <w:t>https://www.adass.org.uk/wp-content/uploads/2025/01/IMPOWER-ADASS-Preparing-for-Adulthood-Report-2024.pdf</w:t>
      </w:r>
    </w:p>
  </w:footnote>
  <w:footnote w:id="3">
    <w:p w:rsidR="00A64326">
      <w:pPr>
        <w:pStyle w:val="FootnoteText"/>
      </w:pPr>
      <w:r>
        <w:rPr>
          <w:rStyle w:val="FootnoteReference"/>
        </w:rPr>
        <w:footnoteRef/>
      </w:r>
      <w:r>
        <w:t xml:space="preserve"> </w:t>
      </w:r>
      <w:r w:rsidRPr="005D7CCB">
        <w:t>https://impower.co.uk/publications/preparing-for-adulthood-adass-2026/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96655E"/>
    <w:multiLevelType w:val="multilevel"/>
    <w:tmpl w:val="2724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B27AF7"/>
    <w:multiLevelType w:val="multilevel"/>
    <w:tmpl w:val="3E7A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EB44B9"/>
    <w:multiLevelType w:val="multilevel"/>
    <w:tmpl w:val="5056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B92117"/>
    <w:multiLevelType w:val="multilevel"/>
    <w:tmpl w:val="2AF6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8D6CA9"/>
    <w:multiLevelType w:val="multilevel"/>
    <w:tmpl w:val="B07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DC24CB"/>
    <w:multiLevelType w:val="multilevel"/>
    <w:tmpl w:val="5D7CF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594BFB"/>
    <w:multiLevelType w:val="multilevel"/>
    <w:tmpl w:val="49C4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D10F2D"/>
    <w:multiLevelType w:val="multilevel"/>
    <w:tmpl w:val="BB728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8C048E"/>
    <w:multiLevelType w:val="multilevel"/>
    <w:tmpl w:val="EF02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8F43FD"/>
    <w:multiLevelType w:val="multilevel"/>
    <w:tmpl w:val="EFE6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393F03"/>
    <w:multiLevelType w:val="multilevel"/>
    <w:tmpl w:val="338A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CF1E79"/>
    <w:multiLevelType w:val="multilevel"/>
    <w:tmpl w:val="82D0C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227298"/>
    <w:multiLevelType w:val="multilevel"/>
    <w:tmpl w:val="E50C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5B3C02"/>
    <w:multiLevelType w:val="multilevel"/>
    <w:tmpl w:val="9F16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355CD2"/>
    <w:multiLevelType w:val="multilevel"/>
    <w:tmpl w:val="3BD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A165B"/>
    <w:multiLevelType w:val="multilevel"/>
    <w:tmpl w:val="8A12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AA3602"/>
    <w:multiLevelType w:val="multilevel"/>
    <w:tmpl w:val="5CC2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C86818"/>
    <w:multiLevelType w:val="multilevel"/>
    <w:tmpl w:val="787C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E20C8C"/>
    <w:multiLevelType w:val="multilevel"/>
    <w:tmpl w:val="33EA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005942"/>
    <w:multiLevelType w:val="multilevel"/>
    <w:tmpl w:val="15A2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425E10"/>
    <w:multiLevelType w:val="multilevel"/>
    <w:tmpl w:val="966AF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C64498"/>
    <w:multiLevelType w:val="multilevel"/>
    <w:tmpl w:val="662C1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A5CCE"/>
    <w:multiLevelType w:val="multilevel"/>
    <w:tmpl w:val="434C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1F1C0E"/>
    <w:multiLevelType w:val="multilevel"/>
    <w:tmpl w:val="D6C4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B93DFC"/>
    <w:multiLevelType w:val="multilevel"/>
    <w:tmpl w:val="6742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691A3C"/>
    <w:multiLevelType w:val="multilevel"/>
    <w:tmpl w:val="584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4B17455"/>
    <w:multiLevelType w:val="multilevel"/>
    <w:tmpl w:val="4A14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4F52747"/>
    <w:multiLevelType w:val="multilevel"/>
    <w:tmpl w:val="09F44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6917A34"/>
    <w:multiLevelType w:val="multilevel"/>
    <w:tmpl w:val="D81A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7927662"/>
    <w:multiLevelType w:val="multilevel"/>
    <w:tmpl w:val="B028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A6F3C84"/>
    <w:multiLevelType w:val="multilevel"/>
    <w:tmpl w:val="A30E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E9026C3"/>
    <w:multiLevelType w:val="multilevel"/>
    <w:tmpl w:val="A3E8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EA266FE"/>
    <w:multiLevelType w:val="multilevel"/>
    <w:tmpl w:val="D918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0465CE0"/>
    <w:multiLevelType w:val="multilevel"/>
    <w:tmpl w:val="8E2E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0767DDF"/>
    <w:multiLevelType w:val="multilevel"/>
    <w:tmpl w:val="31DC5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52D61D1"/>
    <w:multiLevelType w:val="multilevel"/>
    <w:tmpl w:val="94B42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81F6934"/>
    <w:multiLevelType w:val="multilevel"/>
    <w:tmpl w:val="7ADCB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B70183C"/>
    <w:multiLevelType w:val="multilevel"/>
    <w:tmpl w:val="E006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686224"/>
    <w:multiLevelType w:val="multilevel"/>
    <w:tmpl w:val="9C6E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15064AE"/>
    <w:multiLevelType w:val="multilevel"/>
    <w:tmpl w:val="4F0E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9D13F7"/>
    <w:multiLevelType w:val="multilevel"/>
    <w:tmpl w:val="2AD4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81B6DBE"/>
    <w:multiLevelType w:val="multilevel"/>
    <w:tmpl w:val="D48A2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8547961"/>
    <w:multiLevelType w:val="multilevel"/>
    <w:tmpl w:val="9A4E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9366824"/>
    <w:multiLevelType w:val="multilevel"/>
    <w:tmpl w:val="1608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9DD678E"/>
    <w:multiLevelType w:val="multilevel"/>
    <w:tmpl w:val="FC84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D32702"/>
    <w:multiLevelType w:val="multilevel"/>
    <w:tmpl w:val="7E3A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14"/>
  </w:num>
  <w:num w:numId="3">
    <w:abstractNumId w:val="42"/>
  </w:num>
  <w:num w:numId="4">
    <w:abstractNumId w:val="21"/>
  </w:num>
  <w:num w:numId="5">
    <w:abstractNumId w:val="19"/>
  </w:num>
  <w:num w:numId="6">
    <w:abstractNumId w:val="9"/>
  </w:num>
  <w:num w:numId="7">
    <w:abstractNumId w:val="0"/>
  </w:num>
  <w:num w:numId="8">
    <w:abstractNumId w:val="38"/>
  </w:num>
  <w:num w:numId="9">
    <w:abstractNumId w:val="32"/>
  </w:num>
  <w:num w:numId="10">
    <w:abstractNumId w:val="41"/>
  </w:num>
  <w:num w:numId="11">
    <w:abstractNumId w:val="34"/>
  </w:num>
  <w:num w:numId="12">
    <w:abstractNumId w:val="10"/>
  </w:num>
  <w:num w:numId="13">
    <w:abstractNumId w:val="15"/>
  </w:num>
  <w:num w:numId="14">
    <w:abstractNumId w:val="39"/>
  </w:num>
  <w:num w:numId="15">
    <w:abstractNumId w:val="1"/>
  </w:num>
  <w:num w:numId="16">
    <w:abstractNumId w:val="18"/>
  </w:num>
  <w:num w:numId="17">
    <w:abstractNumId w:val="40"/>
  </w:num>
  <w:num w:numId="18">
    <w:abstractNumId w:val="12"/>
  </w:num>
  <w:num w:numId="19">
    <w:abstractNumId w:val="13"/>
  </w:num>
  <w:num w:numId="20">
    <w:abstractNumId w:val="30"/>
  </w:num>
  <w:num w:numId="21">
    <w:abstractNumId w:val="8"/>
  </w:num>
  <w:num w:numId="22">
    <w:abstractNumId w:val="45"/>
  </w:num>
  <w:num w:numId="23">
    <w:abstractNumId w:val="31"/>
  </w:num>
  <w:num w:numId="24">
    <w:abstractNumId w:val="35"/>
  </w:num>
  <w:num w:numId="25">
    <w:abstractNumId w:val="25"/>
  </w:num>
  <w:num w:numId="26">
    <w:abstractNumId w:val="43"/>
  </w:num>
  <w:num w:numId="27">
    <w:abstractNumId w:val="16"/>
  </w:num>
  <w:num w:numId="28">
    <w:abstractNumId w:val="3"/>
  </w:num>
  <w:num w:numId="29">
    <w:abstractNumId w:val="29"/>
  </w:num>
  <w:num w:numId="30">
    <w:abstractNumId w:val="27"/>
  </w:num>
  <w:num w:numId="31">
    <w:abstractNumId w:val="2"/>
  </w:num>
  <w:num w:numId="32">
    <w:abstractNumId w:val="11"/>
  </w:num>
  <w:num w:numId="33">
    <w:abstractNumId w:val="5"/>
  </w:num>
  <w:num w:numId="34">
    <w:abstractNumId w:val="23"/>
  </w:num>
  <w:num w:numId="35">
    <w:abstractNumId w:val="22"/>
  </w:num>
  <w:num w:numId="36">
    <w:abstractNumId w:val="36"/>
  </w:num>
  <w:num w:numId="37">
    <w:abstractNumId w:val="28"/>
  </w:num>
  <w:num w:numId="38">
    <w:abstractNumId w:val="6"/>
  </w:num>
  <w:num w:numId="39">
    <w:abstractNumId w:val="20"/>
  </w:num>
  <w:num w:numId="40">
    <w:abstractNumId w:val="7"/>
  </w:num>
  <w:num w:numId="41">
    <w:abstractNumId w:val="33"/>
  </w:num>
  <w:num w:numId="42">
    <w:abstractNumId w:val="17"/>
  </w:num>
  <w:num w:numId="43">
    <w:abstractNumId w:val="4"/>
  </w:num>
  <w:num w:numId="44">
    <w:abstractNumId w:val="37"/>
  </w:num>
  <w:num w:numId="45">
    <w:abstractNumId w:val="26"/>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A04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04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04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4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4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4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4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4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4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4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4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4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4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4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4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4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4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4F5"/>
    <w:rPr>
      <w:rFonts w:eastAsiaTheme="majorEastAsia" w:cstheme="majorBidi"/>
      <w:color w:val="272727" w:themeColor="text1" w:themeTint="D8"/>
    </w:rPr>
  </w:style>
  <w:style w:type="paragraph" w:styleId="Title">
    <w:name w:val="Title"/>
    <w:basedOn w:val="Normal"/>
    <w:next w:val="Normal"/>
    <w:link w:val="TitleChar"/>
    <w:uiPriority w:val="10"/>
    <w:qFormat/>
    <w:rsid w:val="009A04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4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4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4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4F5"/>
    <w:pPr>
      <w:spacing w:before="160"/>
      <w:jc w:val="center"/>
    </w:pPr>
    <w:rPr>
      <w:i/>
      <w:iCs/>
      <w:color w:val="404040" w:themeColor="text1" w:themeTint="BF"/>
    </w:rPr>
  </w:style>
  <w:style w:type="character" w:customStyle="1" w:styleId="QuoteChar">
    <w:name w:val="Quote Char"/>
    <w:basedOn w:val="DefaultParagraphFont"/>
    <w:link w:val="Quote"/>
    <w:uiPriority w:val="29"/>
    <w:rsid w:val="009A04F5"/>
    <w:rPr>
      <w:i/>
      <w:iCs/>
      <w:color w:val="404040" w:themeColor="text1" w:themeTint="BF"/>
    </w:rPr>
  </w:style>
  <w:style w:type="paragraph" w:styleId="ListParagraph">
    <w:name w:val="List Paragraph"/>
    <w:basedOn w:val="Normal"/>
    <w:uiPriority w:val="34"/>
    <w:qFormat/>
    <w:rsid w:val="009A04F5"/>
    <w:pPr>
      <w:ind w:left="720"/>
      <w:contextualSpacing/>
    </w:pPr>
  </w:style>
  <w:style w:type="character" w:styleId="IntenseEmphasis">
    <w:name w:val="Intense Emphasis"/>
    <w:basedOn w:val="DefaultParagraphFont"/>
    <w:uiPriority w:val="21"/>
    <w:qFormat/>
    <w:rsid w:val="009A04F5"/>
    <w:rPr>
      <w:i/>
      <w:iCs/>
      <w:color w:val="0F4761" w:themeColor="accent1" w:themeShade="BF"/>
    </w:rPr>
  </w:style>
  <w:style w:type="paragraph" w:styleId="IntenseQuote">
    <w:name w:val="Intense Quote"/>
    <w:basedOn w:val="Normal"/>
    <w:next w:val="Normal"/>
    <w:link w:val="IntenseQuoteChar"/>
    <w:uiPriority w:val="30"/>
    <w:qFormat/>
    <w:rsid w:val="009A04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4F5"/>
    <w:rPr>
      <w:i/>
      <w:iCs/>
      <w:color w:val="0F4761" w:themeColor="accent1" w:themeShade="BF"/>
    </w:rPr>
  </w:style>
  <w:style w:type="character" w:styleId="IntenseReference">
    <w:name w:val="Intense Reference"/>
    <w:basedOn w:val="DefaultParagraphFont"/>
    <w:uiPriority w:val="32"/>
    <w:qFormat/>
    <w:rsid w:val="009A04F5"/>
    <w:rPr>
      <w:b/>
      <w:bCs/>
      <w:smallCaps/>
      <w:color w:val="0F4761" w:themeColor="accent1" w:themeShade="BF"/>
      <w:spacing w:val="5"/>
    </w:rPr>
  </w:style>
  <w:style w:type="paragraph" w:styleId="Header">
    <w:name w:val="header"/>
    <w:basedOn w:val="Normal"/>
    <w:link w:val="HeaderChar"/>
    <w:uiPriority w:val="99"/>
    <w:unhideWhenUsed/>
    <w:rsid w:val="00C267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7B2"/>
  </w:style>
  <w:style w:type="paragraph" w:styleId="Footer">
    <w:name w:val="footer"/>
    <w:basedOn w:val="Normal"/>
    <w:link w:val="FooterChar"/>
    <w:uiPriority w:val="99"/>
    <w:unhideWhenUsed/>
    <w:rsid w:val="00C267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7B2"/>
  </w:style>
  <w:style w:type="character" w:styleId="Hyperlink">
    <w:name w:val="Hyperlink"/>
    <w:basedOn w:val="DefaultParagraphFont"/>
    <w:uiPriority w:val="99"/>
    <w:unhideWhenUsed/>
    <w:rsid w:val="00C267B2"/>
    <w:rPr>
      <w:color w:val="467886" w:themeColor="hyperlink"/>
      <w:u w:val="single"/>
    </w:rPr>
  </w:style>
  <w:style w:type="character" w:customStyle="1" w:styleId="UnresolvedMention1">
    <w:name w:val="Unresolved Mention1"/>
    <w:basedOn w:val="DefaultParagraphFont"/>
    <w:uiPriority w:val="99"/>
    <w:semiHidden/>
    <w:unhideWhenUsed/>
    <w:rsid w:val="00C267B2"/>
    <w:rPr>
      <w:color w:val="605E5C"/>
      <w:shd w:val="clear" w:color="auto" w:fill="E1DFDD"/>
    </w:rPr>
  </w:style>
  <w:style w:type="paragraph" w:styleId="FootnoteText">
    <w:name w:val="footnote text"/>
    <w:basedOn w:val="Normal"/>
    <w:link w:val="FootnoteTextChar"/>
    <w:uiPriority w:val="99"/>
    <w:semiHidden/>
    <w:unhideWhenUsed/>
    <w:rsid w:val="006D48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483D"/>
    <w:rPr>
      <w:sz w:val="20"/>
      <w:szCs w:val="20"/>
    </w:rPr>
  </w:style>
  <w:style w:type="character" w:styleId="FootnoteReference">
    <w:name w:val="footnote reference"/>
    <w:basedOn w:val="DefaultParagraphFont"/>
    <w:uiPriority w:val="99"/>
    <w:semiHidden/>
    <w:unhideWhenUsed/>
    <w:rsid w:val="006D48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TRN0052</dc:title>
  <cp:revision>0</cp:revision>
</cp:coreProperties>
</file>