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16934" w:rsidRPr="00816934" w:rsidP="00816934">
      <w:pPr>
        <w:spacing w:after="0"/>
        <w:jc w:val="center"/>
        <w:rPr>
          <w:rFonts w:ascii="Calibri" w:eastAsia="FS Mencap" w:hAnsi="Calibri" w:cs="Calibri"/>
          <w:b/>
          <w:bCs/>
          <w:sz w:val="32"/>
          <w:szCs w:val="32"/>
        </w:rPr>
      </w:pPr>
      <w:r w:rsidRPr="00816934">
        <w:rPr>
          <w:rFonts w:ascii="Calibri" w:eastAsia="FS Mencap" w:hAnsi="Calibri" w:cs="Calibri"/>
          <w:b/>
          <w:bCs/>
          <w:sz w:val="32"/>
          <w:szCs w:val="32"/>
        </w:rPr>
        <w:t>Written Evidence submitted by Mencap</w:t>
      </w:r>
      <w:r w:rsidRPr="00816934">
        <w:rPr>
          <w:rFonts w:ascii="Calibri" w:eastAsia="FS Mencap" w:hAnsi="Calibri" w:cs="Calibri"/>
          <w:b/>
          <w:bCs/>
          <w:sz w:val="32"/>
          <w:szCs w:val="32"/>
        </w:rPr>
        <w:t xml:space="preserve"> </w:t>
      </w:r>
      <w:r w:rsidRPr="00816934">
        <w:rPr>
          <w:rFonts w:ascii="Calibri" w:eastAsia="FS Mencap" w:hAnsi="Calibri" w:cs="Calibri"/>
          <w:b/>
          <w:bCs/>
          <w:sz w:val="32"/>
          <w:szCs w:val="32"/>
        </w:rPr>
        <w:t>(TRN003</w:t>
      </w:r>
      <w:r w:rsidRPr="00816934">
        <w:rPr>
          <w:rFonts w:ascii="Calibri" w:eastAsia="FS Mencap" w:hAnsi="Calibri" w:cs="Calibri"/>
          <w:b/>
          <w:bCs/>
          <w:sz w:val="32"/>
          <w:szCs w:val="32"/>
        </w:rPr>
        <w:t>8</w:t>
      </w:r>
      <w:r w:rsidRPr="00816934">
        <w:rPr>
          <w:rFonts w:ascii="Calibri" w:eastAsia="FS Mencap" w:hAnsi="Calibri" w:cs="Calibri"/>
          <w:b/>
          <w:bCs/>
          <w:sz w:val="32"/>
          <w:szCs w:val="32"/>
        </w:rPr>
        <w:t>)</w:t>
      </w:r>
    </w:p>
    <w:p w:rsidR="00E9765F" w:rsidRPr="00816934" w:rsidP="004C3745">
      <w:pPr>
        <w:spacing w:after="0"/>
        <w:rPr>
          <w:rFonts w:ascii="Calibri" w:eastAsia="FS Mencap" w:hAnsi="Calibri" w:cs="Calibri"/>
          <w:b/>
          <w:bCs/>
        </w:rPr>
      </w:pPr>
    </w:p>
    <w:p w:rsidR="00E9765F" w:rsidRPr="00816934" w:rsidP="004C3745">
      <w:pPr>
        <w:pStyle w:val="Heading1"/>
        <w:rPr>
          <w:rFonts w:ascii="Calibri" w:hAnsi="Calibri" w:cs="Calibri"/>
        </w:rPr>
      </w:pPr>
      <w:bookmarkStart w:id="0" w:name="_Toc229157325"/>
      <w:r w:rsidRPr="00816934">
        <w:rPr>
          <w:rFonts w:ascii="Calibri" w:hAnsi="Calibri" w:cs="Calibri"/>
        </w:rPr>
        <w:t>About Mencap</w:t>
      </w:r>
      <w:bookmarkEnd w:id="0"/>
    </w:p>
    <w:p w:rsidR="00E9765F" w:rsidRPr="00816934" w:rsidP="004C3745">
      <w:pPr>
        <w:pStyle w:val="ListParagraph"/>
        <w:numPr>
          <w:ilvl w:val="0"/>
          <w:numId w:val="15"/>
        </w:numPr>
        <w:spacing w:after="0"/>
        <w:rPr>
          <w:rFonts w:ascii="Calibri" w:eastAsia="FS Mencap" w:hAnsi="Calibri" w:cs="Calibri"/>
        </w:rPr>
      </w:pPr>
      <w:r w:rsidRPr="00816934">
        <w:rPr>
          <w:rFonts w:ascii="Calibri" w:eastAsia="FS Mencap" w:hAnsi="Calibri" w:cs="Calibri"/>
        </w:rPr>
        <w:t>Our vision is for the UK to be the best place in the world for people with a learning disability to live happy and healthy lives. We do this by supporting the 1.5 million people with a learning disability in the UK and their families, improving access to health and care services as well as education and employment. We directly support over 4,500 people with a learning disability to live their lives the way they want.</w:t>
      </w:r>
    </w:p>
    <w:p w:rsidR="00E9765F" w:rsidRPr="00816934" w:rsidP="004C3745">
      <w:pPr>
        <w:spacing w:after="0"/>
        <w:rPr>
          <w:rFonts w:ascii="Calibri" w:eastAsia="FS Mencap" w:hAnsi="Calibri" w:cs="Calibri"/>
        </w:rPr>
      </w:pPr>
    </w:p>
    <w:p w:rsidR="00E9765F" w:rsidRPr="00816934" w:rsidP="004C3745">
      <w:pPr>
        <w:pStyle w:val="ListParagraph"/>
        <w:numPr>
          <w:ilvl w:val="0"/>
          <w:numId w:val="15"/>
        </w:numPr>
        <w:spacing w:after="0"/>
        <w:rPr>
          <w:rFonts w:ascii="Calibri" w:eastAsia="FS Mencap" w:hAnsi="Calibri" w:cs="Calibri"/>
        </w:rPr>
      </w:pPr>
      <w:r w:rsidRPr="00816934">
        <w:rPr>
          <w:rFonts w:ascii="Calibri" w:eastAsia="FS Mencap" w:hAnsi="Calibri" w:cs="Calibri"/>
        </w:rPr>
        <w:t>A learning disability is a reduced intellectual ability, usually identified soon after birth or in the early years, and will last a person’s whole life. Many people with a learning disability benefit from support with everyday tasks. Other people with a learning disability need to be fully supported in all areas of their life, including communicating, personal care, and staying safe. People with a learning disability may also have a learning difficulty (such as dyslexia) or be neurodivergent (such as having</w:t>
      </w:r>
      <w:r w:rsidRPr="00816934">
        <w:rPr>
          <w:rFonts w:ascii="Calibri" w:eastAsia="FS Mencap" w:hAnsi="Calibri" w:cs="Calibri"/>
        </w:rPr>
        <w:t xml:space="preserve"> ADHD or being autistic).</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5"/>
        </w:numPr>
        <w:spacing w:after="0"/>
        <w:rPr>
          <w:rFonts w:ascii="Calibri" w:eastAsia="FS Mencap" w:hAnsi="Calibri" w:cs="Calibri"/>
        </w:rPr>
      </w:pPr>
      <w:r w:rsidRPr="00816934">
        <w:rPr>
          <w:rFonts w:ascii="Calibri" w:eastAsia="FS Mencap" w:hAnsi="Calibri" w:cs="Calibri"/>
        </w:rPr>
        <w:t>Although a learning disability is permanent, many people can develop new skills throughout their lives. And, of course, societies and communities can change to be more inclusive.  With the right support and an inclusive community, people with a learning disability can thrive.</w:t>
      </w:r>
    </w:p>
    <w:p w:rsidR="00E9765F" w:rsidRPr="00816934" w:rsidP="004C3745">
      <w:pPr>
        <w:spacing w:after="0"/>
        <w:rPr>
          <w:rFonts w:ascii="Calibri" w:eastAsia="FS Mencap" w:hAnsi="Calibri" w:cs="Calibri"/>
        </w:rPr>
      </w:pPr>
    </w:p>
    <w:p w:rsidR="00E9765F" w:rsidRPr="00816934" w:rsidP="004C3745">
      <w:pPr>
        <w:spacing w:after="0"/>
        <w:rPr>
          <w:rFonts w:ascii="Calibri" w:eastAsia="FS Mencap" w:hAnsi="Calibri" w:cs="Calibri"/>
        </w:rPr>
      </w:pPr>
    </w:p>
    <w:p w:rsidR="00E9765F" w:rsidRPr="00816934" w:rsidP="004C3745">
      <w:pPr>
        <w:pStyle w:val="Heading1"/>
        <w:rPr>
          <w:rFonts w:ascii="Calibri" w:hAnsi="Calibri" w:cs="Calibri"/>
        </w:rPr>
      </w:pPr>
      <w:bookmarkStart w:id="1" w:name="_Toc229157326"/>
      <w:r w:rsidRPr="00816934">
        <w:rPr>
          <w:rFonts w:ascii="Calibri" w:hAnsi="Calibri" w:cs="Calibri"/>
        </w:rPr>
        <w:t>Executive Summary</w:t>
      </w:r>
      <w:bookmarkEnd w:id="1"/>
    </w:p>
    <w:p w:rsidR="00E9765F" w:rsidRPr="00816934" w:rsidP="004C3745">
      <w:pPr>
        <w:pStyle w:val="ListParagraph"/>
        <w:numPr>
          <w:ilvl w:val="0"/>
          <w:numId w:val="16"/>
        </w:numPr>
        <w:spacing w:after="0"/>
        <w:rPr>
          <w:rFonts w:ascii="Calibri" w:eastAsia="FS Mencap" w:hAnsi="Calibri" w:cs="Calibri"/>
        </w:rPr>
      </w:pPr>
      <w:r w:rsidRPr="00816934">
        <w:rPr>
          <w:rFonts w:ascii="Calibri" w:eastAsia="FS Mencap" w:hAnsi="Calibri" w:cs="Calibri"/>
        </w:rPr>
        <w:t xml:space="preserve">Both children’s and adult’s social care face </w:t>
      </w:r>
      <w:r w:rsidRPr="00816934">
        <w:rPr>
          <w:rFonts w:ascii="Calibri" w:eastAsia="FS Mencap" w:hAnsi="Calibri" w:cs="Calibri"/>
        </w:rPr>
        <w:t>significant funding pressures</w:t>
      </w:r>
      <w:r w:rsidRPr="00816934">
        <w:rPr>
          <w:rFonts w:ascii="Calibri" w:eastAsia="FS Mencap" w:hAnsi="Calibri" w:cs="Calibri"/>
        </w:rPr>
        <w:t xml:space="preserve">, </w:t>
      </w:r>
      <w:r w:rsidRPr="00816934">
        <w:rPr>
          <w:rFonts w:ascii="Calibri" w:eastAsia="FS Mencap" w:hAnsi="Calibri" w:cs="Calibri"/>
        </w:rPr>
        <w:t xml:space="preserve">making it harder for children, young people, and families to access </w:t>
      </w:r>
      <w:r w:rsidRPr="00816934">
        <w:rPr>
          <w:rFonts w:ascii="Calibri" w:eastAsia="FS Mencap" w:hAnsi="Calibri" w:cs="Calibri"/>
        </w:rPr>
        <w:t xml:space="preserve">the right support </w:t>
      </w:r>
      <w:r w:rsidRPr="00816934">
        <w:rPr>
          <w:rFonts w:ascii="Calibri" w:eastAsia="FS Mencap" w:hAnsi="Calibri" w:cs="Calibri"/>
        </w:rPr>
        <w:t xml:space="preserve">as they transition into </w:t>
      </w:r>
      <w:r w:rsidRPr="00816934">
        <w:rPr>
          <w:rFonts w:ascii="Calibri" w:eastAsia="FS Mencap" w:hAnsi="Calibri" w:cs="Calibri"/>
        </w:rPr>
        <w:t>adult services.</w:t>
      </w:r>
    </w:p>
    <w:p w:rsidR="00E9765F" w:rsidRPr="00816934" w:rsidP="004C3745">
      <w:pPr>
        <w:spacing w:after="0"/>
        <w:rPr>
          <w:rFonts w:ascii="Calibri" w:eastAsia="FS Mencap" w:hAnsi="Calibri" w:cs="Calibri"/>
        </w:rPr>
      </w:pPr>
    </w:p>
    <w:p w:rsidR="00E9765F" w:rsidRPr="00816934" w:rsidP="004C3745">
      <w:pPr>
        <w:pStyle w:val="ListParagraph"/>
        <w:numPr>
          <w:ilvl w:val="0"/>
          <w:numId w:val="16"/>
        </w:numPr>
        <w:spacing w:after="0"/>
        <w:rPr>
          <w:rFonts w:ascii="Calibri" w:eastAsia="FS Mencap" w:hAnsi="Calibri" w:cs="Calibri"/>
        </w:rPr>
      </w:pPr>
      <w:r w:rsidRPr="00816934">
        <w:rPr>
          <w:rFonts w:ascii="Calibri" w:eastAsia="FS Mencap" w:hAnsi="Calibri" w:cs="Calibri"/>
        </w:rPr>
        <w:t xml:space="preserve">Many young people with a learning disability experience a “cliff edge” </w:t>
      </w:r>
      <w:r w:rsidRPr="00816934">
        <w:rPr>
          <w:rFonts w:ascii="Calibri" w:eastAsia="FS Mencap" w:hAnsi="Calibri" w:cs="Calibri"/>
        </w:rPr>
        <w:t xml:space="preserve">during transition, due to </w:t>
      </w:r>
      <w:r w:rsidRPr="00816934">
        <w:rPr>
          <w:rFonts w:ascii="Calibri" w:eastAsia="FS Mencap" w:hAnsi="Calibri" w:cs="Calibri"/>
        </w:rPr>
        <w:t xml:space="preserve">differing thresholds, fragmented commissioning, late planning, </w:t>
      </w:r>
      <w:r w:rsidRPr="00816934">
        <w:rPr>
          <w:rFonts w:ascii="Calibri" w:eastAsia="FS Mencap" w:hAnsi="Calibri" w:cs="Calibri"/>
        </w:rPr>
        <w:t>and repeated assessments, leading to delays, reduced provision, and poorer outcomes.</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6"/>
        </w:numPr>
        <w:spacing w:after="0"/>
        <w:rPr>
          <w:rFonts w:ascii="Calibri" w:eastAsia="FS Mencap" w:hAnsi="Calibri" w:cs="Calibri"/>
        </w:rPr>
      </w:pPr>
      <w:r w:rsidRPr="00816934">
        <w:rPr>
          <w:rFonts w:ascii="Calibri" w:eastAsia="FS Mencap" w:hAnsi="Calibri" w:cs="Calibri"/>
        </w:rPr>
        <w:t xml:space="preserve">Improving transition to adulthood requires earlier planning from the age of </w:t>
      </w:r>
      <w:r w:rsidRPr="00816934">
        <w:rPr>
          <w:rFonts w:ascii="Calibri" w:eastAsia="FS Mencap" w:hAnsi="Calibri" w:cs="Calibri"/>
        </w:rPr>
        <w:t>14</w:t>
      </w:r>
      <w:r w:rsidRPr="00816934">
        <w:rPr>
          <w:rFonts w:ascii="Calibri" w:eastAsia="FS Mencap" w:hAnsi="Calibri" w:cs="Calibri"/>
        </w:rPr>
        <w:t xml:space="preserve"> as standard</w:t>
      </w:r>
      <w:r w:rsidRPr="00816934">
        <w:rPr>
          <w:rFonts w:ascii="Calibri" w:eastAsia="FS Mencap" w:hAnsi="Calibri" w:cs="Calibri"/>
        </w:rPr>
        <w:t xml:space="preserve">; stronger multi-agency </w:t>
      </w:r>
      <w:r w:rsidRPr="00816934">
        <w:rPr>
          <w:rFonts w:ascii="Calibri" w:eastAsia="FS Mencap" w:hAnsi="Calibri" w:cs="Calibri"/>
        </w:rPr>
        <w:t xml:space="preserve">coordination; and greater </w:t>
      </w:r>
      <w:r w:rsidRPr="00816934">
        <w:rPr>
          <w:rFonts w:ascii="Calibri" w:eastAsia="FS Mencap" w:hAnsi="Calibri" w:cs="Calibri"/>
        </w:rPr>
        <w:t xml:space="preserve">adherence to </w:t>
      </w:r>
      <w:r w:rsidRPr="00816934">
        <w:rPr>
          <w:rFonts w:ascii="Calibri" w:eastAsia="FS Mencap" w:hAnsi="Calibri" w:cs="Calibri"/>
        </w:rPr>
        <w:t xml:space="preserve">existing </w:t>
      </w:r>
      <w:r w:rsidRPr="00816934">
        <w:rPr>
          <w:rFonts w:ascii="Calibri" w:eastAsia="FS Mencap" w:hAnsi="Calibri" w:cs="Calibri"/>
        </w:rPr>
        <w:t xml:space="preserve">statutory </w:t>
      </w:r>
      <w:r w:rsidRPr="00816934">
        <w:rPr>
          <w:rFonts w:ascii="Calibri" w:eastAsia="FS Mencap" w:hAnsi="Calibri" w:cs="Calibri"/>
        </w:rPr>
        <w:t>duties and guidance.</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6"/>
        </w:numPr>
        <w:spacing w:after="0"/>
        <w:rPr>
          <w:rFonts w:ascii="Calibri" w:eastAsia="FS Mencap" w:hAnsi="Calibri" w:cs="Calibri"/>
        </w:rPr>
      </w:pPr>
      <w:r w:rsidRPr="00816934">
        <w:rPr>
          <w:rFonts w:ascii="Calibri" w:eastAsia="FS Mencap" w:hAnsi="Calibri" w:cs="Calibri"/>
        </w:rPr>
        <w:t>Children, young people, and their families</w:t>
      </w:r>
      <w:r w:rsidRPr="00816934">
        <w:rPr>
          <w:rFonts w:ascii="Calibri" w:eastAsia="FS Mencap" w:hAnsi="Calibri" w:cs="Calibri"/>
        </w:rPr>
        <w:t xml:space="preserve"> </w:t>
      </w:r>
      <w:r w:rsidRPr="00816934">
        <w:rPr>
          <w:rFonts w:ascii="Calibri" w:eastAsia="FS Mencap" w:hAnsi="Calibri" w:cs="Calibri"/>
        </w:rPr>
        <w:t xml:space="preserve">often struggle to find accessible </w:t>
      </w:r>
      <w:r w:rsidRPr="00816934">
        <w:rPr>
          <w:rFonts w:ascii="Calibri" w:eastAsia="FS Mencap" w:hAnsi="Calibri" w:cs="Calibri"/>
        </w:rPr>
        <w:t>information</w:t>
      </w:r>
      <w:r w:rsidRPr="00816934">
        <w:rPr>
          <w:rFonts w:ascii="Calibri" w:eastAsia="FS Mencap" w:hAnsi="Calibri" w:cs="Calibri"/>
        </w:rPr>
        <w:t>, and in practice, they</w:t>
      </w:r>
      <w:r w:rsidRPr="00816934">
        <w:rPr>
          <w:rFonts w:ascii="Calibri" w:eastAsia="FS Mencap" w:hAnsi="Calibri" w:cs="Calibri"/>
        </w:rPr>
        <w:t xml:space="preserve"> </w:t>
      </w:r>
      <w:r w:rsidRPr="00816934">
        <w:rPr>
          <w:rFonts w:ascii="Calibri" w:eastAsia="FS Mencap" w:hAnsi="Calibri" w:cs="Calibri"/>
        </w:rPr>
        <w:t xml:space="preserve">regularly </w:t>
      </w:r>
      <w:r w:rsidRPr="00816934">
        <w:rPr>
          <w:rFonts w:ascii="Calibri" w:eastAsia="FS Mencap" w:hAnsi="Calibri" w:cs="Calibri"/>
        </w:rPr>
        <w:t xml:space="preserve">do not feel meaningfully involved in </w:t>
      </w:r>
      <w:r w:rsidRPr="00816934">
        <w:rPr>
          <w:rFonts w:ascii="Calibri" w:eastAsia="FS Mencap" w:hAnsi="Calibri" w:cs="Calibri"/>
        </w:rPr>
        <w:t>planning</w:t>
      </w:r>
      <w:r w:rsidRPr="00816934">
        <w:rPr>
          <w:rFonts w:ascii="Calibri" w:eastAsia="FS Mencap" w:hAnsi="Calibri" w:cs="Calibri"/>
        </w:rPr>
        <w:t xml:space="preserve"> and assessments during transition</w:t>
      </w:r>
      <w:r w:rsidRPr="00816934">
        <w:rPr>
          <w:rFonts w:ascii="Calibri" w:eastAsia="FS Mencap" w:hAnsi="Calibri" w:cs="Calibri"/>
        </w:rPr>
        <w:t xml:space="preserve"> to adulthood.</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6"/>
        </w:numPr>
        <w:spacing w:after="0"/>
        <w:rPr>
          <w:rFonts w:ascii="Calibri" w:eastAsia="FS Mencap" w:hAnsi="Calibri" w:cs="Calibri"/>
        </w:rPr>
      </w:pPr>
      <w:r w:rsidRPr="00816934">
        <w:rPr>
          <w:rFonts w:ascii="Calibri" w:eastAsia="FS Mencap" w:hAnsi="Calibri" w:cs="Calibri"/>
        </w:rPr>
        <w:t>More inclusive planning</w:t>
      </w:r>
      <w:r w:rsidRPr="00816934">
        <w:rPr>
          <w:rFonts w:ascii="Calibri" w:eastAsia="FS Mencap" w:hAnsi="Calibri" w:cs="Calibri"/>
        </w:rPr>
        <w:t xml:space="preserve">, </w:t>
      </w:r>
      <w:r w:rsidRPr="00816934">
        <w:rPr>
          <w:rFonts w:ascii="Calibri" w:eastAsia="FS Mencap" w:hAnsi="Calibri" w:cs="Calibri"/>
        </w:rPr>
        <w:t xml:space="preserve">the use of </w:t>
      </w:r>
      <w:r w:rsidRPr="00816934">
        <w:rPr>
          <w:rFonts w:ascii="Calibri" w:eastAsia="FS Mencap" w:hAnsi="Calibri" w:cs="Calibri"/>
        </w:rPr>
        <w:t>n</w:t>
      </w:r>
      <w:r w:rsidRPr="00816934">
        <w:rPr>
          <w:rFonts w:ascii="Calibri" w:eastAsia="FS Mencap" w:hAnsi="Calibri" w:cs="Calibri"/>
        </w:rPr>
        <w:t xml:space="preserve">amed </w:t>
      </w:r>
      <w:r w:rsidRPr="00816934">
        <w:rPr>
          <w:rFonts w:ascii="Calibri" w:eastAsia="FS Mencap" w:hAnsi="Calibri" w:cs="Calibri"/>
        </w:rPr>
        <w:t>s</w:t>
      </w:r>
      <w:r w:rsidRPr="00816934">
        <w:rPr>
          <w:rFonts w:ascii="Calibri" w:eastAsia="FS Mencap" w:hAnsi="Calibri" w:cs="Calibri"/>
        </w:rPr>
        <w:t xml:space="preserve">ocial </w:t>
      </w:r>
      <w:r w:rsidRPr="00816934">
        <w:rPr>
          <w:rFonts w:ascii="Calibri" w:eastAsia="FS Mencap" w:hAnsi="Calibri" w:cs="Calibri"/>
        </w:rPr>
        <w:t>w</w:t>
      </w:r>
      <w:r w:rsidRPr="00816934">
        <w:rPr>
          <w:rFonts w:ascii="Calibri" w:eastAsia="FS Mencap" w:hAnsi="Calibri" w:cs="Calibri"/>
        </w:rPr>
        <w:t>orkers,</w:t>
      </w:r>
      <w:r w:rsidRPr="00816934">
        <w:rPr>
          <w:rFonts w:ascii="Calibri" w:eastAsia="FS Mencap" w:hAnsi="Calibri" w:cs="Calibri"/>
        </w:rPr>
        <w:t xml:space="preserve"> better cross-sector collaboration</w:t>
      </w:r>
      <w:r w:rsidRPr="00816934">
        <w:rPr>
          <w:rFonts w:ascii="Calibri" w:eastAsia="FS Mencap" w:hAnsi="Calibri" w:cs="Calibri"/>
        </w:rPr>
        <w:t xml:space="preserve"> and</w:t>
      </w:r>
      <w:r w:rsidRPr="00816934">
        <w:rPr>
          <w:rFonts w:ascii="Calibri" w:eastAsia="FS Mencap" w:hAnsi="Calibri" w:cs="Calibri"/>
        </w:rPr>
        <w:t xml:space="preserve"> the availability of</w:t>
      </w:r>
      <w:r w:rsidRPr="00816934">
        <w:rPr>
          <w:rFonts w:ascii="Calibri" w:eastAsia="FS Mencap" w:hAnsi="Calibri" w:cs="Calibri"/>
        </w:rPr>
        <w:t xml:space="preserve"> </w:t>
      </w:r>
      <w:r w:rsidRPr="00816934">
        <w:rPr>
          <w:rFonts w:ascii="Calibri" w:eastAsia="FS Mencap" w:hAnsi="Calibri" w:cs="Calibri"/>
        </w:rPr>
        <w:t xml:space="preserve">more appropriate housing and social care </w:t>
      </w:r>
      <w:r w:rsidRPr="00816934">
        <w:rPr>
          <w:rFonts w:ascii="Calibri" w:eastAsia="FS Mencap" w:hAnsi="Calibri" w:cs="Calibri"/>
        </w:rPr>
        <w:t xml:space="preserve">would </w:t>
      </w:r>
      <w:r w:rsidRPr="00816934">
        <w:rPr>
          <w:rFonts w:ascii="Calibri" w:eastAsia="FS Mencap" w:hAnsi="Calibri" w:cs="Calibri"/>
        </w:rPr>
        <w:t>i</w:t>
      </w:r>
      <w:r w:rsidRPr="00816934">
        <w:rPr>
          <w:rFonts w:ascii="Calibri" w:eastAsia="FS Mencap" w:hAnsi="Calibri" w:cs="Calibri"/>
        </w:rPr>
        <w:t xml:space="preserve">mprove the experience of transitions </w:t>
      </w:r>
      <w:r w:rsidRPr="00816934">
        <w:rPr>
          <w:rFonts w:ascii="Calibri" w:eastAsia="FS Mencap" w:hAnsi="Calibri" w:cs="Calibri"/>
        </w:rPr>
        <w:t>and reduce the escalation of crises for people with a learning disability</w:t>
      </w:r>
      <w:r w:rsidRPr="00816934">
        <w:rPr>
          <w:rFonts w:ascii="Calibri" w:eastAsia="FS Mencap" w:hAnsi="Calibri" w:cs="Calibri"/>
        </w:rPr>
        <w:t>.</w:t>
      </w:r>
    </w:p>
    <w:p w:rsidR="00E9765F" w:rsidRPr="00816934" w:rsidP="004C3745">
      <w:pPr>
        <w:spacing w:after="0"/>
        <w:rPr>
          <w:rFonts w:ascii="Calibri" w:eastAsia="FS Mencap" w:hAnsi="Calibri" w:cs="Calibri"/>
        </w:rPr>
      </w:pPr>
    </w:p>
    <w:p w:rsidR="00E9765F" w:rsidRPr="00816934" w:rsidP="004C3745">
      <w:pPr>
        <w:spacing w:after="0"/>
        <w:rPr>
          <w:rFonts w:ascii="Calibri" w:eastAsia="FS Mencap" w:hAnsi="Calibri" w:cs="Calibri"/>
        </w:rPr>
      </w:pPr>
    </w:p>
    <w:p w:rsidR="00E9765F" w:rsidRPr="00816934" w:rsidP="004C3745">
      <w:pPr>
        <w:pStyle w:val="Heading1"/>
        <w:rPr>
          <w:rFonts w:ascii="Calibri" w:hAnsi="Calibri" w:cs="Calibri"/>
        </w:rPr>
      </w:pPr>
      <w:bookmarkStart w:id="2" w:name="_Toc229157327"/>
      <w:r w:rsidRPr="00816934">
        <w:rPr>
          <w:rFonts w:ascii="Calibri" w:hAnsi="Calibri" w:cs="Calibri"/>
        </w:rPr>
        <w:t xml:space="preserve">1. </w:t>
      </w:r>
      <w:r w:rsidRPr="00816934">
        <w:rPr>
          <w:rFonts w:ascii="Calibri" w:hAnsi="Calibri" w:cs="Calibri"/>
        </w:rPr>
        <w:t>Timeliness and pace of the transition to adult services</w:t>
      </w:r>
      <w:bookmarkEnd w:id="2"/>
    </w:p>
    <w:p w:rsidR="00E9765F" w:rsidRPr="00816934" w:rsidP="004C3745">
      <w:pPr>
        <w:spacing w:after="0"/>
        <w:rPr>
          <w:rFonts w:ascii="Calibri" w:hAnsi="Calibri" w:cs="Calibri"/>
        </w:rPr>
      </w:pPr>
    </w:p>
    <w:p w:rsidR="00E9765F" w:rsidRPr="00816934" w:rsidP="004C3745">
      <w:pPr>
        <w:pStyle w:val="Heading2"/>
        <w:rPr>
          <w:rFonts w:ascii="Calibri" w:hAnsi="Calibri" w:cs="Calibri"/>
        </w:rPr>
      </w:pPr>
      <w:bookmarkStart w:id="3" w:name="_Toc229157328"/>
      <w:r w:rsidRPr="00816934">
        <w:rPr>
          <w:rFonts w:ascii="Calibri" w:hAnsi="Calibri" w:cs="Calibri"/>
        </w:rPr>
        <w:t xml:space="preserve">1.1 </w:t>
      </w:r>
      <w:r w:rsidRPr="00816934">
        <w:rPr>
          <w:rFonts w:ascii="Calibri" w:hAnsi="Calibri" w:cs="Calibri"/>
        </w:rPr>
        <w:t>Resourcing</w:t>
      </w:r>
      <w:r w:rsidRPr="00816934">
        <w:rPr>
          <w:rFonts w:ascii="Calibri" w:hAnsi="Calibri" w:cs="Calibri"/>
        </w:rPr>
        <w:t xml:space="preserve"> - </w:t>
      </w:r>
      <w:r w:rsidRPr="00816934">
        <w:rPr>
          <w:rFonts w:ascii="Calibri" w:hAnsi="Calibri" w:cs="Calibri"/>
        </w:rPr>
        <w:t>To what extent are local authorities sufficiently resourced to assess children for continuing need and provide ongoing services, where needed, to ensure no gaps in provision?</w:t>
      </w:r>
      <w:bookmarkEnd w:id="3"/>
    </w:p>
    <w:p w:rsidR="00E9765F" w:rsidRPr="00816934" w:rsidP="004C3745">
      <w:pPr>
        <w:spacing w:after="0"/>
        <w:rPr>
          <w:rFonts w:ascii="Calibri"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 xml:space="preserve">Children’s social care is currently experiencing drastic underfunding. Economic research by the Disabled Children’s Partnership found that in 2019/20, there was a £573m funding </w:t>
      </w:r>
      <w:r w:rsidRPr="00816934">
        <w:rPr>
          <w:rFonts w:ascii="Calibri" w:eastAsia="FS Mencap" w:hAnsi="Calibri" w:cs="Calibri"/>
        </w:rPr>
        <w:t>g</w:t>
      </w:r>
      <w:r w:rsidRPr="00816934">
        <w:rPr>
          <w:rFonts w:ascii="Calibri" w:eastAsia="FS Mencap" w:hAnsi="Calibri" w:cs="Calibri"/>
        </w:rPr>
        <w:t>ap in disabled children’s social care</w:t>
      </w:r>
      <w:r>
        <w:rPr>
          <w:rStyle w:val="FootnoteReference"/>
          <w:rFonts w:ascii="Calibri" w:eastAsia="FS Mencap" w:hAnsi="Calibri" w:cs="Calibri"/>
        </w:rPr>
        <w:footnoteReference w:id="2"/>
      </w:r>
      <w:r w:rsidRPr="00816934">
        <w:rPr>
          <w:rFonts w:ascii="Calibri" w:eastAsia="FS Mencap" w:hAnsi="Calibri" w:cs="Calibri"/>
        </w:rPr>
        <w:t xml:space="preserve">. More recent estimates from the LGA in 2023 suggested that local authorities would </w:t>
      </w:r>
      <w:r w:rsidRPr="00816934">
        <w:rPr>
          <w:rFonts w:ascii="Calibri" w:eastAsia="FS Mencap" w:hAnsi="Calibri" w:cs="Calibri"/>
        </w:rPr>
        <w:t>face</w:t>
      </w:r>
      <w:r w:rsidRPr="00816934">
        <w:rPr>
          <w:rFonts w:ascii="Calibri" w:eastAsia="FS Mencap" w:hAnsi="Calibri" w:cs="Calibri"/>
        </w:rPr>
        <w:t xml:space="preserve"> a funding gap of £4bn over the next two years</w:t>
      </w:r>
      <w:r>
        <w:rPr>
          <w:rStyle w:val="FootnoteReference"/>
          <w:rFonts w:ascii="Calibri" w:eastAsia="FS Mencap" w:hAnsi="Calibri" w:cs="Calibri"/>
        </w:rPr>
        <w:footnoteReference w:id="3"/>
      </w:r>
      <w:r w:rsidRPr="00816934">
        <w:rPr>
          <w:rFonts w:ascii="Calibri" w:eastAsia="FS Mencap" w:hAnsi="Calibri" w:cs="Calibri"/>
        </w:rPr>
        <w:t>, with planned local authority budgets still showing a 10.1% rise for children’s social care in 2025/26</w:t>
      </w:r>
      <w:r>
        <w:rPr>
          <w:rStyle w:val="FootnoteReference"/>
          <w:rFonts w:ascii="Calibri" w:eastAsia="FS Mencap" w:hAnsi="Calibri" w:cs="Calibri"/>
        </w:rPr>
        <w:footnoteReference w:id="4"/>
      </w:r>
      <w:r w:rsidRPr="00816934">
        <w:rPr>
          <w:rFonts w:ascii="Calibri" w:eastAsia="FS Mencap" w:hAnsi="Calibri" w:cs="Calibri"/>
        </w:rPr>
        <w:t>.</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The picture of increasing demand and additional expenditure is similarly increasing in adult social care. Expenditure for </w:t>
      </w:r>
      <w:r w:rsidRPr="00816934">
        <w:rPr>
          <w:rFonts w:ascii="Calibri" w:eastAsia="FS Mencap" w:hAnsi="Calibri" w:cs="Calibri"/>
        </w:rPr>
        <w:t>working age</w:t>
      </w:r>
      <w:r w:rsidRPr="00816934">
        <w:rPr>
          <w:rFonts w:ascii="Calibri" w:eastAsia="FS Mencap" w:hAnsi="Calibri" w:cs="Calibri"/>
        </w:rPr>
        <w:t> and lifelong disabled adults grew by 32% between 2019/20 and 2023/24, faster than expenditure growth in any other part of adult social care, such as care for older adults</w:t>
      </w:r>
      <w:r>
        <w:rPr>
          <w:rStyle w:val="FootnoteReference"/>
          <w:rFonts w:ascii="Calibri" w:eastAsia="FS Mencap" w:hAnsi="Calibri" w:cs="Calibri"/>
        </w:rPr>
        <w:footnoteReference w:id="5"/>
      </w:r>
      <w:r w:rsidRPr="00816934">
        <w:rPr>
          <w:rFonts w:ascii="Calibri" w:eastAsia="FS Mencap" w:hAnsi="Calibri" w:cs="Calibri"/>
        </w:rPr>
        <w:t>. The same County Councils Network and Newton research found that the net increase in expenditure for support for 18-24-year-olds for adult social care is expected to be at least 40% more by 2030, partly due to the increasing number of young people with</w:t>
      </w:r>
      <w:r w:rsidRPr="00816934">
        <w:rPr>
          <w:rFonts w:ascii="Calibri" w:eastAsia="FS Mencap" w:hAnsi="Calibri" w:cs="Calibri"/>
        </w:rPr>
        <w:t xml:space="preserve"> Education, Health, and Care Plans</w:t>
      </w:r>
      <w:r w:rsidRPr="00816934">
        <w:rPr>
          <w:rFonts w:ascii="Calibri" w:eastAsia="FS Mencap" w:hAnsi="Calibri" w:cs="Calibri"/>
        </w:rPr>
        <w:t xml:space="preserve"> </w:t>
      </w:r>
      <w:r w:rsidRPr="00816934">
        <w:rPr>
          <w:rFonts w:ascii="Calibri" w:eastAsia="FS Mencap" w:hAnsi="Calibri" w:cs="Calibri"/>
        </w:rPr>
        <w:t>(</w:t>
      </w:r>
      <w:r w:rsidRPr="00816934">
        <w:rPr>
          <w:rFonts w:ascii="Calibri" w:eastAsia="FS Mencap" w:hAnsi="Calibri" w:cs="Calibri"/>
        </w:rPr>
        <w:t>EHCPs</w:t>
      </w:r>
      <w:r w:rsidRPr="00816934">
        <w:rPr>
          <w:rFonts w:ascii="Calibri" w:eastAsia="FS Mencap" w:hAnsi="Calibri" w:cs="Calibri"/>
        </w:rPr>
        <w:t>)</w:t>
      </w:r>
      <w:r w:rsidRPr="00816934">
        <w:rPr>
          <w:rFonts w:ascii="Calibri" w:eastAsia="FS Mencap" w:hAnsi="Calibri" w:cs="Calibri"/>
        </w:rPr>
        <w:t> transitioning to adulthood</w:t>
      </w:r>
      <w:r>
        <w:rPr>
          <w:rStyle w:val="FootnoteReference"/>
          <w:rFonts w:ascii="Calibri" w:eastAsia="FS Mencap" w:hAnsi="Calibri" w:cs="Calibri"/>
        </w:rPr>
        <w:footnoteReference w:id="6"/>
      </w:r>
      <w:r w:rsidRPr="00816934">
        <w:rPr>
          <w:rFonts w:ascii="Calibri" w:eastAsia="FS Mencap" w:hAnsi="Calibri" w:cs="Calibri"/>
        </w:rPr>
        <w:t>.</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The King’s Fund’s most recent annual Social Care 360 report</w:t>
      </w:r>
      <w:r>
        <w:rPr>
          <w:rStyle w:val="FootnoteReference"/>
          <w:rFonts w:ascii="Calibri" w:eastAsia="FS Mencap" w:hAnsi="Calibri" w:cs="Calibri"/>
        </w:rPr>
        <w:footnoteReference w:id="7"/>
      </w:r>
      <w:r w:rsidRPr="00816934">
        <w:rPr>
          <w:rFonts w:ascii="Calibri" w:eastAsia="FS Mencap" w:hAnsi="Calibri" w:cs="Calibri"/>
        </w:rPr>
        <w:t xml:space="preserve"> highlights that local authorities are having to fund spending on both adult’s and children’s social care through cuts to infrastructure and other local services</w:t>
      </w:r>
      <w:r>
        <w:rPr>
          <w:rStyle w:val="FootnoteReference"/>
          <w:rFonts w:ascii="Calibri" w:eastAsia="FS Mencap" w:hAnsi="Calibri" w:cs="Calibri"/>
        </w:rPr>
        <w:footnoteReference w:id="8"/>
      </w:r>
      <w:r w:rsidRPr="00816934">
        <w:rPr>
          <w:rFonts w:ascii="Calibri" w:eastAsia="FS Mencap" w:hAnsi="Calibri" w:cs="Calibri"/>
        </w:rPr>
        <w:t xml:space="preserve">. In 2023/24, local authorities </w:t>
      </w:r>
      <w:r w:rsidRPr="00816934">
        <w:rPr>
          <w:rFonts w:ascii="Calibri" w:eastAsia="FS Mencap" w:hAnsi="Calibri" w:cs="Calibri"/>
        </w:rPr>
        <w:t>with social care responsibilities spent 61% of their total revenue on adult’s and children’s social care compared with 57% in 2015/16</w:t>
      </w:r>
      <w:r>
        <w:rPr>
          <w:rStyle w:val="FootnoteReference"/>
          <w:rFonts w:ascii="Calibri" w:eastAsia="FS Mencap" w:hAnsi="Calibri" w:cs="Calibri"/>
        </w:rPr>
        <w:footnoteReference w:id="9"/>
      </w:r>
      <w:r w:rsidRPr="00816934">
        <w:rPr>
          <w:rFonts w:ascii="Calibri" w:eastAsia="FS Mencap" w:hAnsi="Calibri" w:cs="Calibri"/>
        </w:rPr>
        <w:t>.</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Many people with a learning disability draw on social care to help them access their local communities and build their independence. However, a lack of appropriate support due to persistent adult social care underfunding can have a devastating impact on a range of factors, including engaging with employment, family, and friends.  </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Mencap conducted research into loneliness in 2022, which found that when asked why their loved one was finding it more challenging to leave the house, nearly half (47%) of family members said that that reduced social care support was a barrier</w:t>
      </w:r>
      <w:r>
        <w:rPr>
          <w:rStyle w:val="FootnoteReference"/>
          <w:rFonts w:ascii="Calibri" w:eastAsia="FS Mencap" w:hAnsi="Calibri" w:cs="Calibri"/>
        </w:rPr>
        <w:footnoteReference w:id="10"/>
      </w:r>
      <w:r w:rsidRPr="00816934">
        <w:rPr>
          <w:rFonts w:ascii="Calibri" w:eastAsia="FS Mencap" w:hAnsi="Calibri" w:cs="Calibri"/>
        </w:rPr>
        <w:t>. Closure of day services, including day centres offering clubs, activities, and support for people with a learning disability - in the absence of robust alternatives - cut off a vital lifeline for many who rely on these services to help with socialisation, wellbeing, and independence. This puts people at risk loneliness, mental health breakdown, and further entrenches inequalities experienced by people with a learning disability. </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It is essential that transitions to adult</w:t>
      </w:r>
      <w:r w:rsidRPr="00816934">
        <w:rPr>
          <w:rFonts w:ascii="Calibri" w:eastAsia="FS Mencap" w:hAnsi="Calibri" w:cs="Calibri"/>
        </w:rPr>
        <w:t>hood</w:t>
      </w:r>
      <w:r w:rsidRPr="00816934">
        <w:rPr>
          <w:rFonts w:ascii="Calibri" w:eastAsia="FS Mencap" w:hAnsi="Calibri" w:cs="Calibri"/>
        </w:rPr>
        <w:t xml:space="preserve"> are managed effectively and that both children’s and adult</w:t>
      </w:r>
      <w:r w:rsidRPr="00816934">
        <w:rPr>
          <w:rFonts w:ascii="Calibri" w:eastAsia="FS Mencap" w:hAnsi="Calibri" w:cs="Calibri"/>
        </w:rPr>
        <w:t>’s</w:t>
      </w:r>
      <w:r w:rsidRPr="00816934">
        <w:rPr>
          <w:rFonts w:ascii="Calibri" w:eastAsia="FS Mencap" w:hAnsi="Calibri" w:cs="Calibri"/>
        </w:rPr>
        <w:t xml:space="preserve"> social care</w:t>
      </w:r>
      <w:r w:rsidRPr="00816934">
        <w:rPr>
          <w:rFonts w:ascii="Calibri" w:eastAsia="FS Mencap" w:hAnsi="Calibri" w:cs="Calibri"/>
        </w:rPr>
        <w:t xml:space="preserve"> services</w:t>
      </w:r>
      <w:r w:rsidRPr="00816934">
        <w:rPr>
          <w:rFonts w:ascii="Calibri" w:eastAsia="FS Mencap" w:hAnsi="Calibri" w:cs="Calibri"/>
        </w:rPr>
        <w:t xml:space="preserve"> </w:t>
      </w:r>
      <w:r w:rsidRPr="00816934">
        <w:rPr>
          <w:rFonts w:ascii="Calibri" w:eastAsia="FS Mencap" w:hAnsi="Calibri" w:cs="Calibri"/>
        </w:rPr>
        <w:t>are</w:t>
      </w:r>
      <w:r w:rsidRPr="00816934">
        <w:rPr>
          <w:rFonts w:ascii="Calibri" w:eastAsia="FS Mencap" w:hAnsi="Calibri" w:cs="Calibri"/>
        </w:rPr>
        <w:t xml:space="preserve"> suitably funded in order to ensure that people with a learning disability do not experience disjointed gaps in support </w:t>
      </w:r>
      <w:r w:rsidRPr="00816934">
        <w:rPr>
          <w:rFonts w:ascii="Calibri" w:eastAsia="FS Mencap" w:hAnsi="Calibri" w:cs="Calibri"/>
        </w:rPr>
        <w:t>transitioning to adult</w:t>
      </w:r>
      <w:r w:rsidRPr="00816934">
        <w:rPr>
          <w:rFonts w:ascii="Calibri" w:eastAsia="FS Mencap" w:hAnsi="Calibri" w:cs="Calibri"/>
        </w:rPr>
        <w:t xml:space="preserve"> services.</w:t>
      </w:r>
      <w:r w:rsidRPr="00816934">
        <w:rPr>
          <w:rFonts w:ascii="Calibri" w:eastAsia="FS Mencap" w:hAnsi="Calibri" w:cs="Calibri"/>
        </w:rPr>
        <w:t> </w:t>
      </w:r>
    </w:p>
    <w:p w:rsidR="00E9765F" w:rsidRPr="00816934" w:rsidP="004C3745">
      <w:pPr>
        <w:spacing w:after="0"/>
        <w:rPr>
          <w:rFonts w:ascii="Calibri" w:eastAsia="FS Mencap" w:hAnsi="Calibri" w:cs="Calibri"/>
        </w:rPr>
      </w:pPr>
    </w:p>
    <w:p w:rsidR="00E9765F" w:rsidRPr="00816934" w:rsidP="004C3745">
      <w:pPr>
        <w:spacing w:after="0"/>
        <w:rPr>
          <w:rFonts w:ascii="Calibri" w:eastAsia="FS Mencap" w:hAnsi="Calibri" w:cs="Calibri"/>
        </w:rPr>
      </w:pPr>
    </w:p>
    <w:p w:rsidR="00E9765F" w:rsidRPr="00816934" w:rsidP="004C3745">
      <w:pPr>
        <w:pStyle w:val="Heading1"/>
        <w:rPr>
          <w:rFonts w:ascii="Calibri" w:hAnsi="Calibri" w:cs="Calibri"/>
        </w:rPr>
      </w:pPr>
      <w:bookmarkStart w:id="4" w:name="_Toc229157329"/>
      <w:r w:rsidRPr="00816934">
        <w:rPr>
          <w:rFonts w:ascii="Calibri" w:hAnsi="Calibri" w:cs="Calibri"/>
        </w:rPr>
        <w:t>2. Effectiveness of the transition process and cross-service coordination</w:t>
      </w:r>
      <w:bookmarkEnd w:id="4"/>
    </w:p>
    <w:p w:rsidR="00E9765F" w:rsidRPr="00816934" w:rsidP="004C3745">
      <w:pPr>
        <w:spacing w:after="0"/>
        <w:rPr>
          <w:rFonts w:ascii="Calibri" w:hAnsi="Calibri" w:cs="Calibri"/>
        </w:rPr>
      </w:pPr>
    </w:p>
    <w:p w:rsidR="00E9765F" w:rsidRPr="00816934" w:rsidP="004C3745">
      <w:pPr>
        <w:pStyle w:val="Heading2"/>
        <w:rPr>
          <w:rFonts w:ascii="Calibri" w:hAnsi="Calibri" w:cs="Calibri"/>
        </w:rPr>
      </w:pPr>
      <w:bookmarkStart w:id="5" w:name="_Toc229157330"/>
      <w:r w:rsidRPr="00816934">
        <w:rPr>
          <w:rFonts w:ascii="Calibri" w:hAnsi="Calibri" w:cs="Calibri"/>
        </w:rPr>
        <w:t xml:space="preserve">2.1 </w:t>
      </w:r>
      <w:r w:rsidRPr="00816934">
        <w:rPr>
          <w:rFonts w:ascii="Calibri" w:hAnsi="Calibri" w:cs="Calibri"/>
        </w:rPr>
        <w:t>Effectiveness and implementation</w:t>
      </w:r>
      <w:r w:rsidRPr="00816934">
        <w:rPr>
          <w:rFonts w:ascii="Calibri" w:hAnsi="Calibri" w:cs="Calibri"/>
        </w:rPr>
        <w:t xml:space="preserve"> - </w:t>
      </w:r>
      <w:r w:rsidRPr="00816934">
        <w:rPr>
          <w:rFonts w:ascii="Calibri" w:hAnsi="Calibri" w:cs="Calibri"/>
        </w:rPr>
        <w:t>Are there ways in which better and more effective joint working could improve the provision and quality of services? What does good practice look like in cross-service commissioning and delivery?</w:t>
      </w:r>
      <w:bookmarkEnd w:id="5"/>
    </w:p>
    <w:p w:rsidR="00E9765F" w:rsidRPr="00816934" w:rsidP="004C3745">
      <w:pPr>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 xml:space="preserve">Statutory transition planning is supposed to be a key part of local authorities’ legal duties, but it seems as though some of the issues faced come about from local authorities and the NHS not following these legal frameworks. Research from the Disabled Children’s Partnership in 2022 found that three-quarters of families </w:t>
      </w:r>
      <w:r w:rsidRPr="00816934">
        <w:rPr>
          <w:rFonts w:ascii="Calibri" w:eastAsia="FS Mencap" w:hAnsi="Calibri" w:cs="Calibri"/>
        </w:rPr>
        <w:t>reported problems transitioning into adult healthcare services, and one-third reported problems transitioning into adult social care</w:t>
      </w:r>
      <w:r>
        <w:rPr>
          <w:rStyle w:val="FootnoteReference"/>
          <w:rFonts w:ascii="Calibri" w:eastAsia="FS Mencap" w:hAnsi="Calibri" w:cs="Calibri"/>
        </w:rPr>
        <w:footnoteReference w:id="11"/>
      </w:r>
      <w:r w:rsidRPr="00816934">
        <w:rPr>
          <w:rFonts w:ascii="Calibri" w:eastAsia="FS Mencap" w:hAnsi="Calibri" w:cs="Calibri"/>
        </w:rPr>
        <w:t>.</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There appears to be little connection between children’s and adult’s social care within local authorities because their thresholds are different and there is far too little understanding of the Children &amp; Families Act 2014 by either team. We propose joint training for both teams on the Children &amp; Families Act 2014. </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hAnsi="Calibri" w:cs="Calibri"/>
        </w:rPr>
      </w:pPr>
      <w:r w:rsidRPr="00816934">
        <w:rPr>
          <w:rFonts w:ascii="Calibri" w:eastAsia="FS Mencap" w:hAnsi="Calibri" w:cs="Calibri"/>
        </w:rPr>
        <w:t>The timing of </w:t>
      </w:r>
      <w:r w:rsidRPr="00816934">
        <w:rPr>
          <w:rFonts w:ascii="Calibri" w:eastAsia="FS Mencap" w:hAnsi="Calibri" w:cs="Calibri"/>
        </w:rPr>
        <w:t>transition discussions comes too late, often just before someone turns 18. These conversations should happen much earlier</w:t>
      </w:r>
      <w:r w:rsidRPr="00816934">
        <w:rPr>
          <w:rFonts w:ascii="Calibri" w:eastAsia="FS Mencap" w:hAnsi="Calibri" w:cs="Calibri"/>
        </w:rPr>
        <w:t>, preferably from the age of 14 (year 9)</w:t>
      </w:r>
      <w:r w:rsidRPr="00816934">
        <w:rPr>
          <w:rFonts w:ascii="Calibri" w:eastAsia="FS Mencap" w:hAnsi="Calibri" w:cs="Calibri"/>
        </w:rPr>
        <w:t xml:space="preserve">. It </w:t>
      </w:r>
      <w:r w:rsidRPr="00816934">
        <w:rPr>
          <w:rFonts w:ascii="Calibri" w:eastAsia="FS Mencap" w:hAnsi="Calibri" w:cs="Calibri"/>
        </w:rPr>
        <w:t xml:space="preserve">is </w:t>
      </w:r>
      <w:r w:rsidRPr="00816934">
        <w:rPr>
          <w:rFonts w:ascii="Calibri" w:eastAsia="FS Mencap" w:hAnsi="Calibri" w:cs="Calibri"/>
        </w:rPr>
        <w:t>beneficial for children and adult teams to work side-by-side in the final year before handover, as well as the use of an independent advocate, particularly for a young person with a learning disability. </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A key challenge identified is that many young people experience a “cliff edge” in support when moving from children to adult services, with differing eligibility criteria, funding arrangements and thresholds creating uncertainty for families. This can result in delays, reduced provision and poorer outcomes, particularly for young people with</w:t>
      </w:r>
      <w:r w:rsidRPr="00816934">
        <w:rPr>
          <w:rFonts w:ascii="Calibri" w:eastAsia="FS Mencap" w:hAnsi="Calibri" w:cs="Calibri"/>
        </w:rPr>
        <w:t xml:space="preserve"> a</w:t>
      </w:r>
      <w:r w:rsidRPr="00816934">
        <w:rPr>
          <w:rFonts w:ascii="Calibri" w:eastAsia="FS Mencap" w:hAnsi="Calibri" w:cs="Calibri"/>
        </w:rPr>
        <w:t xml:space="preserve"> </w:t>
      </w:r>
      <w:r w:rsidRPr="00816934">
        <w:rPr>
          <w:rFonts w:ascii="Calibri" w:eastAsia="FS Mencap" w:hAnsi="Calibri" w:cs="Calibri"/>
        </w:rPr>
        <w:t>learning disability</w:t>
      </w:r>
      <w:r w:rsidRPr="00816934">
        <w:rPr>
          <w:rFonts w:ascii="Calibri" w:eastAsia="FS Mencap" w:hAnsi="Calibri" w:cs="Calibri"/>
        </w:rPr>
        <w:t xml:space="preserve"> who may require long-term coordinated support.</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 xml:space="preserve">Transitional arrangements for young adults with a learning disability are unfortunately often characterised by </w:t>
      </w:r>
      <w:r w:rsidRPr="00816934">
        <w:rPr>
          <w:rFonts w:ascii="Calibri" w:eastAsia="FS Mencap" w:hAnsi="Calibri" w:cs="Calibri"/>
        </w:rPr>
        <w:t>an</w:t>
      </w:r>
      <w:r w:rsidRPr="00816934">
        <w:rPr>
          <w:rFonts w:ascii="Calibri" w:eastAsia="FS Mencap" w:hAnsi="Calibri" w:cs="Calibri"/>
        </w:rPr>
        <w:t xml:space="preserve"> absence of good quality information, </w:t>
      </w:r>
      <w:r w:rsidRPr="00816934">
        <w:rPr>
          <w:rFonts w:ascii="Calibri" w:eastAsia="FS Mencap" w:hAnsi="Calibri" w:cs="Calibri"/>
        </w:rPr>
        <w:t xml:space="preserve">not enough </w:t>
      </w:r>
      <w:r w:rsidRPr="00816934">
        <w:rPr>
          <w:rFonts w:ascii="Calibri" w:eastAsia="FS Mencap" w:hAnsi="Calibri" w:cs="Calibri"/>
        </w:rPr>
        <w:t>proper multi-agency planning</w:t>
      </w:r>
      <w:r>
        <w:rPr>
          <w:rStyle w:val="FootnoteReference"/>
          <w:rFonts w:ascii="Calibri" w:eastAsia="FS Mencap" w:hAnsi="Calibri" w:cs="Calibri"/>
        </w:rPr>
        <w:footnoteReference w:id="12"/>
      </w:r>
      <w:r w:rsidRPr="00816934">
        <w:rPr>
          <w:rFonts w:ascii="Calibri" w:eastAsia="FS Mencap" w:hAnsi="Calibri" w:cs="Calibri"/>
        </w:rPr>
        <w:t>, a multitude of assessments during times of transition, and repeated home visits by staff from different organisations asking them to repeatedly retell their story</w:t>
      </w:r>
      <w:r>
        <w:rPr>
          <w:rStyle w:val="FootnoteReference"/>
          <w:rFonts w:ascii="Calibri" w:eastAsia="FS Mencap" w:hAnsi="Calibri" w:cs="Calibri"/>
        </w:rPr>
        <w:footnoteReference w:id="13"/>
      </w:r>
      <w:r w:rsidRPr="00816934">
        <w:rPr>
          <w:rFonts w:ascii="Calibri" w:eastAsia="FS Mencap" w:hAnsi="Calibri" w:cs="Calibri"/>
        </w:rPr>
        <w:t>. Effective transition planning therefore requires earlier preparation, stronger multi-agency working and clearer pathways into adult social care, employment support, housing, and community services</w:t>
      </w:r>
      <w:r>
        <w:rPr>
          <w:rStyle w:val="FootnoteReference"/>
          <w:rFonts w:ascii="Calibri" w:eastAsia="FS Mencap" w:hAnsi="Calibri" w:cs="Calibri"/>
        </w:rPr>
        <w:footnoteReference w:id="14"/>
      </w:r>
      <w:r w:rsidRPr="00816934">
        <w:rPr>
          <w:rFonts w:ascii="Calibri" w:eastAsia="FS Mencap" w:hAnsi="Calibri" w:cs="Calibri"/>
        </w:rPr>
        <w:t xml:space="preserve">. </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It is also relevant to consider that many working age disabled adults have accessed children’s social care before transitioning to adult services, and alongside failures in planning transitions, they may also have experienced disadvantages due to failures throughout the children’s social care system, which is highlighted in Josh McAllister’s 2022 Independent Review</w:t>
      </w:r>
      <w:r>
        <w:rPr>
          <w:rStyle w:val="FootnoteReference"/>
          <w:rFonts w:ascii="Calibri" w:eastAsia="FS Mencap" w:hAnsi="Calibri" w:cs="Calibri"/>
        </w:rPr>
        <w:footnoteReference w:id="15"/>
      </w:r>
      <w:r w:rsidRPr="00816934">
        <w:rPr>
          <w:rFonts w:ascii="Calibri" w:eastAsia="FS Mencap" w:hAnsi="Calibri" w:cs="Calibri"/>
        </w:rPr>
        <w:t>.</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EHCPs currently cover young people until the age of 25, but social services often start the transition process between the ages of 16 and 18. Many young people will benefit from education and training provision, but this would be much more secure if ‘preparing for adult life and living in the community’ were added as a category to continue health, education, and social services support up to age 25. Whilst this would require increased funding, it would reduce the number of people over the age of 18 not in e</w:t>
      </w:r>
      <w:r w:rsidRPr="00816934">
        <w:rPr>
          <w:rFonts w:ascii="Calibri" w:eastAsia="FS Mencap" w:hAnsi="Calibri" w:cs="Calibri"/>
        </w:rPr>
        <w:t>ducation, employment, or training.</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The current</w:t>
      </w:r>
      <w:r w:rsidRPr="00816934">
        <w:rPr>
          <w:rFonts w:ascii="Calibri" w:eastAsia="FS Mencap" w:hAnsi="Calibri" w:cs="Calibri"/>
        </w:rPr>
        <w:t xml:space="preserve"> Special Educational Needs and Disabilities</w:t>
      </w:r>
      <w:r w:rsidRPr="00816934">
        <w:rPr>
          <w:rFonts w:ascii="Calibri" w:eastAsia="FS Mencap" w:hAnsi="Calibri" w:cs="Calibri"/>
        </w:rPr>
        <w:t xml:space="preserve"> </w:t>
      </w:r>
      <w:r w:rsidRPr="00816934">
        <w:rPr>
          <w:rFonts w:ascii="Calibri" w:eastAsia="FS Mencap" w:hAnsi="Calibri" w:cs="Calibri"/>
        </w:rPr>
        <w:t>(</w:t>
      </w:r>
      <w:r w:rsidRPr="00816934">
        <w:rPr>
          <w:rFonts w:ascii="Calibri" w:eastAsia="FS Mencap" w:hAnsi="Calibri" w:cs="Calibri"/>
        </w:rPr>
        <w:t>SEND</w:t>
      </w:r>
      <w:r w:rsidRPr="00816934">
        <w:rPr>
          <w:rFonts w:ascii="Calibri" w:eastAsia="FS Mencap" w:hAnsi="Calibri" w:cs="Calibri"/>
        </w:rPr>
        <w:t>)</w:t>
      </w:r>
      <w:r w:rsidRPr="00816934">
        <w:rPr>
          <w:rFonts w:ascii="Calibri" w:eastAsia="FS Mencap" w:hAnsi="Calibri" w:cs="Calibri"/>
        </w:rPr>
        <w:t xml:space="preserve"> reform proposals risk weakening the legal rights of children and young people with a learning disability, particularly those with mild to moderate needs, potentially reducing the access to an EHCP which is the only current framework established to join education, social care and health together to ensure a young person’s transition is collaborative</w:t>
      </w:r>
      <w:r>
        <w:rPr>
          <w:rStyle w:val="FootnoteReference"/>
          <w:rFonts w:ascii="Calibri" w:eastAsia="FS Mencap" w:hAnsi="Calibri" w:cs="Calibri"/>
        </w:rPr>
        <w:footnoteReference w:id="16"/>
      </w:r>
      <w:r w:rsidRPr="00816934">
        <w:rPr>
          <w:rFonts w:ascii="Calibri" w:eastAsia="FS Mencap" w:hAnsi="Calibri" w:cs="Calibri"/>
        </w:rPr>
        <w:t>.</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hAnsi="Calibri" w:cs="Calibri"/>
        </w:rPr>
        <w:t>We would also like to amplify the calls in the Challenging Behaviour Foundation’s action plan for policy makers around transition to adulthood around coordinated approach for collaboration</w:t>
      </w:r>
      <w:r>
        <w:rPr>
          <w:rStyle w:val="FootnoteReference"/>
          <w:rFonts w:ascii="Calibri" w:hAnsi="Calibri" w:cs="Calibri"/>
        </w:rPr>
        <w:footnoteReference w:id="17"/>
      </w:r>
      <w:r w:rsidRPr="00816934">
        <w:rPr>
          <w:rFonts w:ascii="Calibri" w:hAnsi="Calibri" w:cs="Calibri"/>
        </w:rPr>
        <w:t>. The plan calls for the Department of Education and the Department of Health and Social Care to:</w:t>
      </w:r>
    </w:p>
    <w:p w:rsidR="00E9765F" w:rsidRPr="00816934" w:rsidP="004C3745">
      <w:pPr>
        <w:pStyle w:val="ListParagraph"/>
        <w:spacing w:after="0"/>
        <w:ind w:left="1440"/>
        <w:rPr>
          <w:rFonts w:ascii="Calibri" w:eastAsia="FS Mencap" w:hAnsi="Calibri" w:cs="Calibri"/>
        </w:rPr>
      </w:pPr>
    </w:p>
    <w:p w:rsidR="00E9765F" w:rsidRPr="00816934" w:rsidP="004C3745">
      <w:pPr>
        <w:pStyle w:val="ListParagraph"/>
        <w:numPr>
          <w:ilvl w:val="1"/>
          <w:numId w:val="17"/>
        </w:numPr>
        <w:spacing w:after="0"/>
        <w:rPr>
          <w:rFonts w:ascii="Calibri" w:eastAsia="FS Mencap" w:hAnsi="Calibri" w:cs="Calibri"/>
        </w:rPr>
      </w:pPr>
      <w:r w:rsidRPr="00816934">
        <w:rPr>
          <w:rFonts w:ascii="Calibri" w:hAnsi="Calibri" w:cs="Calibri"/>
        </w:rPr>
        <w:t>Write to all local authorities and integrated care boards</w:t>
      </w:r>
      <w:r w:rsidRPr="00816934">
        <w:rPr>
          <w:rFonts w:ascii="Calibri" w:hAnsi="Calibri" w:cs="Calibri"/>
        </w:rPr>
        <w:t xml:space="preserve"> (ICBs)</w:t>
      </w:r>
      <w:r w:rsidRPr="00816934">
        <w:rPr>
          <w:rFonts w:ascii="Calibri" w:hAnsi="Calibri" w:cs="Calibri"/>
        </w:rPr>
        <w:t xml:space="preserve"> to highlight the importance of starting transition planning early.</w:t>
      </w:r>
    </w:p>
    <w:p w:rsidR="00E9765F" w:rsidRPr="00816934" w:rsidP="004C3745">
      <w:pPr>
        <w:pStyle w:val="ListParagraph"/>
        <w:spacing w:after="0"/>
        <w:ind w:left="1440"/>
        <w:rPr>
          <w:rFonts w:ascii="Calibri" w:eastAsia="FS Mencap" w:hAnsi="Calibri" w:cs="Calibri"/>
        </w:rPr>
      </w:pPr>
    </w:p>
    <w:p w:rsidR="00E9765F" w:rsidRPr="00816934" w:rsidP="004C3745">
      <w:pPr>
        <w:pStyle w:val="ListParagraph"/>
        <w:numPr>
          <w:ilvl w:val="1"/>
          <w:numId w:val="17"/>
        </w:numPr>
        <w:spacing w:after="0"/>
        <w:rPr>
          <w:rFonts w:ascii="Calibri" w:eastAsia="FS Mencap" w:hAnsi="Calibri" w:cs="Calibri"/>
        </w:rPr>
      </w:pPr>
      <w:r w:rsidRPr="00816934">
        <w:rPr>
          <w:rFonts w:ascii="Calibri" w:hAnsi="Calibri" w:cs="Calibri"/>
        </w:rPr>
        <w:t>Facilitate a transition community of practice, including sharing examples of good practice and high quality training.</w:t>
      </w:r>
    </w:p>
    <w:p w:rsidR="00E9765F" w:rsidRPr="00816934" w:rsidP="004C3745">
      <w:pPr>
        <w:pStyle w:val="ListParagraph"/>
        <w:spacing w:after="0"/>
        <w:ind w:left="1440"/>
        <w:rPr>
          <w:rFonts w:ascii="Calibri" w:eastAsia="FS Mencap" w:hAnsi="Calibri" w:cs="Calibri"/>
        </w:rPr>
      </w:pPr>
    </w:p>
    <w:p w:rsidR="00E9765F" w:rsidRPr="00816934" w:rsidP="004C3745">
      <w:pPr>
        <w:pStyle w:val="ListParagraph"/>
        <w:numPr>
          <w:ilvl w:val="1"/>
          <w:numId w:val="17"/>
        </w:numPr>
        <w:spacing w:after="0"/>
        <w:rPr>
          <w:rFonts w:ascii="Calibri" w:eastAsia="FS Mencap" w:hAnsi="Calibri" w:cs="Calibri"/>
        </w:rPr>
      </w:pPr>
      <w:r w:rsidRPr="00816934">
        <w:rPr>
          <w:rFonts w:ascii="Calibri" w:hAnsi="Calibri" w:cs="Calibri"/>
        </w:rPr>
        <w:t>Introduce a Transition Coordinator who is trained in augmentative and alternative communication</w:t>
      </w:r>
      <w:r w:rsidRPr="00816934">
        <w:rPr>
          <w:rFonts w:ascii="Calibri" w:hAnsi="Calibri" w:cs="Calibri"/>
        </w:rPr>
        <w:t xml:space="preserve"> tools (AACs)</w:t>
      </w:r>
      <w:r w:rsidRPr="00816934">
        <w:rPr>
          <w:rFonts w:ascii="Calibri" w:hAnsi="Calibri" w:cs="Calibri"/>
        </w:rPr>
        <w:t xml:space="preserve"> and will help explain people’s options, entitlements, and rights, focusing one what is possible, such as bespoke packages of care and support.</w:t>
      </w:r>
    </w:p>
    <w:p w:rsidR="00E9765F" w:rsidRPr="00816934" w:rsidP="004C3745">
      <w:pPr>
        <w:spacing w:after="0"/>
        <w:rPr>
          <w:rFonts w:ascii="Calibri" w:eastAsia="FS Mencap" w:hAnsi="Calibri" w:cs="Calibri"/>
        </w:rPr>
      </w:pPr>
    </w:p>
    <w:p w:rsidR="00E9765F" w:rsidRPr="00816934" w:rsidP="004C3745">
      <w:pPr>
        <w:spacing w:after="0"/>
        <w:rPr>
          <w:rFonts w:ascii="Calibri" w:eastAsia="FS Mencap" w:hAnsi="Calibri" w:cs="Calibri"/>
        </w:rPr>
      </w:pPr>
    </w:p>
    <w:p w:rsidR="00E9765F" w:rsidRPr="00816934" w:rsidP="004C3745">
      <w:pPr>
        <w:pStyle w:val="Heading2"/>
        <w:rPr>
          <w:rFonts w:ascii="Calibri" w:hAnsi="Calibri" w:cs="Calibri"/>
        </w:rPr>
      </w:pPr>
      <w:bookmarkStart w:id="6" w:name="_Toc229157331"/>
      <w:r w:rsidRPr="00816934">
        <w:rPr>
          <w:rFonts w:ascii="Calibri" w:hAnsi="Calibri" w:cs="Calibri"/>
        </w:rPr>
        <w:t>2.2 Appropriateness - Are current guidelines and guidance in this area appropriate for children and young people, and for the health and social care professionals involved?</w:t>
      </w:r>
      <w:bookmarkEnd w:id="6"/>
    </w:p>
    <w:p w:rsidR="00E9765F" w:rsidRPr="00816934" w:rsidP="004C3745">
      <w:pPr>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 xml:space="preserve">Guidance and information on social care generally is often inaccessible and difficult for </w:t>
      </w:r>
      <w:r w:rsidRPr="00816934">
        <w:rPr>
          <w:rFonts w:ascii="Calibri" w:eastAsia="FS Mencap" w:hAnsi="Calibri" w:cs="Calibri"/>
        </w:rPr>
        <w:t>people with a learning disability</w:t>
      </w:r>
      <w:r w:rsidRPr="00816934">
        <w:rPr>
          <w:rFonts w:ascii="Calibri" w:eastAsia="FS Mencap" w:hAnsi="Calibri" w:cs="Calibri"/>
        </w:rPr>
        <w:t xml:space="preserve"> and families to negotiate, as we often hear </w:t>
      </w:r>
      <w:r w:rsidRPr="00816934">
        <w:rPr>
          <w:rFonts w:ascii="Calibri" w:eastAsia="FS Mencap" w:hAnsi="Calibri" w:cs="Calibri"/>
        </w:rPr>
        <w:t>through our Mencap helpline, with social care being the top enquiry topic from April 2025 to April 2026. Over 1 in 10 (11%) of all calls which came into our helpline in that period were related to social care.</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 xml:space="preserve">We also had a number of calls directly relating to transitions to adulthood, with the most frequent enquiries relating to information about transition assessments, general information about SEND transitions, and challenging decisions. We hear that current practices regarding transitions are often ignored by statutory authorities and there are marked disconnects between children’s and adult’s services. These sub-topics of enquiry indicate that people contacting Mencap’s helpline are struggling to access the </w:t>
      </w:r>
      <w:r w:rsidRPr="00816934">
        <w:rPr>
          <w:rFonts w:ascii="Calibri" w:eastAsia="FS Mencap" w:hAnsi="Calibri" w:cs="Calibri"/>
        </w:rPr>
        <w:t>right information and support through statutory means and are having to seek our helpline, a</w:t>
      </w:r>
      <w:r w:rsidRPr="00816934">
        <w:rPr>
          <w:rFonts w:ascii="Calibri" w:eastAsia="FS Mencap" w:hAnsi="Calibri" w:cs="Calibri"/>
        </w:rPr>
        <w:t>mong a range of other</w:t>
      </w:r>
      <w:r w:rsidRPr="00816934">
        <w:rPr>
          <w:rFonts w:ascii="Calibri" w:eastAsia="FS Mencap" w:hAnsi="Calibri" w:cs="Calibri"/>
        </w:rPr>
        <w:t xml:space="preserve"> organisations, to find the right information, advice, and support to guide them through the transitions process. </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 xml:space="preserve">In terms of general information and guidance that can best support children and young people through the children’s social care system and transitions processes, here </w:t>
      </w:r>
      <w:r w:rsidRPr="00816934">
        <w:rPr>
          <w:rFonts w:ascii="Calibri" w:eastAsia="FS Mencap" w:hAnsi="Calibri" w:cs="Calibri"/>
        </w:rPr>
        <w:t>are</w:t>
      </w:r>
      <w:r w:rsidRPr="00816934">
        <w:rPr>
          <w:rFonts w:ascii="Calibri" w:eastAsia="FS Mencap" w:hAnsi="Calibri" w:cs="Calibri"/>
        </w:rPr>
        <w:t xml:space="preserve"> what </w:t>
      </w:r>
      <w:r w:rsidRPr="00816934">
        <w:rPr>
          <w:rFonts w:ascii="Calibri" w:eastAsia="FS Mencap" w:hAnsi="Calibri" w:cs="Calibri"/>
        </w:rPr>
        <w:t>we</w:t>
      </w:r>
      <w:r w:rsidRPr="00816934">
        <w:rPr>
          <w:rFonts w:ascii="Calibri" w:eastAsia="FS Mencap" w:hAnsi="Calibri" w:cs="Calibri"/>
        </w:rPr>
        <w:t xml:space="preserve"> believe are the best practices:</w:t>
      </w:r>
    </w:p>
    <w:p w:rsidR="00E9765F" w:rsidRPr="00816934" w:rsidP="004C3745">
      <w:pPr>
        <w:pStyle w:val="ListParagraph"/>
        <w:spacing w:after="0"/>
        <w:ind w:left="1440"/>
        <w:rPr>
          <w:rFonts w:ascii="Calibri" w:eastAsia="FS Mencap" w:hAnsi="Calibri" w:cs="Calibri"/>
        </w:rPr>
      </w:pPr>
    </w:p>
    <w:p w:rsidR="00E9765F" w:rsidRPr="00816934" w:rsidP="004C3745">
      <w:pPr>
        <w:pStyle w:val="ListParagraph"/>
        <w:numPr>
          <w:ilvl w:val="1"/>
          <w:numId w:val="17"/>
        </w:numPr>
        <w:spacing w:after="0"/>
        <w:rPr>
          <w:rFonts w:ascii="Calibri" w:eastAsia="FS Mencap" w:hAnsi="Calibri" w:cs="Calibri"/>
        </w:rPr>
      </w:pPr>
      <w:r w:rsidRPr="00816934">
        <w:rPr>
          <w:rFonts w:ascii="Calibri" w:eastAsia="FS Mencap" w:hAnsi="Calibri" w:cs="Calibri"/>
        </w:rPr>
        <w:t>Information, advice, and guidance for children and young people with a learning disability and their families should be available early, accessible, joined-up, and family-centred.</w:t>
      </w:r>
    </w:p>
    <w:p w:rsidR="00E9765F" w:rsidRPr="00816934" w:rsidP="004C3745">
      <w:pPr>
        <w:pStyle w:val="ListParagraph"/>
        <w:spacing w:after="0"/>
        <w:ind w:left="1440"/>
        <w:rPr>
          <w:rFonts w:ascii="Calibri" w:eastAsia="FS Mencap" w:hAnsi="Calibri" w:cs="Calibri"/>
        </w:rPr>
      </w:pPr>
    </w:p>
    <w:p w:rsidR="00E9765F" w:rsidRPr="00816934" w:rsidP="004C3745">
      <w:pPr>
        <w:pStyle w:val="ListParagraph"/>
        <w:numPr>
          <w:ilvl w:val="1"/>
          <w:numId w:val="17"/>
        </w:numPr>
        <w:spacing w:after="0"/>
        <w:rPr>
          <w:rFonts w:ascii="Calibri" w:eastAsia="FS Mencap" w:hAnsi="Calibri" w:cs="Calibri"/>
        </w:rPr>
      </w:pPr>
      <w:r w:rsidRPr="00816934">
        <w:rPr>
          <w:rFonts w:ascii="Calibri" w:eastAsia="FS Mencap" w:hAnsi="Calibri" w:cs="Calibri"/>
        </w:rPr>
        <w:t>Families should be enabled to navigate the SEND system, regardless of their own needs, through the use of Easy Read guidance, accessible documentation, transparent communication, and working to understand cultural differences and the needs of multilingual families.</w:t>
      </w:r>
    </w:p>
    <w:p w:rsidR="00E9765F" w:rsidRPr="00816934" w:rsidP="004C3745">
      <w:pPr>
        <w:pStyle w:val="ListParagraph"/>
        <w:spacing w:after="0"/>
        <w:ind w:left="1440"/>
        <w:rPr>
          <w:rFonts w:ascii="Calibri" w:eastAsia="FS Mencap" w:hAnsi="Calibri" w:cs="Calibri"/>
        </w:rPr>
      </w:pPr>
    </w:p>
    <w:p w:rsidR="00E9765F" w:rsidRPr="00816934" w:rsidP="004C3745">
      <w:pPr>
        <w:pStyle w:val="ListParagraph"/>
        <w:numPr>
          <w:ilvl w:val="1"/>
          <w:numId w:val="17"/>
        </w:numPr>
        <w:spacing w:after="0"/>
        <w:rPr>
          <w:rFonts w:ascii="Calibri" w:eastAsia="FS Mencap" w:hAnsi="Calibri" w:cs="Calibri"/>
        </w:rPr>
      </w:pPr>
      <w:r w:rsidRPr="00816934">
        <w:rPr>
          <w:rFonts w:ascii="Calibri" w:eastAsia="FS Mencap" w:hAnsi="Calibri" w:cs="Calibri"/>
        </w:rPr>
        <w:t>Families and children in early years should be made aware of how the SEND system operates to ensure they are fully informed from the earliest point, to ensure they are meaningfully engaged and empowered from the start of their involvement with SEND and social care systems.</w:t>
      </w:r>
    </w:p>
    <w:p w:rsidR="00E9765F" w:rsidRPr="00816934" w:rsidP="004C3745">
      <w:pPr>
        <w:pStyle w:val="ListParagraph"/>
        <w:spacing w:after="0"/>
        <w:ind w:left="1440"/>
        <w:rPr>
          <w:rFonts w:ascii="Calibri" w:eastAsia="FS Mencap" w:hAnsi="Calibri" w:cs="Calibri"/>
        </w:rPr>
      </w:pPr>
    </w:p>
    <w:p w:rsidR="00E9765F" w:rsidRPr="00816934" w:rsidP="004C3745">
      <w:pPr>
        <w:pStyle w:val="ListParagraph"/>
        <w:numPr>
          <w:ilvl w:val="1"/>
          <w:numId w:val="17"/>
        </w:numPr>
        <w:spacing w:after="0"/>
        <w:rPr>
          <w:rFonts w:ascii="Calibri" w:eastAsia="FS Mencap" w:hAnsi="Calibri" w:cs="Calibri"/>
        </w:rPr>
      </w:pPr>
      <w:r w:rsidRPr="00816934">
        <w:rPr>
          <w:rFonts w:ascii="Calibri" w:eastAsia="FS Mencap" w:hAnsi="Calibri" w:cs="Calibri"/>
        </w:rPr>
        <w:t>Young people should have clear pathways communicated, in a variety of ways, to clearly identify post-16 opportunities, transitional pathways, and support moving forwards. This planning should start from the age of 14 (year 9) onwards as standard.</w:t>
      </w:r>
    </w:p>
    <w:p w:rsidR="00E9765F" w:rsidRPr="00816934" w:rsidP="004C3745">
      <w:pPr>
        <w:pStyle w:val="ListParagraph"/>
        <w:spacing w:after="0"/>
        <w:ind w:left="1440"/>
        <w:rPr>
          <w:rFonts w:ascii="Calibri" w:eastAsia="FS Mencap" w:hAnsi="Calibri" w:cs="Calibri"/>
        </w:rPr>
      </w:pPr>
    </w:p>
    <w:p w:rsidR="00E9765F" w:rsidRPr="00816934" w:rsidP="004C3745">
      <w:pPr>
        <w:pStyle w:val="ListParagraph"/>
        <w:numPr>
          <w:ilvl w:val="1"/>
          <w:numId w:val="17"/>
        </w:numPr>
        <w:spacing w:after="0"/>
        <w:rPr>
          <w:rFonts w:ascii="Calibri" w:eastAsia="FS Mencap" w:hAnsi="Calibri" w:cs="Calibri"/>
        </w:rPr>
      </w:pPr>
      <w:r w:rsidRPr="00816934">
        <w:rPr>
          <w:rFonts w:ascii="Calibri" w:eastAsia="FS Mencap" w:hAnsi="Calibri" w:cs="Calibri"/>
        </w:rPr>
        <w:t>Pathways of redress and complaint should be clearly articulated in a multitude of communication forms to parents, children, and young people, prior to the points of any escalation.</w:t>
      </w:r>
    </w:p>
    <w:p w:rsidR="00E9765F" w:rsidRPr="00816934" w:rsidP="004C3745">
      <w:pPr>
        <w:spacing w:after="0"/>
        <w:rPr>
          <w:rFonts w:ascii="Calibri" w:eastAsia="FS Mencap" w:hAnsi="Calibri" w:cs="Calibri"/>
        </w:rPr>
      </w:pPr>
    </w:p>
    <w:p w:rsidR="00E9765F" w:rsidRPr="00816934" w:rsidP="004C3745">
      <w:pPr>
        <w:spacing w:after="0"/>
        <w:rPr>
          <w:rFonts w:ascii="Calibri" w:eastAsia="FS Mencap" w:hAnsi="Calibri" w:cs="Calibri"/>
        </w:rPr>
      </w:pPr>
    </w:p>
    <w:p w:rsidR="00E9765F" w:rsidRPr="00816934" w:rsidP="004C3745">
      <w:pPr>
        <w:pStyle w:val="Heading1"/>
        <w:rPr>
          <w:rFonts w:ascii="Calibri" w:hAnsi="Calibri" w:cs="Calibri"/>
        </w:rPr>
      </w:pPr>
      <w:bookmarkStart w:id="7" w:name="_Toc229157332"/>
      <w:r w:rsidRPr="00816934">
        <w:rPr>
          <w:rFonts w:ascii="Calibri" w:hAnsi="Calibri" w:cs="Calibri"/>
        </w:rPr>
        <w:t>3.</w:t>
      </w:r>
      <w:r w:rsidRPr="00816934">
        <w:rPr>
          <w:rFonts w:ascii="Calibri" w:hAnsi="Calibri" w:cs="Calibri"/>
        </w:rPr>
        <w:t xml:space="preserve"> Meaningful involvement of children, young people and their carers</w:t>
      </w:r>
      <w:bookmarkEnd w:id="7"/>
    </w:p>
    <w:p w:rsidR="00E9765F" w:rsidRPr="00816934" w:rsidP="004C3745">
      <w:pPr>
        <w:spacing w:after="0"/>
        <w:rPr>
          <w:rFonts w:ascii="Calibri" w:hAnsi="Calibri" w:cs="Calibri"/>
        </w:rPr>
      </w:pPr>
    </w:p>
    <w:p w:rsidR="00E9765F" w:rsidRPr="00816934" w:rsidP="004C3745">
      <w:pPr>
        <w:pStyle w:val="Heading2"/>
        <w:rPr>
          <w:rFonts w:ascii="Calibri" w:hAnsi="Calibri" w:cs="Calibri"/>
        </w:rPr>
      </w:pPr>
      <w:bookmarkStart w:id="8" w:name="_Toc229157333"/>
      <w:r w:rsidRPr="00816934">
        <w:rPr>
          <w:rFonts w:ascii="Calibri" w:hAnsi="Calibri" w:cs="Calibri"/>
        </w:rPr>
        <w:t>3.</w:t>
      </w:r>
      <w:r w:rsidRPr="00816934">
        <w:rPr>
          <w:rFonts w:ascii="Calibri" w:hAnsi="Calibri" w:cs="Calibri"/>
        </w:rPr>
        <w:t>1</w:t>
      </w:r>
      <w:r w:rsidRPr="00816934">
        <w:rPr>
          <w:rFonts w:ascii="Calibri" w:hAnsi="Calibri" w:cs="Calibri"/>
        </w:rPr>
        <w:t>.1</w:t>
      </w:r>
      <w:r w:rsidRPr="00816934">
        <w:rPr>
          <w:rFonts w:ascii="Calibri" w:hAnsi="Calibri" w:cs="Calibri"/>
        </w:rPr>
        <w:t xml:space="preserve"> </w:t>
      </w:r>
      <w:r w:rsidRPr="00816934">
        <w:rPr>
          <w:rFonts w:ascii="Calibri" w:hAnsi="Calibri" w:cs="Calibri"/>
        </w:rPr>
        <w:t>Effectiveness and implementation</w:t>
      </w:r>
      <w:r w:rsidRPr="00816934">
        <w:rPr>
          <w:rFonts w:ascii="Calibri" w:hAnsi="Calibri" w:cs="Calibri"/>
        </w:rPr>
        <w:t xml:space="preserve"> - </w:t>
      </w:r>
      <w:r w:rsidRPr="00816934">
        <w:rPr>
          <w:rFonts w:ascii="Calibri" w:hAnsi="Calibri" w:cs="Calibri"/>
        </w:rPr>
        <w:t>How are young people, and their carers, involved in their transition planning and what methods are effective in supporting involvement?</w:t>
      </w:r>
      <w:bookmarkEnd w:id="8"/>
    </w:p>
    <w:p w:rsidR="00E9765F" w:rsidRPr="00816934" w:rsidP="004C3745">
      <w:pPr>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Including families in SEND decision-making is a statutory requirement under the Children and Families Act 2014, largely underpinned by the current SEND Code of Practice. This requirement states</w:t>
      </w:r>
      <w:r w:rsidRPr="00816934">
        <w:rPr>
          <w:rFonts w:ascii="Calibri" w:eastAsia="FS Mencap" w:hAnsi="Calibri" w:cs="Calibri"/>
        </w:rPr>
        <w:t xml:space="preserve"> that</w:t>
      </w:r>
      <w:r w:rsidRPr="00816934">
        <w:rPr>
          <w:rFonts w:ascii="Calibri" w:eastAsia="FS Mencap" w:hAnsi="Calibri" w:cs="Calibri"/>
        </w:rPr>
        <w:t xml:space="preserve"> schools and local authorities </w:t>
      </w:r>
      <w:r w:rsidRPr="00816934">
        <w:rPr>
          <w:rFonts w:ascii="Calibri" w:eastAsia="FS Mencap" w:hAnsi="Calibri" w:cs="Calibri"/>
        </w:rPr>
        <w:t>must</w:t>
      </w:r>
      <w:r w:rsidRPr="00816934">
        <w:rPr>
          <w:rFonts w:ascii="Calibri" w:eastAsia="FS Mencap" w:hAnsi="Calibri" w:cs="Calibri"/>
        </w:rPr>
        <w:t xml:space="preserve"> ensure parents, children, and young people are involved from the earliest opportunity in identifying needs, planning support, reviewing outcomes, and wider decision making and influence</w:t>
      </w:r>
      <w:r>
        <w:rPr>
          <w:rStyle w:val="FootnoteReference"/>
          <w:rFonts w:ascii="Calibri" w:eastAsia="FS Mencap" w:hAnsi="Calibri" w:cs="Calibri"/>
        </w:rPr>
        <w:footnoteReference w:id="18"/>
      </w:r>
      <w:r w:rsidRPr="00816934">
        <w:rPr>
          <w:rFonts w:ascii="Calibri" w:eastAsia="FS Mencap" w:hAnsi="Calibri" w:cs="Calibri"/>
        </w:rPr>
        <w:t>, although experiences often undermine the strength of this statutory duty.</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However, the needs of children, young adults, and their families are often not sufficiently addressed, which leads them to feel inadequately supported in the process of transition to adulthood</w:t>
      </w:r>
      <w:r>
        <w:rPr>
          <w:rFonts w:ascii="Calibri" w:hAnsi="Calibri" w:cs="Calibri"/>
          <w:vertAlign w:val="superscript"/>
        </w:rPr>
        <w:footnoteReference w:id="19"/>
      </w:r>
      <w:r w:rsidRPr="00816934">
        <w:rPr>
          <w:rFonts w:ascii="Calibri" w:eastAsia="FS Mencap" w:hAnsi="Calibri" w:cs="Calibri"/>
        </w:rPr>
        <w:t>. Families generally experience </w:t>
      </w:r>
      <w:r w:rsidRPr="00816934">
        <w:rPr>
          <w:rFonts w:ascii="Calibri" w:eastAsia="FS Mencap" w:hAnsi="Calibri" w:cs="Calibri"/>
        </w:rPr>
        <w:t>feeling</w:t>
      </w:r>
      <w:r w:rsidRPr="00816934">
        <w:rPr>
          <w:rFonts w:ascii="Calibri" w:eastAsia="FS Mencap" w:hAnsi="Calibri" w:cs="Calibri"/>
        </w:rPr>
        <w:t xml:space="preserve"> left out of discussions and decisions about their child or young person's support</w:t>
      </w:r>
      <w:r>
        <w:rPr>
          <w:rStyle w:val="FootnoteReference"/>
          <w:rFonts w:ascii="Calibri" w:eastAsia="FS Mencap" w:hAnsi="Calibri" w:cs="Calibri"/>
        </w:rPr>
        <w:footnoteReference w:id="20"/>
      </w:r>
      <w:r w:rsidRPr="00816934">
        <w:rPr>
          <w:rFonts w:ascii="Calibri" w:eastAsia="FS Mencap" w:hAnsi="Calibri" w:cs="Calibri"/>
        </w:rPr>
        <w:t>. Evidence suggests that children and their families are often consulted, rather than meaningfully included in engagement that is structural, substantive and coproduced. The Fight for Ordinary report highlights that families often experience SEND planning as distant and reactive, with limited influence on decisions that determine the support their children receive, particularly where mainstream provision is insufficient, and statutory protections apply unevenly</w:t>
      </w:r>
      <w:r>
        <w:rPr>
          <w:rStyle w:val="FootnoteReference"/>
          <w:rFonts w:ascii="Calibri" w:eastAsia="FS Mencap" w:hAnsi="Calibri" w:cs="Calibri"/>
        </w:rPr>
        <w:footnoteReference w:id="21"/>
      </w:r>
      <w:r w:rsidRPr="00816934">
        <w:rPr>
          <w:rFonts w:ascii="Calibri" w:eastAsia="FS Mencap" w:hAnsi="Calibri" w:cs="Calibri"/>
        </w:rPr>
        <w:t>.</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There is also little</w:t>
      </w:r>
      <w:r w:rsidRPr="00816934">
        <w:rPr>
          <w:rFonts w:ascii="Calibri" w:eastAsia="FS Mencap" w:hAnsi="Calibri" w:cs="Calibri"/>
        </w:rPr>
        <w:t xml:space="preserve"> existing</w:t>
      </w:r>
      <w:r w:rsidRPr="00816934">
        <w:rPr>
          <w:rFonts w:ascii="Calibri" w:eastAsia="FS Mencap" w:hAnsi="Calibri" w:cs="Calibri"/>
        </w:rPr>
        <w:t xml:space="preserve"> guidance about how pupil voice should be elicited in practice, especially for people with a learning disability with complex communication needs. Through utilisation of communication models including </w:t>
      </w:r>
      <w:r w:rsidRPr="00816934">
        <w:rPr>
          <w:rFonts w:ascii="Calibri" w:eastAsia="FS Mencap" w:hAnsi="Calibri" w:cs="Calibri"/>
        </w:rPr>
        <w:t>AACs</w:t>
      </w:r>
      <w:r w:rsidRPr="00816934">
        <w:rPr>
          <w:rFonts w:ascii="Calibri" w:eastAsia="FS Mencap" w:hAnsi="Calibri" w:cs="Calibri"/>
        </w:rPr>
        <w:t xml:space="preserve">, children and young people with moderate, severe and profound learning disabilities can respond </w:t>
      </w:r>
      <w:r w:rsidRPr="00816934">
        <w:rPr>
          <w:rFonts w:ascii="Calibri" w:eastAsia="FS Mencap" w:hAnsi="Calibri" w:cs="Calibri"/>
        </w:rPr>
        <w:t>to a range of questions alongside triangulated information from family carers, teachers and therapists</w:t>
      </w:r>
      <w:r>
        <w:rPr>
          <w:rStyle w:val="FootnoteReference"/>
          <w:rFonts w:ascii="Calibri" w:eastAsia="FS Mencap" w:hAnsi="Calibri" w:cs="Calibri"/>
        </w:rPr>
        <w:footnoteReference w:id="22"/>
      </w:r>
      <w:r w:rsidRPr="00816934">
        <w:rPr>
          <w:rFonts w:ascii="Calibri" w:eastAsia="FS Mencap" w:hAnsi="Calibri" w:cs="Calibri"/>
        </w:rPr>
        <w:t>.</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There have been various projects</w:t>
      </w:r>
      <w:r>
        <w:rPr>
          <w:rStyle w:val="FootnoteReference"/>
          <w:rFonts w:ascii="Calibri" w:eastAsia="FS Mencap" w:hAnsi="Calibri" w:cs="Calibri"/>
        </w:rPr>
        <w:footnoteReference w:id="23"/>
      </w:r>
      <w:r w:rsidRPr="00816934">
        <w:rPr>
          <w:rFonts w:ascii="Calibri" w:eastAsia="FS Mencap" w:hAnsi="Calibri" w:cs="Calibri"/>
        </w:rPr>
        <w:t xml:space="preserve"> that show how creative approaches</w:t>
      </w:r>
      <w:r w:rsidRPr="00816934">
        <w:rPr>
          <w:rFonts w:ascii="Calibri" w:eastAsia="FS Mencap" w:hAnsi="Calibri" w:cs="Calibri"/>
        </w:rPr>
        <w:t xml:space="preserve"> - </w:t>
      </w:r>
      <w:r w:rsidRPr="00816934">
        <w:rPr>
          <w:rFonts w:ascii="Calibri" w:eastAsia="FS Mencap" w:hAnsi="Calibri" w:cs="Calibri"/>
        </w:rPr>
        <w:t>which</w:t>
      </w:r>
      <w:r w:rsidRPr="00816934">
        <w:rPr>
          <w:rFonts w:ascii="Calibri" w:eastAsia="FS Mencap" w:hAnsi="Calibri" w:cs="Calibri"/>
        </w:rPr>
        <w:t xml:space="preserve"> put the person at the centre, support the person to express what is important to them</w:t>
      </w:r>
      <w:r w:rsidRPr="00816934">
        <w:rPr>
          <w:rFonts w:ascii="Calibri" w:eastAsia="FS Mencap" w:hAnsi="Calibri" w:cs="Calibri"/>
        </w:rPr>
        <w:t>,</w:t>
      </w:r>
      <w:r w:rsidRPr="00816934">
        <w:rPr>
          <w:rFonts w:ascii="Calibri" w:eastAsia="FS Mencap" w:hAnsi="Calibri" w:cs="Calibri"/>
        </w:rPr>
        <w:t xml:space="preserve"> and support the person to share this with others - can be used to meaningfully involve people with severe and profound learning disabilities, who may use little formal communication, in decision-making processes. </w:t>
      </w:r>
    </w:p>
    <w:p w:rsidR="00E9765F" w:rsidRPr="00816934" w:rsidP="004C3745">
      <w:pPr>
        <w:spacing w:after="0"/>
        <w:rPr>
          <w:rFonts w:ascii="Calibri" w:eastAsia="FS Mencap" w:hAnsi="Calibri" w:cs="Calibri"/>
        </w:rPr>
      </w:pPr>
    </w:p>
    <w:p w:rsidR="00E9765F" w:rsidRPr="00816934" w:rsidP="004C3745">
      <w:pPr>
        <w:spacing w:after="0"/>
        <w:rPr>
          <w:rFonts w:ascii="Calibri" w:eastAsia="FS Mencap" w:hAnsi="Calibri" w:cs="Calibri"/>
        </w:rPr>
      </w:pPr>
    </w:p>
    <w:p w:rsidR="00E9765F" w:rsidRPr="00816934" w:rsidP="004C3745">
      <w:pPr>
        <w:pStyle w:val="Heading2"/>
        <w:rPr>
          <w:rFonts w:ascii="Calibri" w:hAnsi="Calibri" w:cs="Calibri"/>
        </w:rPr>
      </w:pPr>
      <w:bookmarkStart w:id="9" w:name="_Toc229157334"/>
      <w:r w:rsidRPr="00816934">
        <w:rPr>
          <w:rFonts w:ascii="Calibri" w:hAnsi="Calibri" w:cs="Calibri"/>
        </w:rPr>
        <w:t>3.</w:t>
      </w:r>
      <w:r w:rsidRPr="00816934">
        <w:rPr>
          <w:rFonts w:ascii="Calibri" w:hAnsi="Calibri" w:cs="Calibri"/>
        </w:rPr>
        <w:t>1</w:t>
      </w:r>
      <w:r w:rsidRPr="00816934">
        <w:rPr>
          <w:rFonts w:ascii="Calibri" w:hAnsi="Calibri" w:cs="Calibri"/>
        </w:rPr>
        <w:t xml:space="preserve">.2 Effectiveness and implementation - </w:t>
      </w:r>
      <w:r w:rsidRPr="00816934">
        <w:rPr>
          <w:rFonts w:ascii="Calibri" w:hAnsi="Calibri" w:cs="Calibri"/>
        </w:rPr>
        <w:t>What does effective inclusion of young people in the planning and delivery of their transition look like?</w:t>
      </w:r>
      <w:bookmarkEnd w:id="9"/>
    </w:p>
    <w:p w:rsidR="00E9765F" w:rsidRPr="00816934" w:rsidP="004C3745">
      <w:pPr>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We</w:t>
      </w:r>
      <w:r w:rsidRPr="00816934">
        <w:rPr>
          <w:rFonts w:ascii="Calibri" w:eastAsia="FS Mencap" w:hAnsi="Calibri" w:cs="Calibri"/>
        </w:rPr>
        <w:t xml:space="preserve"> recommend the following steps in order to include children, young people, and their families in SEND and transitional decision-making:</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1"/>
          <w:numId w:val="17"/>
        </w:numPr>
        <w:spacing w:after="0"/>
        <w:rPr>
          <w:rFonts w:ascii="Calibri" w:eastAsia="FS Mencap" w:hAnsi="Calibri" w:cs="Calibri"/>
        </w:rPr>
      </w:pPr>
      <w:r w:rsidRPr="00816934">
        <w:rPr>
          <w:rFonts w:ascii="Calibri" w:eastAsia="FS Mencap" w:hAnsi="Calibri" w:cs="Calibri"/>
        </w:rPr>
        <w:t>Ensure children and young people with</w:t>
      </w:r>
      <w:r w:rsidRPr="00816934">
        <w:rPr>
          <w:rFonts w:ascii="Calibri" w:eastAsia="FS Mencap" w:hAnsi="Calibri" w:cs="Calibri"/>
        </w:rPr>
        <w:t xml:space="preserve"> a</w:t>
      </w:r>
      <w:r w:rsidRPr="00816934">
        <w:rPr>
          <w:rFonts w:ascii="Calibri" w:eastAsia="FS Mencap" w:hAnsi="Calibri" w:cs="Calibri"/>
        </w:rPr>
        <w:t xml:space="preserve"> learning disabilit</w:t>
      </w:r>
      <w:r w:rsidRPr="00816934">
        <w:rPr>
          <w:rFonts w:ascii="Calibri" w:eastAsia="FS Mencap" w:hAnsi="Calibri" w:cs="Calibri"/>
        </w:rPr>
        <w:t>y</w:t>
      </w:r>
      <w:r w:rsidRPr="00816934">
        <w:rPr>
          <w:rFonts w:ascii="Calibri" w:eastAsia="FS Mencap" w:hAnsi="Calibri" w:cs="Calibri"/>
        </w:rPr>
        <w:t xml:space="preserve"> themselves are represented in national consultations, advisory groups, and governance structures, with reasonable adjustments and supported participation.</w:t>
      </w:r>
    </w:p>
    <w:p w:rsidR="00E9765F" w:rsidRPr="00816934" w:rsidP="004C3745">
      <w:pPr>
        <w:pStyle w:val="ListParagraph"/>
        <w:spacing w:after="0"/>
        <w:ind w:left="1440"/>
        <w:rPr>
          <w:rFonts w:ascii="Calibri" w:eastAsia="FS Mencap" w:hAnsi="Calibri" w:cs="Calibri"/>
        </w:rPr>
      </w:pPr>
    </w:p>
    <w:p w:rsidR="00E9765F" w:rsidRPr="00816934" w:rsidP="004C3745">
      <w:pPr>
        <w:pStyle w:val="ListParagraph"/>
        <w:numPr>
          <w:ilvl w:val="1"/>
          <w:numId w:val="17"/>
        </w:numPr>
        <w:spacing w:after="0"/>
        <w:rPr>
          <w:rFonts w:ascii="Calibri" w:eastAsia="FS Mencap" w:hAnsi="Calibri" w:cs="Calibri"/>
        </w:rPr>
      </w:pPr>
      <w:r w:rsidRPr="00816934">
        <w:rPr>
          <w:rFonts w:ascii="Calibri" w:eastAsia="FS Mencap" w:hAnsi="Calibri" w:cs="Calibri"/>
        </w:rPr>
        <w:t>Provide clear national guidance on how to capture the views of children and young people with</w:t>
      </w:r>
      <w:r w:rsidRPr="00816934">
        <w:rPr>
          <w:rFonts w:ascii="Calibri" w:eastAsia="FS Mencap" w:hAnsi="Calibri" w:cs="Calibri"/>
        </w:rPr>
        <w:t xml:space="preserve"> a</w:t>
      </w:r>
      <w:r w:rsidRPr="00816934">
        <w:rPr>
          <w:rFonts w:ascii="Calibri" w:eastAsia="FS Mencap" w:hAnsi="Calibri" w:cs="Calibri"/>
        </w:rPr>
        <w:t xml:space="preserve"> </w:t>
      </w:r>
      <w:r w:rsidRPr="00816934">
        <w:rPr>
          <w:rFonts w:ascii="Calibri" w:eastAsia="FS Mencap" w:hAnsi="Calibri" w:cs="Calibri"/>
        </w:rPr>
        <w:t>learning disability</w:t>
      </w:r>
      <w:r w:rsidRPr="00816934">
        <w:rPr>
          <w:rFonts w:ascii="Calibri" w:eastAsia="FS Mencap" w:hAnsi="Calibri" w:cs="Calibri"/>
        </w:rPr>
        <w:t>, including those with complex communication needs.</w:t>
      </w:r>
    </w:p>
    <w:p w:rsidR="00E9765F" w:rsidRPr="00816934" w:rsidP="004C3745">
      <w:pPr>
        <w:pStyle w:val="ListParagraph"/>
        <w:spacing w:after="0"/>
        <w:ind w:left="1440"/>
        <w:rPr>
          <w:rFonts w:ascii="Calibri" w:eastAsia="FS Mencap" w:hAnsi="Calibri" w:cs="Calibri"/>
        </w:rPr>
      </w:pPr>
    </w:p>
    <w:p w:rsidR="00E9765F" w:rsidRPr="00816934" w:rsidP="004C3745">
      <w:pPr>
        <w:pStyle w:val="ListParagraph"/>
        <w:numPr>
          <w:ilvl w:val="1"/>
          <w:numId w:val="17"/>
        </w:numPr>
        <w:spacing w:after="0"/>
        <w:rPr>
          <w:rFonts w:ascii="Calibri" w:eastAsia="FS Mencap" w:hAnsi="Calibri" w:cs="Calibri"/>
        </w:rPr>
      </w:pPr>
      <w:r w:rsidRPr="00816934">
        <w:rPr>
          <w:rFonts w:ascii="Calibri" w:eastAsia="FS Mencap" w:hAnsi="Calibri" w:cs="Calibri"/>
        </w:rPr>
        <w:t xml:space="preserve">Ensure participation methods include accessible communication approaches such as </w:t>
      </w:r>
      <w:r w:rsidRPr="00816934">
        <w:rPr>
          <w:rFonts w:ascii="Calibri" w:eastAsia="FS Mencap" w:hAnsi="Calibri" w:cs="Calibri"/>
        </w:rPr>
        <w:t>AACs</w:t>
      </w:r>
      <w:r w:rsidRPr="00816934">
        <w:rPr>
          <w:rFonts w:ascii="Calibri" w:eastAsia="FS Mencap" w:hAnsi="Calibri" w:cs="Calibri"/>
        </w:rPr>
        <w:t>, Easy Read format</w:t>
      </w:r>
      <w:r w:rsidRPr="00816934">
        <w:rPr>
          <w:rFonts w:ascii="Calibri" w:eastAsia="FS Mencap" w:hAnsi="Calibri" w:cs="Calibri"/>
        </w:rPr>
        <w:t>s</w:t>
      </w:r>
      <w:r w:rsidRPr="00816934">
        <w:rPr>
          <w:rFonts w:ascii="Calibri" w:eastAsia="FS Mencap" w:hAnsi="Calibri" w:cs="Calibri"/>
        </w:rPr>
        <w:t>, visual supports, and supported conversation techniques</w:t>
      </w:r>
      <w:r w:rsidRPr="00816934">
        <w:rPr>
          <w:rFonts w:ascii="Calibri" w:eastAsia="FS Mencap" w:hAnsi="Calibri" w:cs="Calibri"/>
        </w:rPr>
        <w:t xml:space="preserve">, as well as creative approaches, such as </w:t>
      </w:r>
      <w:r w:rsidRPr="00816934">
        <w:rPr>
          <w:rFonts w:ascii="Calibri" w:eastAsia="FS Mencap" w:hAnsi="Calibri" w:cs="Calibri"/>
        </w:rPr>
        <w:t>multimedia</w:t>
      </w:r>
      <w:r w:rsidRPr="00816934">
        <w:rPr>
          <w:rFonts w:ascii="Calibri" w:eastAsia="FS Mencap" w:hAnsi="Calibri" w:cs="Calibri"/>
        </w:rPr>
        <w:t xml:space="preserve"> advocacy</w:t>
      </w:r>
      <w:r w:rsidRPr="00816934">
        <w:rPr>
          <w:rFonts w:ascii="Calibri" w:eastAsia="FS Mencap" w:hAnsi="Calibri" w:cs="Calibri"/>
        </w:rPr>
        <w:t>.</w:t>
      </w:r>
    </w:p>
    <w:p w:rsidR="00E9765F" w:rsidRPr="00816934" w:rsidP="004C3745">
      <w:pPr>
        <w:pStyle w:val="ListParagraph"/>
        <w:spacing w:after="0"/>
        <w:ind w:left="1440"/>
        <w:rPr>
          <w:rFonts w:ascii="Calibri" w:eastAsia="FS Mencap" w:hAnsi="Calibri" w:cs="Calibri"/>
        </w:rPr>
      </w:pPr>
    </w:p>
    <w:p w:rsidR="00E9765F" w:rsidRPr="00816934" w:rsidP="004C3745">
      <w:pPr>
        <w:pStyle w:val="ListParagraph"/>
        <w:numPr>
          <w:ilvl w:val="1"/>
          <w:numId w:val="17"/>
        </w:numPr>
        <w:spacing w:after="0"/>
        <w:rPr>
          <w:rFonts w:ascii="Calibri" w:eastAsia="FS Mencap" w:hAnsi="Calibri" w:cs="Calibri"/>
        </w:rPr>
      </w:pPr>
      <w:r w:rsidRPr="00816934">
        <w:rPr>
          <w:rFonts w:ascii="Calibri" w:eastAsia="FS Mencap" w:hAnsi="Calibri" w:cs="Calibri"/>
        </w:rPr>
        <w:t>Invest in independent advocacy and peer-led support so families of children with</w:t>
      </w:r>
      <w:r w:rsidRPr="00816934">
        <w:rPr>
          <w:rFonts w:ascii="Calibri" w:eastAsia="FS Mencap" w:hAnsi="Calibri" w:cs="Calibri"/>
        </w:rPr>
        <w:t xml:space="preserve"> a</w:t>
      </w:r>
      <w:r w:rsidRPr="00816934">
        <w:rPr>
          <w:rFonts w:ascii="Calibri" w:eastAsia="FS Mencap" w:hAnsi="Calibri" w:cs="Calibri"/>
        </w:rPr>
        <w:t xml:space="preserve"> </w:t>
      </w:r>
      <w:r w:rsidRPr="00816934">
        <w:rPr>
          <w:rFonts w:ascii="Calibri" w:eastAsia="FS Mencap" w:hAnsi="Calibri" w:cs="Calibri"/>
        </w:rPr>
        <w:t>learning disability</w:t>
      </w:r>
      <w:r w:rsidRPr="00816934">
        <w:rPr>
          <w:rFonts w:ascii="Calibri" w:eastAsia="FS Mencap" w:hAnsi="Calibri" w:cs="Calibri"/>
        </w:rPr>
        <w:t xml:space="preserve"> can participate in decision-making without needing specialist knowledge of SEND systems and transition processes.</w:t>
      </w:r>
    </w:p>
    <w:p w:rsidR="00E9765F" w:rsidRPr="00816934" w:rsidP="004C3745">
      <w:pPr>
        <w:pStyle w:val="ListParagraph"/>
        <w:spacing w:after="0"/>
        <w:ind w:left="1440"/>
        <w:rPr>
          <w:rFonts w:ascii="Calibri" w:eastAsia="FS Mencap" w:hAnsi="Calibri" w:cs="Calibri"/>
        </w:rPr>
      </w:pPr>
    </w:p>
    <w:p w:rsidR="00E9765F" w:rsidRPr="00816934" w:rsidP="004C3745">
      <w:pPr>
        <w:pStyle w:val="ListParagraph"/>
        <w:numPr>
          <w:ilvl w:val="1"/>
          <w:numId w:val="17"/>
        </w:numPr>
        <w:spacing w:after="0"/>
        <w:rPr>
          <w:rFonts w:ascii="Calibri" w:eastAsia="FS Mencap" w:hAnsi="Calibri" w:cs="Calibri"/>
        </w:rPr>
      </w:pPr>
      <w:r w:rsidRPr="00816934">
        <w:rPr>
          <w:rFonts w:ascii="Calibri" w:eastAsia="FS Mencap" w:hAnsi="Calibri" w:cs="Calibri"/>
        </w:rPr>
        <w:t>Require trauma-informed and culturally competent engagement approaches to reduce mistrust and barriers faced by families, particularly those from ethnic</w:t>
      </w:r>
      <w:r w:rsidRPr="00816934">
        <w:rPr>
          <w:rFonts w:ascii="Calibri" w:eastAsia="FS Mencap" w:hAnsi="Calibri" w:cs="Calibri"/>
        </w:rPr>
        <w:t>ally</w:t>
      </w:r>
      <w:r w:rsidRPr="00816934">
        <w:rPr>
          <w:rFonts w:ascii="Calibri" w:eastAsia="FS Mencap" w:hAnsi="Calibri" w:cs="Calibri"/>
        </w:rPr>
        <w:t xml:space="preserve"> minorit</w:t>
      </w:r>
      <w:r w:rsidRPr="00816934">
        <w:rPr>
          <w:rFonts w:ascii="Calibri" w:eastAsia="FS Mencap" w:hAnsi="Calibri" w:cs="Calibri"/>
        </w:rPr>
        <w:t>ised</w:t>
      </w:r>
      <w:r w:rsidRPr="00816934">
        <w:rPr>
          <w:rFonts w:ascii="Calibri" w:eastAsia="FS Mencap" w:hAnsi="Calibri" w:cs="Calibri"/>
        </w:rPr>
        <w:t xml:space="preserve"> communities and those with previously poor experiences.</w:t>
      </w:r>
    </w:p>
    <w:p w:rsidR="00E9765F" w:rsidRPr="00816934" w:rsidP="004C3745">
      <w:pPr>
        <w:pStyle w:val="ListParagraph"/>
        <w:spacing w:after="0"/>
        <w:ind w:left="1440"/>
        <w:rPr>
          <w:rFonts w:ascii="Calibri" w:eastAsia="FS Mencap" w:hAnsi="Calibri" w:cs="Calibri"/>
        </w:rPr>
      </w:pPr>
    </w:p>
    <w:p w:rsidR="00E9765F" w:rsidRPr="00816934" w:rsidP="004C3745">
      <w:pPr>
        <w:pStyle w:val="ListParagraph"/>
        <w:numPr>
          <w:ilvl w:val="1"/>
          <w:numId w:val="17"/>
        </w:numPr>
        <w:spacing w:after="0"/>
        <w:rPr>
          <w:rFonts w:ascii="Calibri" w:eastAsia="FS Mencap" w:hAnsi="Calibri" w:cs="Calibri"/>
        </w:rPr>
      </w:pPr>
      <w:r w:rsidRPr="00816934">
        <w:rPr>
          <w:rFonts w:ascii="Calibri" w:eastAsia="FS Mencap" w:hAnsi="Calibri" w:cs="Calibri"/>
        </w:rPr>
        <w:t>Make SEND evidence, local data, and policy decisions accessible to families, including clear explanations of how evidence informs local provision and support. </w:t>
      </w:r>
    </w:p>
    <w:p w:rsidR="00E9765F" w:rsidRPr="00816934" w:rsidP="004C3745">
      <w:pPr>
        <w:spacing w:after="0"/>
        <w:rPr>
          <w:rFonts w:ascii="Calibri" w:eastAsia="FS Mencap" w:hAnsi="Calibri" w:cs="Calibri"/>
        </w:rPr>
      </w:pPr>
    </w:p>
    <w:p w:rsidR="00E9765F" w:rsidRPr="00816934" w:rsidP="004C3745">
      <w:pPr>
        <w:spacing w:after="0"/>
        <w:rPr>
          <w:rFonts w:ascii="Calibri" w:eastAsia="FS Mencap" w:hAnsi="Calibri" w:cs="Calibri"/>
        </w:rPr>
      </w:pPr>
    </w:p>
    <w:p w:rsidR="00E9765F" w:rsidRPr="00816934" w:rsidP="004C3745">
      <w:pPr>
        <w:pStyle w:val="Heading2"/>
        <w:rPr>
          <w:rFonts w:ascii="Calibri" w:hAnsi="Calibri" w:cs="Calibri"/>
        </w:rPr>
      </w:pPr>
      <w:bookmarkStart w:id="10" w:name="_Toc229157335"/>
      <w:r w:rsidRPr="00816934">
        <w:rPr>
          <w:rFonts w:ascii="Calibri" w:hAnsi="Calibri" w:cs="Calibri"/>
        </w:rPr>
        <w:t>3.2 Impact and outcomes - What are the impacts of co-producing transition policies and strategies with children and young people?</w:t>
      </w:r>
      <w:bookmarkEnd w:id="10"/>
    </w:p>
    <w:p w:rsidR="00E9765F" w:rsidRPr="00816934" w:rsidP="004C3745">
      <w:pPr>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Embedding co-production into local SEND strategic planning and commissioning, with clear requirements for family involvement in setting priorities, reviewing outcomes, and shaping local service delivery, would help ensure that lived experience informs what counts as acceptable evidence and practice. Genuine involvement also requires that feedback loops are visible and meaningful, so families can see how their contributions influence policy and provision rather than being asked for views that are subsequentl</w:t>
      </w:r>
      <w:r w:rsidRPr="00816934">
        <w:rPr>
          <w:rFonts w:ascii="Calibri" w:eastAsia="FS Mencap" w:hAnsi="Calibri" w:cs="Calibri"/>
        </w:rPr>
        <w:t xml:space="preserve">y disregarded. </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At a national level, mechanisms such as surveys, advisory panels, and formal representation on SEND governance bodies must include disabled children and young people themselves, not only parents, and must be resourced so that participation is accessible (for example, supported communication</w:t>
      </w:r>
      <w:r w:rsidRPr="00816934">
        <w:rPr>
          <w:rFonts w:ascii="Calibri" w:eastAsia="FS Mencap" w:hAnsi="Calibri" w:cs="Calibri"/>
        </w:rPr>
        <w:t xml:space="preserve"> and</w:t>
      </w:r>
      <w:r w:rsidRPr="00816934">
        <w:rPr>
          <w:rFonts w:ascii="Calibri" w:eastAsia="FS Mencap" w:hAnsi="Calibri" w:cs="Calibri"/>
        </w:rPr>
        <w:t xml:space="preserve"> reasonable adjustments). The Disabled Children’s Partnership’s ‘Fight for Ordinary’ report points to</w:t>
      </w:r>
      <w:r w:rsidRPr="00816934">
        <w:rPr>
          <w:rFonts w:ascii="Calibri" w:eastAsia="FS Mencap" w:hAnsi="Calibri" w:cs="Calibri"/>
        </w:rPr>
        <w:t xml:space="preserve"> the</w:t>
      </w:r>
      <w:r w:rsidRPr="00816934">
        <w:rPr>
          <w:rFonts w:ascii="Calibri" w:eastAsia="FS Mencap" w:hAnsi="Calibri" w:cs="Calibri"/>
        </w:rPr>
        <w:t xml:space="preserve"> variability in how local areas engage</w:t>
      </w:r>
      <w:r w:rsidRPr="00816934">
        <w:rPr>
          <w:rFonts w:ascii="Calibri" w:eastAsia="FS Mencap" w:hAnsi="Calibri" w:cs="Calibri"/>
        </w:rPr>
        <w:t xml:space="preserve"> with</w:t>
      </w:r>
      <w:r w:rsidRPr="00816934">
        <w:rPr>
          <w:rFonts w:ascii="Calibri" w:eastAsia="FS Mencap" w:hAnsi="Calibri" w:cs="Calibri"/>
        </w:rPr>
        <w:t xml:space="preserve"> families, suggesting that national guidance and accountability are required to standardise best practice and prevent tokenistic engagement</w:t>
      </w:r>
      <w:r>
        <w:rPr>
          <w:rStyle w:val="FootnoteReference"/>
          <w:rFonts w:ascii="Calibri" w:eastAsia="FS Mencap" w:hAnsi="Calibri" w:cs="Calibri"/>
        </w:rPr>
        <w:footnoteReference w:id="24"/>
      </w:r>
      <w:r w:rsidRPr="00816934">
        <w:rPr>
          <w:rFonts w:ascii="Calibri" w:eastAsia="FS Mencap" w:hAnsi="Calibri" w:cs="Calibri"/>
        </w:rPr>
        <w:t>.</w:t>
      </w:r>
    </w:p>
    <w:p w:rsidR="00E9765F" w:rsidRPr="00816934" w:rsidP="004C3745">
      <w:pPr>
        <w:spacing w:after="0"/>
        <w:rPr>
          <w:rFonts w:ascii="Calibri" w:eastAsia="FS Mencap" w:hAnsi="Calibri" w:cs="Calibri"/>
        </w:rPr>
      </w:pPr>
    </w:p>
    <w:p w:rsidR="00E9765F" w:rsidRPr="00816934" w:rsidP="004C3745">
      <w:pPr>
        <w:spacing w:after="0"/>
        <w:rPr>
          <w:rFonts w:ascii="Calibri" w:eastAsia="FS Mencap" w:hAnsi="Calibri" w:cs="Calibri"/>
        </w:rPr>
      </w:pPr>
    </w:p>
    <w:p w:rsidR="00E9765F" w:rsidRPr="00816934" w:rsidP="004C3745">
      <w:pPr>
        <w:pStyle w:val="Heading2"/>
        <w:rPr>
          <w:rFonts w:ascii="Calibri" w:hAnsi="Calibri" w:cs="Calibri"/>
        </w:rPr>
      </w:pPr>
      <w:bookmarkStart w:id="11" w:name="_Toc229157336"/>
      <w:r w:rsidRPr="00816934">
        <w:rPr>
          <w:rFonts w:ascii="Calibri" w:hAnsi="Calibri" w:cs="Calibri"/>
        </w:rPr>
        <w:t xml:space="preserve">3.3 </w:t>
      </w:r>
      <w:r w:rsidRPr="00816934">
        <w:rPr>
          <w:rFonts w:ascii="Calibri" w:hAnsi="Calibri" w:cs="Calibri"/>
        </w:rPr>
        <w:t>Equality and diversity</w:t>
      </w:r>
      <w:r w:rsidRPr="00816934">
        <w:rPr>
          <w:rFonts w:ascii="Calibri" w:hAnsi="Calibri" w:cs="Calibri"/>
        </w:rPr>
        <w:t xml:space="preserve"> - </w:t>
      </w:r>
      <w:r w:rsidRPr="00816934">
        <w:rPr>
          <w:rFonts w:ascii="Calibri" w:hAnsi="Calibri" w:cs="Calibri"/>
        </w:rPr>
        <w:t>To what extent are underserved or vulnerable service-user groups involved in coproduction of transition policies and strategies?</w:t>
      </w:r>
      <w:bookmarkEnd w:id="11"/>
    </w:p>
    <w:p w:rsidR="00E9765F" w:rsidRPr="00816934" w:rsidP="004C3745">
      <w:pPr>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The Disabled Children’s Partnership’s ‘Support Not Suspicion’ campaign and report further demonstrates </w:t>
      </w:r>
      <w:r w:rsidRPr="00816934">
        <w:rPr>
          <w:rFonts w:ascii="Calibri" w:eastAsia="FS Mencap" w:hAnsi="Calibri" w:cs="Calibri"/>
        </w:rPr>
        <w:t xml:space="preserve">that many families, especially those from </w:t>
      </w:r>
      <w:r w:rsidRPr="00816934">
        <w:rPr>
          <w:rFonts w:ascii="Calibri" w:eastAsia="FS Mencap" w:hAnsi="Calibri" w:cs="Calibri"/>
        </w:rPr>
        <w:t>ethnic</w:t>
      </w:r>
      <w:r w:rsidRPr="00816934">
        <w:rPr>
          <w:rFonts w:ascii="Calibri" w:eastAsia="FS Mencap" w:hAnsi="Calibri" w:cs="Calibri"/>
        </w:rPr>
        <w:t>ally</w:t>
      </w:r>
      <w:r w:rsidRPr="00816934">
        <w:rPr>
          <w:rFonts w:ascii="Calibri" w:eastAsia="FS Mencap" w:hAnsi="Calibri" w:cs="Calibri"/>
        </w:rPr>
        <w:t xml:space="preserve"> minorit</w:t>
      </w:r>
      <w:r w:rsidRPr="00816934">
        <w:rPr>
          <w:rFonts w:ascii="Calibri" w:eastAsia="FS Mencap" w:hAnsi="Calibri" w:cs="Calibri"/>
        </w:rPr>
        <w:t>ised</w:t>
      </w:r>
      <w:r w:rsidRPr="00816934">
        <w:rPr>
          <w:rFonts w:ascii="Calibri" w:eastAsia="FS Mencap" w:hAnsi="Calibri" w:cs="Calibri"/>
        </w:rPr>
        <w:t xml:space="preserve"> communities, face mistrust and judgement when interacting with </w:t>
      </w:r>
      <w:r w:rsidRPr="00816934">
        <w:rPr>
          <w:rFonts w:ascii="Calibri" w:eastAsia="FS Mencap" w:hAnsi="Calibri" w:cs="Calibri"/>
        </w:rPr>
        <w:t>services, which undermines confidence in participation and silences important voices</w:t>
      </w:r>
      <w:r>
        <w:rPr>
          <w:rStyle w:val="FootnoteReference"/>
          <w:rFonts w:ascii="Calibri" w:eastAsia="FS Mencap" w:hAnsi="Calibri" w:cs="Calibri"/>
        </w:rPr>
        <w:footnoteReference w:id="25"/>
      </w:r>
      <w:r w:rsidRPr="00816934">
        <w:rPr>
          <w:rFonts w:ascii="Calibri" w:eastAsia="FS Mencap" w:hAnsi="Calibri" w:cs="Calibri"/>
        </w:rPr>
        <w:t>.</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To address this, decision-making structures must be trauma-informed, culturally competent, and designed to reduce perceived risks for families when they speak up. This means investing in advocacy and peer-led support so that children and families can articulate their priorities in ways that are heard and acted upon and ensuring that participation is not conditional on compliance with professional expectations but is recognised as a right.</w:t>
      </w:r>
    </w:p>
    <w:p w:rsidR="00E9765F" w:rsidRPr="00816934" w:rsidP="004C3745">
      <w:pPr>
        <w:spacing w:after="0"/>
        <w:rPr>
          <w:rFonts w:ascii="Calibri" w:eastAsia="FS Mencap" w:hAnsi="Calibri" w:cs="Calibri"/>
        </w:rPr>
      </w:pPr>
    </w:p>
    <w:p w:rsidR="00E9765F" w:rsidRPr="00816934" w:rsidP="004C3745">
      <w:pPr>
        <w:spacing w:after="0"/>
        <w:rPr>
          <w:rFonts w:ascii="Calibri" w:eastAsia="FS Mencap" w:hAnsi="Calibri" w:cs="Calibri"/>
        </w:rPr>
      </w:pPr>
    </w:p>
    <w:p w:rsidR="00E9765F" w:rsidRPr="00816934" w:rsidP="004C3745">
      <w:pPr>
        <w:pStyle w:val="Heading1"/>
        <w:rPr>
          <w:rFonts w:ascii="Calibri" w:hAnsi="Calibri" w:cs="Calibri"/>
        </w:rPr>
      </w:pPr>
      <w:bookmarkStart w:id="12" w:name="_Toc229157337"/>
      <w:r w:rsidRPr="00816934">
        <w:rPr>
          <w:rFonts w:ascii="Calibri" w:hAnsi="Calibri" w:cs="Calibri"/>
        </w:rPr>
        <w:t>4.</w:t>
      </w:r>
      <w:r w:rsidRPr="00816934">
        <w:rPr>
          <w:rFonts w:ascii="Calibri" w:hAnsi="Calibri" w:cs="Calibri"/>
        </w:rPr>
        <w:t xml:space="preserve"> Workforce and training</w:t>
      </w:r>
      <w:bookmarkEnd w:id="12"/>
    </w:p>
    <w:p w:rsidR="00E9765F" w:rsidRPr="00816934" w:rsidP="004C3745">
      <w:pPr>
        <w:spacing w:after="0"/>
        <w:rPr>
          <w:rFonts w:ascii="Calibri" w:hAnsi="Calibri" w:cs="Calibri"/>
        </w:rPr>
      </w:pPr>
    </w:p>
    <w:p w:rsidR="00E9765F" w:rsidRPr="00816934" w:rsidP="004C3745">
      <w:pPr>
        <w:pStyle w:val="Heading2"/>
        <w:rPr>
          <w:rFonts w:ascii="Calibri" w:hAnsi="Calibri" w:cs="Calibri"/>
        </w:rPr>
      </w:pPr>
      <w:bookmarkStart w:id="13" w:name="_Toc229157338"/>
      <w:r w:rsidRPr="00816934">
        <w:rPr>
          <w:rFonts w:ascii="Calibri" w:hAnsi="Calibri" w:cs="Calibri"/>
        </w:rPr>
        <w:t xml:space="preserve">4.1 Impact and outcomes - </w:t>
      </w:r>
      <w:r w:rsidRPr="00816934">
        <w:rPr>
          <w:rFonts w:ascii="Calibri" w:hAnsi="Calibri" w:cs="Calibri"/>
        </w:rPr>
        <w:t>What is the impact of having named staff members responsible for transitions – for example, a named worker for each individual, a clinical lead and a named executive and senior manager at the organisational level?</w:t>
      </w:r>
      <w:bookmarkEnd w:id="13"/>
    </w:p>
    <w:p w:rsidR="00E9765F" w:rsidRPr="00816934" w:rsidP="004C3745">
      <w:pPr>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 xml:space="preserve">For people with a learning disability, the impact of having </w:t>
      </w:r>
      <w:r w:rsidRPr="00816934">
        <w:rPr>
          <w:rFonts w:ascii="Calibri" w:eastAsia="FS Mencap" w:hAnsi="Calibri" w:cs="Calibri"/>
        </w:rPr>
        <w:t>n</w:t>
      </w:r>
      <w:r w:rsidRPr="00816934">
        <w:rPr>
          <w:rFonts w:ascii="Calibri" w:eastAsia="FS Mencap" w:hAnsi="Calibri" w:cs="Calibri"/>
        </w:rPr>
        <w:t xml:space="preserve">amed </w:t>
      </w:r>
      <w:r w:rsidRPr="00816934">
        <w:rPr>
          <w:rFonts w:ascii="Calibri" w:eastAsia="FS Mencap" w:hAnsi="Calibri" w:cs="Calibri"/>
        </w:rPr>
        <w:t>s</w:t>
      </w:r>
      <w:r w:rsidRPr="00816934">
        <w:rPr>
          <w:rFonts w:ascii="Calibri" w:eastAsia="FS Mencap" w:hAnsi="Calibri" w:cs="Calibri"/>
        </w:rPr>
        <w:t xml:space="preserve">ocial </w:t>
      </w:r>
      <w:r w:rsidRPr="00816934">
        <w:rPr>
          <w:rFonts w:ascii="Calibri" w:eastAsia="FS Mencap" w:hAnsi="Calibri" w:cs="Calibri"/>
        </w:rPr>
        <w:t>w</w:t>
      </w:r>
      <w:r w:rsidRPr="00816934">
        <w:rPr>
          <w:rFonts w:ascii="Calibri" w:eastAsia="FS Mencap" w:hAnsi="Calibri" w:cs="Calibri"/>
        </w:rPr>
        <w:t>orker</w:t>
      </w:r>
      <w:r w:rsidRPr="00816934">
        <w:rPr>
          <w:rFonts w:ascii="Calibri" w:eastAsia="FS Mencap" w:hAnsi="Calibri" w:cs="Calibri"/>
        </w:rPr>
        <w:t>s</w:t>
      </w:r>
      <w:r w:rsidRPr="00816934">
        <w:rPr>
          <w:rFonts w:ascii="Calibri" w:eastAsia="FS Mencap" w:hAnsi="Calibri" w:cs="Calibri"/>
        </w:rPr>
        <w:t>, who </w:t>
      </w:r>
      <w:r w:rsidRPr="00816934">
        <w:rPr>
          <w:rFonts w:ascii="Calibri" w:eastAsia="FS Mencap" w:hAnsi="Calibri" w:cs="Calibri"/>
        </w:rPr>
        <w:t>knows the person and their family, and who understands their needs</w:t>
      </w:r>
      <w:r w:rsidRPr="00816934">
        <w:rPr>
          <w:rFonts w:ascii="Calibri" w:eastAsia="FS Mencap" w:hAnsi="Calibri" w:cs="Calibri"/>
        </w:rPr>
        <w:t xml:space="preserve"> can have </w:t>
      </w:r>
      <w:r w:rsidRPr="00816934">
        <w:rPr>
          <w:rFonts w:ascii="Calibri" w:eastAsia="FS Mencap" w:hAnsi="Calibri" w:cs="Calibri"/>
        </w:rPr>
        <w:t xml:space="preserve">a hugely positive impact on </w:t>
      </w:r>
      <w:r w:rsidRPr="00816934">
        <w:rPr>
          <w:rFonts w:ascii="Calibri" w:eastAsia="FS Mencap" w:hAnsi="Calibri" w:cs="Calibri"/>
        </w:rPr>
        <w:t>their access to social services and t</w:t>
      </w:r>
      <w:r w:rsidRPr="00816934">
        <w:rPr>
          <w:rFonts w:ascii="Calibri" w:eastAsia="FS Mencap" w:hAnsi="Calibri" w:cs="Calibri"/>
        </w:rPr>
        <w:t>he transition</w:t>
      </w:r>
      <w:r w:rsidRPr="00816934">
        <w:rPr>
          <w:rFonts w:ascii="Calibri" w:eastAsia="FS Mencap" w:hAnsi="Calibri" w:cs="Calibri"/>
        </w:rPr>
        <w:t xml:space="preserve"> between children’s and adult’s social care.</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Too often</w:t>
      </w:r>
      <w:r w:rsidRPr="00816934">
        <w:rPr>
          <w:rFonts w:ascii="Calibri" w:eastAsia="FS Mencap" w:hAnsi="Calibri" w:cs="Calibri"/>
        </w:rPr>
        <w:t>,</w:t>
      </w:r>
      <w:r w:rsidRPr="00816934">
        <w:rPr>
          <w:rFonts w:ascii="Calibri" w:eastAsia="FS Mencap" w:hAnsi="Calibri" w:cs="Calibri"/>
        </w:rPr>
        <w:t xml:space="preserve"> people have to use generic emails or contact an anonymous duty team and start from scratch explaining their loved one</w:t>
      </w:r>
      <w:r w:rsidRPr="00816934">
        <w:rPr>
          <w:rFonts w:ascii="Calibri" w:eastAsia="FS Mencap" w:hAnsi="Calibri" w:cs="Calibri"/>
        </w:rPr>
        <w:t xml:space="preserve">’s </w:t>
      </w:r>
      <w:r w:rsidRPr="00816934">
        <w:rPr>
          <w:rFonts w:ascii="Calibri" w:eastAsia="FS Mencap" w:hAnsi="Calibri" w:cs="Calibri"/>
        </w:rPr>
        <w:t>needs. A timely response from someone who has the right training and skills, and knows the person, can make a big difference. </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 xml:space="preserve">In their 2024 manifesto, </w:t>
      </w:r>
      <w:r w:rsidRPr="00816934">
        <w:rPr>
          <w:rFonts w:ascii="Calibri" w:eastAsia="FS Mencap" w:hAnsi="Calibri" w:cs="Calibri"/>
        </w:rPr>
        <w:t xml:space="preserve">the </w:t>
      </w:r>
      <w:r w:rsidRPr="00816934">
        <w:rPr>
          <w:rFonts w:ascii="Calibri" w:eastAsia="FS Mencap" w:hAnsi="Calibri" w:cs="Calibri"/>
        </w:rPr>
        <w:t>B</w:t>
      </w:r>
      <w:r w:rsidRPr="00816934">
        <w:rPr>
          <w:rFonts w:ascii="Calibri" w:eastAsia="FS Mencap" w:hAnsi="Calibri" w:cs="Calibri"/>
        </w:rPr>
        <w:t xml:space="preserve">ritish </w:t>
      </w:r>
      <w:r w:rsidRPr="00816934">
        <w:rPr>
          <w:rFonts w:ascii="Calibri" w:eastAsia="FS Mencap" w:hAnsi="Calibri" w:cs="Calibri"/>
        </w:rPr>
        <w:t>A</w:t>
      </w:r>
      <w:r w:rsidRPr="00816934">
        <w:rPr>
          <w:rFonts w:ascii="Calibri" w:eastAsia="FS Mencap" w:hAnsi="Calibri" w:cs="Calibri"/>
        </w:rPr>
        <w:t xml:space="preserve">ssociation of </w:t>
      </w:r>
      <w:r w:rsidRPr="00816934">
        <w:rPr>
          <w:rFonts w:ascii="Calibri" w:eastAsia="FS Mencap" w:hAnsi="Calibri" w:cs="Calibri"/>
        </w:rPr>
        <w:t>S</w:t>
      </w:r>
      <w:r w:rsidRPr="00816934">
        <w:rPr>
          <w:rFonts w:ascii="Calibri" w:eastAsia="FS Mencap" w:hAnsi="Calibri" w:cs="Calibri"/>
        </w:rPr>
        <w:t xml:space="preserve">ocial </w:t>
      </w:r>
      <w:r w:rsidRPr="00816934">
        <w:rPr>
          <w:rFonts w:ascii="Calibri" w:eastAsia="FS Mencap" w:hAnsi="Calibri" w:cs="Calibri"/>
        </w:rPr>
        <w:t>W</w:t>
      </w:r>
      <w:r w:rsidRPr="00816934">
        <w:rPr>
          <w:rFonts w:ascii="Calibri" w:eastAsia="FS Mencap" w:hAnsi="Calibri" w:cs="Calibri"/>
        </w:rPr>
        <w:t>orkers</w:t>
      </w:r>
      <w:r w:rsidRPr="00816934">
        <w:rPr>
          <w:rFonts w:ascii="Calibri" w:eastAsia="FS Mencap" w:hAnsi="Calibri" w:cs="Calibri"/>
        </w:rPr>
        <w:t xml:space="preserve"> say that named social workers allow people to build relationships, develop trust, safeguard, and uphold human right and advocate on their behalf, which is particularly important for people with</w:t>
      </w:r>
      <w:r w:rsidRPr="00816934">
        <w:rPr>
          <w:rFonts w:ascii="Calibri" w:eastAsia="FS Mencap" w:hAnsi="Calibri" w:cs="Calibri"/>
        </w:rPr>
        <w:t xml:space="preserve"> a</w:t>
      </w:r>
      <w:r w:rsidRPr="00816934">
        <w:rPr>
          <w:rFonts w:ascii="Calibri" w:eastAsia="FS Mencap" w:hAnsi="Calibri" w:cs="Calibri"/>
        </w:rPr>
        <w:t xml:space="preserve"> learning disabilit</w:t>
      </w:r>
      <w:r w:rsidRPr="00816934">
        <w:rPr>
          <w:rFonts w:ascii="Calibri" w:eastAsia="FS Mencap" w:hAnsi="Calibri" w:cs="Calibri"/>
        </w:rPr>
        <w:t>y</w:t>
      </w:r>
      <w:r w:rsidRPr="00816934">
        <w:rPr>
          <w:rFonts w:ascii="Calibri" w:eastAsia="FS Mencap" w:hAnsi="Calibri" w:cs="Calibri"/>
        </w:rPr>
        <w:t xml:space="preserve"> and autistic people who are at risk of admission to mental health hospitals or who are currently in hospital</w:t>
      </w:r>
      <w:r>
        <w:rPr>
          <w:rStyle w:val="FootnoteReference"/>
          <w:rFonts w:ascii="Calibri" w:eastAsia="FS Mencap" w:hAnsi="Calibri" w:cs="Calibri"/>
        </w:rPr>
        <w:footnoteReference w:id="26"/>
      </w:r>
      <w:r w:rsidRPr="00816934">
        <w:rPr>
          <w:rFonts w:ascii="Calibri" w:eastAsia="FS Mencap" w:hAnsi="Calibri" w:cs="Calibri"/>
        </w:rPr>
        <w:t>.</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When people with a learning disability have a named social worker, it means that they do</w:t>
      </w:r>
      <w:r w:rsidRPr="00816934">
        <w:rPr>
          <w:rFonts w:ascii="Calibri" w:eastAsia="FS Mencap" w:hAnsi="Calibri" w:cs="Calibri"/>
        </w:rPr>
        <w:t xml:space="preserve"> no</w:t>
      </w:r>
      <w:r w:rsidRPr="00816934">
        <w:rPr>
          <w:rFonts w:ascii="Calibri" w:eastAsia="FS Mencap" w:hAnsi="Calibri" w:cs="Calibri"/>
        </w:rPr>
        <w:t>t have to repeat their stories to professionals on each contact and it means that they can build a relationship with a social worker who knows them and can advocate for their rights, particularly relating to social care.</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 xml:space="preserve">The </w:t>
      </w:r>
      <w:r w:rsidRPr="00816934">
        <w:rPr>
          <w:rFonts w:ascii="Calibri" w:eastAsia="FS Mencap" w:hAnsi="Calibri" w:cs="Calibri"/>
        </w:rPr>
        <w:t>S</w:t>
      </w:r>
      <w:r w:rsidRPr="00816934">
        <w:rPr>
          <w:rFonts w:ascii="Calibri" w:eastAsia="FS Mencap" w:hAnsi="Calibri" w:cs="Calibri"/>
        </w:rPr>
        <w:t xml:space="preserve">ocial </w:t>
      </w:r>
      <w:r w:rsidRPr="00816934">
        <w:rPr>
          <w:rFonts w:ascii="Calibri" w:eastAsia="FS Mencap" w:hAnsi="Calibri" w:cs="Calibri"/>
        </w:rPr>
        <w:t>C</w:t>
      </w:r>
      <w:r w:rsidRPr="00816934">
        <w:rPr>
          <w:rFonts w:ascii="Calibri" w:eastAsia="FS Mencap" w:hAnsi="Calibri" w:cs="Calibri"/>
        </w:rPr>
        <w:t xml:space="preserve">are </w:t>
      </w:r>
      <w:r w:rsidRPr="00816934">
        <w:rPr>
          <w:rFonts w:ascii="Calibri" w:eastAsia="FS Mencap" w:hAnsi="Calibri" w:cs="Calibri"/>
        </w:rPr>
        <w:t>I</w:t>
      </w:r>
      <w:r w:rsidRPr="00816934">
        <w:rPr>
          <w:rFonts w:ascii="Calibri" w:eastAsia="FS Mencap" w:hAnsi="Calibri" w:cs="Calibri"/>
        </w:rPr>
        <w:t xml:space="preserve">nstitute </w:t>
      </w:r>
      <w:r w:rsidRPr="00816934">
        <w:rPr>
          <w:rFonts w:ascii="Calibri" w:eastAsia="FS Mencap" w:hAnsi="Calibri" w:cs="Calibri"/>
        </w:rPr>
        <w:t xml:space="preserve">for </w:t>
      </w:r>
      <w:r w:rsidRPr="00816934">
        <w:rPr>
          <w:rFonts w:ascii="Calibri" w:eastAsia="FS Mencap" w:hAnsi="Calibri" w:cs="Calibri"/>
        </w:rPr>
        <w:t>E</w:t>
      </w:r>
      <w:r w:rsidRPr="00816934">
        <w:rPr>
          <w:rFonts w:ascii="Calibri" w:eastAsia="FS Mencap" w:hAnsi="Calibri" w:cs="Calibri"/>
        </w:rPr>
        <w:t>xcellence</w:t>
      </w:r>
      <w:r w:rsidRPr="00816934">
        <w:rPr>
          <w:rFonts w:ascii="Calibri" w:eastAsia="FS Mencap" w:hAnsi="Calibri" w:cs="Calibri"/>
        </w:rPr>
        <w:t xml:space="preserve"> and the Innovation Unit ran pilots across the country to understand how named social workers can support people with </w:t>
      </w:r>
      <w:r w:rsidRPr="00816934">
        <w:rPr>
          <w:rFonts w:ascii="Calibri" w:eastAsia="FS Mencap" w:hAnsi="Calibri" w:cs="Calibri"/>
        </w:rPr>
        <w:t xml:space="preserve">a </w:t>
      </w:r>
      <w:r w:rsidRPr="00816934">
        <w:rPr>
          <w:rFonts w:ascii="Calibri" w:eastAsia="FS Mencap" w:hAnsi="Calibri" w:cs="Calibri"/>
        </w:rPr>
        <w:t>learning disabilit</w:t>
      </w:r>
      <w:r w:rsidRPr="00816934">
        <w:rPr>
          <w:rFonts w:ascii="Calibri" w:eastAsia="FS Mencap" w:hAnsi="Calibri" w:cs="Calibri"/>
        </w:rPr>
        <w:t>y</w:t>
      </w:r>
      <w:r w:rsidRPr="00816934">
        <w:rPr>
          <w:rFonts w:ascii="Calibri" w:eastAsia="FS Mencap" w:hAnsi="Calibri" w:cs="Calibri"/>
        </w:rPr>
        <w:t>, autistic people, and mental health needs and contribute to better outcomes for them and their families. The pilots found that named social workers supported people to have choice and control over their own decisions about living a good life, and there were many examples where named social workers were able to intervene at points of crisis, using their knowledge of the individual they supported to prevent escalation of issues and mediate across providers and professionals involved</w:t>
      </w:r>
      <w:r>
        <w:rPr>
          <w:rStyle w:val="FootnoteReference"/>
          <w:rFonts w:ascii="Calibri" w:eastAsia="FS Mencap" w:hAnsi="Calibri" w:cs="Calibri"/>
        </w:rPr>
        <w:footnoteReference w:id="27"/>
      </w:r>
      <w:r w:rsidRPr="00816934">
        <w:rPr>
          <w:rFonts w:ascii="Calibri" w:eastAsia="FS Mencap" w:hAnsi="Calibri" w:cs="Calibri"/>
        </w:rPr>
        <w:t>.</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However, we know that named social workers for people with</w:t>
      </w:r>
      <w:r w:rsidRPr="00816934">
        <w:rPr>
          <w:rFonts w:ascii="Calibri" w:eastAsia="FS Mencap" w:hAnsi="Calibri" w:cs="Calibri"/>
        </w:rPr>
        <w:t xml:space="preserve"> a</w:t>
      </w:r>
      <w:r w:rsidRPr="00816934">
        <w:rPr>
          <w:rFonts w:ascii="Calibri" w:eastAsia="FS Mencap" w:hAnsi="Calibri" w:cs="Calibri"/>
        </w:rPr>
        <w:t xml:space="preserve"> </w:t>
      </w:r>
      <w:r w:rsidRPr="00816934">
        <w:rPr>
          <w:rFonts w:ascii="Calibri" w:eastAsia="FS Mencap" w:hAnsi="Calibri" w:cs="Calibri"/>
        </w:rPr>
        <w:t>learning disability</w:t>
      </w:r>
      <w:r w:rsidRPr="00816934">
        <w:rPr>
          <w:rFonts w:ascii="Calibri" w:eastAsia="FS Mencap" w:hAnsi="Calibri" w:cs="Calibri"/>
        </w:rPr>
        <w:t xml:space="preserve"> tend to be the exception rather than the rule. We put a question about named social workers in our Policy Shaper</w:t>
      </w:r>
      <w:r>
        <w:rPr>
          <w:rStyle w:val="FootnoteReference"/>
          <w:rFonts w:ascii="Calibri" w:eastAsia="FS Mencap" w:hAnsi="Calibri" w:cs="Calibri"/>
        </w:rPr>
        <w:footnoteReference w:id="28"/>
      </w:r>
      <w:r w:rsidRPr="00816934">
        <w:rPr>
          <w:rFonts w:ascii="Calibri" w:eastAsia="FS Mencap" w:hAnsi="Calibri" w:cs="Calibri"/>
        </w:rPr>
        <w:t xml:space="preserve"> survey about social care in June 2025. </w:t>
      </w:r>
      <w:r w:rsidRPr="00816934">
        <w:rPr>
          <w:rFonts w:ascii="Calibri" w:eastAsia="FS Mencap" w:hAnsi="Calibri" w:cs="Calibri"/>
        </w:rPr>
        <w:t>At that time, we had over</w:t>
      </w:r>
      <w:r w:rsidRPr="00816934">
        <w:rPr>
          <w:rFonts w:ascii="Calibri" w:eastAsia="FS Mencap" w:hAnsi="Calibri" w:cs="Calibri"/>
        </w:rPr>
        <w:t xml:space="preserve"> 700 people signed up </w:t>
      </w:r>
      <w:r w:rsidRPr="00816934">
        <w:rPr>
          <w:rFonts w:ascii="Calibri" w:eastAsia="FS Mencap" w:hAnsi="Calibri" w:cs="Calibri"/>
        </w:rPr>
        <w:t>as</w:t>
      </w:r>
      <w:r w:rsidRPr="00816934">
        <w:rPr>
          <w:rFonts w:ascii="Calibri" w:eastAsia="FS Mencap" w:hAnsi="Calibri" w:cs="Calibri"/>
        </w:rPr>
        <w:t xml:space="preserve"> Policy Shapers and 71 people responded to this survey, so whilst it is a relatively small sample size, this is an ever-growing group that has expanded a lot recently. Two-thirds of respondents said that they have spoken to someone at their council about social care at some point</w:t>
      </w:r>
      <w:r w:rsidRPr="00816934">
        <w:rPr>
          <w:rFonts w:ascii="Calibri" w:eastAsia="FS Mencap" w:hAnsi="Calibri" w:cs="Calibri"/>
        </w:rPr>
        <w:t xml:space="preserve">, and </w:t>
      </w:r>
      <w:r w:rsidRPr="00816934">
        <w:rPr>
          <w:rFonts w:ascii="Calibri" w:eastAsia="FS Mencap" w:hAnsi="Calibri" w:cs="Calibri"/>
        </w:rPr>
        <w:t>43% of these respondents said that they have to speak to someone new every time they call their council</w:t>
      </w:r>
      <w:r>
        <w:rPr>
          <w:rStyle w:val="FootnoteReference"/>
          <w:rFonts w:ascii="Calibri" w:eastAsia="FS Mencap" w:hAnsi="Calibri" w:cs="Calibri"/>
        </w:rPr>
        <w:footnoteReference w:id="29"/>
      </w:r>
      <w:r w:rsidRPr="00816934">
        <w:rPr>
          <w:rFonts w:ascii="Calibri" w:eastAsia="FS Mencap" w:hAnsi="Calibri" w:cs="Calibri"/>
        </w:rPr>
        <w:t>. </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Thinking specifically about</w:t>
      </w:r>
      <w:r w:rsidRPr="00816934">
        <w:rPr>
          <w:rFonts w:ascii="Calibri" w:eastAsia="FS Mencap" w:hAnsi="Calibri" w:cs="Calibri"/>
        </w:rPr>
        <w:t xml:space="preserve"> transition to adult services, we would also like to amplify the calls in the Challenging Behaviour Foundation’s action plan for policy makers around transition to adulthood, which states that legislation should be amended to introduce a statutory age for transition planning and ensure that there is a </w:t>
      </w:r>
      <w:r w:rsidRPr="00816934">
        <w:rPr>
          <w:rFonts w:ascii="Calibri" w:eastAsia="FS Mencap" w:hAnsi="Calibri" w:cs="Calibri"/>
        </w:rPr>
        <w:t>n</w:t>
      </w:r>
      <w:r w:rsidRPr="00816934">
        <w:rPr>
          <w:rFonts w:ascii="Calibri" w:eastAsia="FS Mencap" w:hAnsi="Calibri" w:cs="Calibri"/>
        </w:rPr>
        <w:t xml:space="preserve">amed </w:t>
      </w:r>
      <w:r w:rsidRPr="00816934">
        <w:rPr>
          <w:rFonts w:ascii="Calibri" w:eastAsia="FS Mencap" w:hAnsi="Calibri" w:cs="Calibri"/>
        </w:rPr>
        <w:t>s</w:t>
      </w:r>
      <w:r w:rsidRPr="00816934">
        <w:rPr>
          <w:rFonts w:ascii="Calibri" w:eastAsia="FS Mencap" w:hAnsi="Calibri" w:cs="Calibri"/>
        </w:rPr>
        <w:t xml:space="preserve">ocial </w:t>
      </w:r>
      <w:r w:rsidRPr="00816934">
        <w:rPr>
          <w:rFonts w:ascii="Calibri" w:eastAsia="FS Mencap" w:hAnsi="Calibri" w:cs="Calibri"/>
        </w:rPr>
        <w:t>w</w:t>
      </w:r>
      <w:r w:rsidRPr="00816934">
        <w:rPr>
          <w:rFonts w:ascii="Calibri" w:eastAsia="FS Mencap" w:hAnsi="Calibri" w:cs="Calibri"/>
        </w:rPr>
        <w:t>orker in place to lead th</w:t>
      </w:r>
      <w:r w:rsidRPr="00816934">
        <w:rPr>
          <w:rFonts w:ascii="Calibri" w:eastAsia="FS Mencap" w:hAnsi="Calibri" w:cs="Calibri"/>
        </w:rPr>
        <w:t>is</w:t>
      </w:r>
      <w:r w:rsidRPr="00816934">
        <w:rPr>
          <w:rFonts w:ascii="Calibri" w:eastAsia="FS Mencap" w:hAnsi="Calibri" w:cs="Calibri"/>
        </w:rPr>
        <w:t xml:space="preserve"> assessment and planning process, and coordinate with other agencies</w:t>
      </w:r>
      <w:r>
        <w:rPr>
          <w:rStyle w:val="FootnoteReference"/>
          <w:rFonts w:ascii="Calibri" w:eastAsia="FS Mencap" w:hAnsi="Calibri" w:cs="Calibri"/>
        </w:rPr>
        <w:footnoteReference w:id="30"/>
      </w:r>
      <w:r w:rsidRPr="00816934">
        <w:rPr>
          <w:rFonts w:ascii="Calibri" w:eastAsia="FS Mencap" w:hAnsi="Calibri" w:cs="Calibri"/>
        </w:rPr>
        <w:t>.</w:t>
      </w:r>
    </w:p>
    <w:p w:rsidR="00E9765F" w:rsidRPr="00816934" w:rsidP="004C3745">
      <w:pPr>
        <w:spacing w:after="0"/>
        <w:rPr>
          <w:rFonts w:ascii="Calibri" w:hAnsi="Calibri" w:cs="Calibri"/>
        </w:rPr>
      </w:pPr>
    </w:p>
    <w:p w:rsidR="00E9765F" w:rsidRPr="00816934" w:rsidP="004C3745">
      <w:pPr>
        <w:spacing w:after="0"/>
        <w:rPr>
          <w:rFonts w:ascii="Calibri" w:hAnsi="Calibri" w:cs="Calibri"/>
        </w:rPr>
      </w:pPr>
    </w:p>
    <w:p w:rsidR="00E9765F" w:rsidRPr="00816934" w:rsidP="004C3745">
      <w:pPr>
        <w:pStyle w:val="Heading1"/>
        <w:rPr>
          <w:rFonts w:ascii="Calibri" w:hAnsi="Calibri" w:cs="Calibri"/>
        </w:rPr>
      </w:pPr>
      <w:bookmarkStart w:id="14" w:name="_Toc229157339"/>
      <w:r w:rsidRPr="00816934">
        <w:rPr>
          <w:rFonts w:ascii="Calibri" w:hAnsi="Calibri" w:cs="Calibri"/>
        </w:rPr>
        <w:t>5.</w:t>
      </w:r>
      <w:r w:rsidRPr="00816934">
        <w:rPr>
          <w:rFonts w:ascii="Calibri" w:hAnsi="Calibri" w:cs="Calibri"/>
        </w:rPr>
        <w:t xml:space="preserve"> Enabling developmentally appropriate independence</w:t>
      </w:r>
      <w:bookmarkEnd w:id="14"/>
    </w:p>
    <w:p w:rsidR="00E9765F" w:rsidRPr="00816934" w:rsidP="004C3745">
      <w:pPr>
        <w:spacing w:after="0"/>
        <w:rPr>
          <w:rFonts w:ascii="Calibri" w:hAnsi="Calibri" w:cs="Calibri"/>
        </w:rPr>
      </w:pPr>
    </w:p>
    <w:p w:rsidR="00E9765F" w:rsidRPr="00816934" w:rsidP="004C3745">
      <w:pPr>
        <w:pStyle w:val="Heading2"/>
        <w:rPr>
          <w:rFonts w:ascii="Calibri" w:hAnsi="Calibri" w:cs="Calibri"/>
        </w:rPr>
      </w:pPr>
      <w:bookmarkStart w:id="15" w:name="_Toc229157340"/>
      <w:r w:rsidRPr="00816934">
        <w:rPr>
          <w:rFonts w:ascii="Calibri" w:hAnsi="Calibri" w:cs="Calibri"/>
        </w:rPr>
        <w:t xml:space="preserve">5.1.1 </w:t>
      </w:r>
      <w:r w:rsidRPr="00816934">
        <w:rPr>
          <w:rFonts w:ascii="Calibri" w:hAnsi="Calibri" w:cs="Calibri"/>
        </w:rPr>
        <w:t>Impact and outcomes</w:t>
      </w:r>
      <w:r w:rsidRPr="00816934">
        <w:rPr>
          <w:rFonts w:ascii="Calibri" w:hAnsi="Calibri" w:cs="Calibri"/>
        </w:rPr>
        <w:t xml:space="preserve"> - Across education and employment, community inclusion, health and wellbeing, independent living and housing options, are there areas which require more or better guidance to enable effective transition?</w:t>
      </w:r>
      <w:bookmarkEnd w:id="15"/>
    </w:p>
    <w:p w:rsidR="00E9765F" w:rsidRPr="00816934" w:rsidP="004C3745">
      <w:pPr>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 xml:space="preserve">For people with a learning disability, suitable housing is a key element of </w:t>
      </w:r>
      <w:r w:rsidRPr="00816934">
        <w:rPr>
          <w:rFonts w:ascii="Calibri" w:eastAsia="FS Mencap" w:hAnsi="Calibri" w:cs="Calibri"/>
        </w:rPr>
        <w:t>being supported</w:t>
      </w:r>
      <w:r w:rsidRPr="00816934">
        <w:rPr>
          <w:rFonts w:ascii="Calibri" w:eastAsia="FS Mencap" w:hAnsi="Calibri" w:cs="Calibri"/>
        </w:rPr>
        <w:t xml:space="preserve"> well in the community. The main reason for delayed discharge of people </w:t>
      </w:r>
      <w:r w:rsidRPr="00816934">
        <w:rPr>
          <w:rFonts w:ascii="Calibri" w:eastAsia="FS Mencap" w:hAnsi="Calibri" w:cs="Calibri"/>
        </w:rPr>
        <w:t>with a learning disability and</w:t>
      </w:r>
      <w:r w:rsidRPr="00816934">
        <w:rPr>
          <w:rFonts w:ascii="Calibri" w:eastAsia="FS Mencap" w:hAnsi="Calibri" w:cs="Calibri"/>
        </w:rPr>
        <w:t>/or</w:t>
      </w:r>
      <w:r w:rsidRPr="00816934">
        <w:rPr>
          <w:rFonts w:ascii="Calibri" w:eastAsia="FS Mencap" w:hAnsi="Calibri" w:cs="Calibri"/>
        </w:rPr>
        <w:t xml:space="preserve"> autistic people in mental health hospitals is</w:t>
      </w:r>
      <w:r w:rsidRPr="00816934">
        <w:rPr>
          <w:rFonts w:ascii="Calibri" w:eastAsia="FS Mencap" w:hAnsi="Calibri" w:cs="Calibri"/>
        </w:rPr>
        <w:t xml:space="preserve"> a</w:t>
      </w:r>
      <w:r w:rsidRPr="00816934">
        <w:rPr>
          <w:rFonts w:ascii="Calibri" w:eastAsia="FS Mencap" w:hAnsi="Calibri" w:cs="Calibri"/>
        </w:rPr>
        <w:t xml:space="preserve"> lack of suitable housing. A huge amount of money is being spent on the wrong type of care (mental health hospitals) and would be better spent on suitable housing and support in the community. </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Health (</w:t>
      </w:r>
      <w:r w:rsidRPr="00816934">
        <w:rPr>
          <w:rFonts w:ascii="Calibri" w:eastAsia="FS Mencap" w:hAnsi="Calibri" w:cs="Calibri"/>
        </w:rPr>
        <w:t xml:space="preserve">primarily </w:t>
      </w:r>
      <w:r w:rsidRPr="00816934">
        <w:rPr>
          <w:rFonts w:ascii="Calibri" w:eastAsia="FS Mencap" w:hAnsi="Calibri" w:cs="Calibri"/>
        </w:rPr>
        <w:t>ICBs), housing, social care, and education</w:t>
      </w:r>
      <w:r w:rsidRPr="00816934">
        <w:rPr>
          <w:rFonts w:ascii="Calibri" w:eastAsia="FS Mencap" w:hAnsi="Calibri" w:cs="Calibri"/>
        </w:rPr>
        <w:t xml:space="preserve"> departments</w:t>
      </w:r>
      <w:r w:rsidRPr="00816934">
        <w:rPr>
          <w:rFonts w:ascii="Calibri" w:eastAsia="FS Mencap" w:hAnsi="Calibri" w:cs="Calibri"/>
        </w:rPr>
        <w:t xml:space="preserve"> need to work together to understand the housing needs of those with complex needs, for example, those who display behaviour that challenges. Supported housing strategies should be informed by the Dynamic Support Register and include those in mental health hospitals and residential schools. The demand for Specialised Supported Housing must be understood and planned for.</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To get it right, work</w:t>
      </w:r>
      <w:r w:rsidRPr="00816934">
        <w:rPr>
          <w:rFonts w:ascii="Calibri" w:eastAsia="FS Mencap" w:hAnsi="Calibri" w:cs="Calibri"/>
        </w:rPr>
        <w:t>ing</w:t>
      </w:r>
      <w:r w:rsidRPr="00816934">
        <w:rPr>
          <w:rFonts w:ascii="Calibri" w:eastAsia="FS Mencap" w:hAnsi="Calibri" w:cs="Calibri"/>
        </w:rPr>
        <w:t xml:space="preserve"> with individuals and families to identify housing needs, develop suitable housing specifications, find the right property, understand adaptations needed</w:t>
      </w:r>
      <w:r w:rsidRPr="00816934">
        <w:rPr>
          <w:rFonts w:ascii="Calibri" w:eastAsia="FS Mencap" w:hAnsi="Calibri" w:cs="Calibri"/>
        </w:rPr>
        <w:t xml:space="preserve"> is essential</w:t>
      </w:r>
      <w:r w:rsidRPr="00816934">
        <w:rPr>
          <w:rFonts w:ascii="Calibri" w:eastAsia="FS Mencap" w:hAnsi="Calibri" w:cs="Calibri"/>
        </w:rPr>
        <w:t>. Adaptations planned at an early stage are cheaper than retrospective adaptations. Examples of good guidance for people with a learning disability relating to housing can be found on Learning Disability England’s website</w:t>
      </w:r>
      <w:r>
        <w:rPr>
          <w:rStyle w:val="FootnoteReference"/>
          <w:rFonts w:ascii="Calibri" w:eastAsia="FS Mencap" w:hAnsi="Calibri" w:cs="Calibri"/>
        </w:rPr>
        <w:footnoteReference w:id="31"/>
      </w:r>
      <w:r w:rsidRPr="00816934">
        <w:rPr>
          <w:rFonts w:ascii="Calibri" w:eastAsia="FS Mencap" w:hAnsi="Calibri" w:cs="Calibri"/>
        </w:rPr>
        <w:t>.</w:t>
      </w:r>
      <w:r w:rsidRPr="00816934">
        <w:rPr>
          <w:rFonts w:ascii="Calibri" w:eastAsia="FS Mencap" w:hAnsi="Calibri" w:cs="Calibri"/>
        </w:rPr>
        <w:br/>
      </w:r>
    </w:p>
    <w:p w:rsidR="00E9765F" w:rsidRPr="00816934" w:rsidP="004C3745">
      <w:pPr>
        <w:pStyle w:val="ListParagraph"/>
        <w:spacing w:after="0"/>
        <w:rPr>
          <w:rFonts w:ascii="Calibri" w:eastAsia="FS Mencap" w:hAnsi="Calibri" w:cs="Calibri"/>
        </w:rPr>
      </w:pPr>
    </w:p>
    <w:p w:rsidR="00E9765F" w:rsidRPr="00816934" w:rsidP="004C3745">
      <w:pPr>
        <w:pStyle w:val="Heading2"/>
        <w:rPr>
          <w:rFonts w:ascii="Calibri" w:hAnsi="Calibri" w:cs="Calibri"/>
        </w:rPr>
      </w:pPr>
      <w:bookmarkStart w:id="16" w:name="_Toc229157341"/>
      <w:r w:rsidRPr="00816934">
        <w:rPr>
          <w:rFonts w:ascii="Calibri" w:hAnsi="Calibri" w:cs="Calibri"/>
        </w:rPr>
        <w:t>5.1.2 Impact and outcomes What are the consequences when transition support is absent or inconsistent?</w:t>
      </w:r>
      <w:bookmarkEnd w:id="16"/>
    </w:p>
    <w:p w:rsidR="00E9765F" w:rsidRPr="00816934" w:rsidP="004C3745">
      <w:pPr>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In the worst scenarios, when transition support is absent for young people with a learning disability, people can really experience the “cliff edge” and end up in completely inappropriate living and support settings. This is outline</w:t>
      </w:r>
      <w:r w:rsidRPr="00816934">
        <w:rPr>
          <w:rFonts w:ascii="Calibri" w:eastAsia="FS Mencap" w:hAnsi="Calibri" w:cs="Calibri"/>
        </w:rPr>
        <w:t>d</w:t>
      </w:r>
      <w:r w:rsidRPr="00816934">
        <w:rPr>
          <w:rFonts w:ascii="Calibri" w:eastAsia="FS Mencap" w:hAnsi="Calibri" w:cs="Calibri"/>
        </w:rPr>
        <w:t xml:space="preserve"> in the case of Richard, whose story was submitted to the Care and Support Alliance’s Pen Portrait project by Mencap</w:t>
      </w:r>
      <w:r>
        <w:rPr>
          <w:rStyle w:val="FootnoteReference"/>
          <w:rFonts w:ascii="Calibri" w:eastAsia="FS Mencap" w:hAnsi="Calibri" w:cs="Calibri"/>
        </w:rPr>
        <w:footnoteReference w:id="32"/>
      </w:r>
      <w:r w:rsidRPr="00816934">
        <w:rPr>
          <w:rFonts w:ascii="Calibri" w:eastAsia="FS Mencap" w:hAnsi="Calibri" w:cs="Calibri"/>
        </w:rPr>
        <w:t>, which is summarised below.</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Richard, 21, is an autistic person with a learning disability, and has spent four years of his early adulthood inappropriately detained in a mental health hospital, because transition was not planned for and local support was not available. Richard was not detained because he had a mental health condition, but because of a lack of the right support in the community.</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 xml:space="preserve">When he turned 17, his needs became much more complex. His parents started asking social services for help, but social services waited until Richard turned 18. Shortly after this, Richard was admitted to a mental health hospital and his parents </w:t>
      </w:r>
      <w:r w:rsidRPr="00816934">
        <w:rPr>
          <w:rFonts w:ascii="Calibri" w:eastAsia="FS Mencap" w:hAnsi="Calibri" w:cs="Calibri"/>
        </w:rPr>
        <w:t>were told this would just be for three months while he was assessed, but he never returned home. Instead, Richard was detained under the Mental Health Act and moved to a different mental health hospital hundreds of miles away from their family home.</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Although Richard is now detained in a mental health unit much closer to home, he is still sectioned in a hospital setting, and over the years, his parents have had to raise concerns about the physical and psychological abuse that he has experienced in units. People with a learning disability and</w:t>
      </w:r>
      <w:r w:rsidRPr="00816934">
        <w:rPr>
          <w:rFonts w:ascii="Calibri" w:eastAsia="FS Mencap" w:hAnsi="Calibri" w:cs="Calibri"/>
        </w:rPr>
        <w:t>/or</w:t>
      </w:r>
      <w:r w:rsidRPr="00816934">
        <w:rPr>
          <w:rFonts w:ascii="Calibri" w:eastAsia="FS Mencap" w:hAnsi="Calibri" w:cs="Calibri"/>
        </w:rPr>
        <w:t xml:space="preserve"> autistic people in inpatient settings are at increased risk of abuse and neglect, and they are often subject to disproportionately high use of physical restraint and over-medication. Although discharge planning is underway, Richard’s family will not be confident he will ever leave until he is out.</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 xml:space="preserve">Richard needs the right community support, including social care support from staff with the right skills to support someone with a learning disability who is also autistic and may display behaviour that challenges. He also needs specialised supported housing designed and adapted to meet his sensory and behaviour needs. </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Through the years that Richard has been detained, he has been repeatedly and physically restrained and injected with drugs to sedate him. He has also spent long periods of time in long term segregation within the unit and spent almost two months isolated in a room with nothing but a toilet in the corner, with communication with his family limited to a small hatch in the door. Richard’s parents say: “It’s the biggest regret of our lives. We wish we’d never asked for help. He was taken from us and locked up”.</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 xml:space="preserve">It is recognised that many of the people with a learning disability and autistic people currently in mental health hospitals are there due to a lack of the right support in </w:t>
      </w:r>
      <w:r w:rsidRPr="00816934">
        <w:rPr>
          <w:rFonts w:ascii="Calibri" w:eastAsia="FS Mencap" w:hAnsi="Calibri" w:cs="Calibri"/>
        </w:rPr>
        <w:t xml:space="preserve">the community including suitable housing and social care, not because they need inpatient mental health treatment. </w:t>
      </w:r>
      <w:r w:rsidRPr="00816934">
        <w:rPr>
          <w:rFonts w:ascii="Calibri" w:eastAsia="FS Mencap" w:hAnsi="Calibri" w:cs="Calibri"/>
        </w:rPr>
        <w:t>The l</w:t>
      </w:r>
      <w:r w:rsidRPr="00816934">
        <w:rPr>
          <w:rFonts w:ascii="Calibri" w:eastAsia="FS Mencap" w:hAnsi="Calibri" w:cs="Calibri"/>
        </w:rPr>
        <w:t>ates</w:t>
      </w:r>
      <w:r w:rsidRPr="00816934">
        <w:rPr>
          <w:rFonts w:ascii="Calibri" w:eastAsia="FS Mencap" w:hAnsi="Calibri" w:cs="Calibri"/>
        </w:rPr>
        <w:t>t NHS data shows that at the end of March there were 2,115 people with a learning disability and</w:t>
      </w:r>
      <w:r w:rsidRPr="00816934">
        <w:rPr>
          <w:rFonts w:ascii="Calibri" w:eastAsia="FS Mencap" w:hAnsi="Calibri" w:cs="Calibri"/>
        </w:rPr>
        <w:t xml:space="preserve">/or autistic people in mental health hospitals, of which </w:t>
      </w:r>
      <w:r w:rsidRPr="00816934">
        <w:rPr>
          <w:rFonts w:ascii="Calibri" w:eastAsia="FS Mencap" w:hAnsi="Calibri" w:cs="Calibri"/>
        </w:rPr>
        <w:t>670 were under 25 years old</w:t>
      </w:r>
      <w:r>
        <w:rPr>
          <w:rStyle w:val="FootnoteReference"/>
          <w:rFonts w:ascii="Calibri" w:eastAsia="FS Mencap" w:hAnsi="Calibri" w:cs="Calibri"/>
        </w:rPr>
        <w:footnoteReference w:id="33"/>
      </w:r>
      <w:r w:rsidRPr="00816934">
        <w:rPr>
          <w:rFonts w:ascii="Calibri" w:eastAsia="FS Mencap" w:hAnsi="Calibri" w:cs="Calibri"/>
        </w:rPr>
        <w:t>.</w:t>
      </w:r>
      <w:r w:rsidRPr="00816934">
        <w:rPr>
          <w:rFonts w:ascii="Calibri" w:eastAsia="FS Mencap" w:hAnsi="Calibri" w:cs="Calibri"/>
        </w:rPr>
        <w:t xml:space="preserve"> Mencap track and update this and other relevant data through our Homes Not Hospitals data dashboard</w:t>
      </w:r>
      <w:r>
        <w:rPr>
          <w:rStyle w:val="FootnoteReference"/>
          <w:rFonts w:ascii="Calibri" w:eastAsia="FS Mencap" w:hAnsi="Calibri" w:cs="Calibri"/>
        </w:rPr>
        <w:footnoteReference w:id="34"/>
      </w:r>
      <w:r w:rsidRPr="00816934">
        <w:rPr>
          <w:rFonts w:ascii="Calibri" w:eastAsia="FS Mencap" w:hAnsi="Calibri" w:cs="Calibri"/>
        </w:rPr>
        <w:t>.</w:t>
      </w:r>
    </w:p>
    <w:p w:rsidR="00E9765F" w:rsidRPr="00816934" w:rsidP="004C3745">
      <w:pPr>
        <w:pStyle w:val="ListParagraph"/>
        <w:spacing w:after="0"/>
        <w:rPr>
          <w:rFonts w:ascii="Calibri" w:eastAsia="FS Mencap" w:hAnsi="Calibri" w:cs="Calibri"/>
        </w:rPr>
      </w:pPr>
    </w:p>
    <w:p w:rsidR="00E9765F" w:rsidRPr="00816934"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The Building the Right Support (BTRS)</w:t>
      </w:r>
      <w:r>
        <w:rPr>
          <w:rStyle w:val="FootnoteReference"/>
          <w:rFonts w:ascii="Calibri" w:eastAsia="FS Mencap" w:hAnsi="Calibri" w:cs="Calibri"/>
        </w:rPr>
        <w:footnoteReference w:id="35"/>
      </w:r>
      <w:r w:rsidRPr="00816934">
        <w:rPr>
          <w:rFonts w:ascii="Calibri" w:eastAsia="FS Mencap" w:hAnsi="Calibri" w:cs="Calibri"/>
        </w:rPr>
        <w:t xml:space="preserve"> service model, produced by NHS</w:t>
      </w:r>
      <w:r w:rsidRPr="00816934">
        <w:rPr>
          <w:rFonts w:ascii="Calibri" w:eastAsia="FS Mencap" w:hAnsi="Calibri" w:cs="Calibri"/>
        </w:rPr>
        <w:t xml:space="preserve"> </w:t>
      </w:r>
      <w:r w:rsidRPr="00816934">
        <w:rPr>
          <w:rFonts w:ascii="Calibri" w:eastAsia="FS Mencap" w:hAnsi="Calibri" w:cs="Calibri"/>
        </w:rPr>
        <w:t>E</w:t>
      </w:r>
      <w:r w:rsidRPr="00816934">
        <w:rPr>
          <w:rFonts w:ascii="Calibri" w:eastAsia="FS Mencap" w:hAnsi="Calibri" w:cs="Calibri"/>
        </w:rPr>
        <w:t>ngland</w:t>
      </w:r>
      <w:r w:rsidRPr="00816934">
        <w:rPr>
          <w:rFonts w:ascii="Calibri" w:eastAsia="FS Mencap" w:hAnsi="Calibri" w:cs="Calibri"/>
        </w:rPr>
        <w:t>, L</w:t>
      </w:r>
      <w:r w:rsidRPr="00816934">
        <w:rPr>
          <w:rFonts w:ascii="Calibri" w:eastAsia="FS Mencap" w:hAnsi="Calibri" w:cs="Calibri"/>
        </w:rPr>
        <w:t xml:space="preserve">ocal </w:t>
      </w:r>
      <w:r w:rsidRPr="00816934">
        <w:rPr>
          <w:rFonts w:ascii="Calibri" w:eastAsia="FS Mencap" w:hAnsi="Calibri" w:cs="Calibri"/>
        </w:rPr>
        <w:t>G</w:t>
      </w:r>
      <w:r w:rsidRPr="00816934">
        <w:rPr>
          <w:rFonts w:ascii="Calibri" w:eastAsia="FS Mencap" w:hAnsi="Calibri" w:cs="Calibri"/>
        </w:rPr>
        <w:t xml:space="preserve">overnment </w:t>
      </w:r>
      <w:r w:rsidRPr="00816934">
        <w:rPr>
          <w:rFonts w:ascii="Calibri" w:eastAsia="FS Mencap" w:hAnsi="Calibri" w:cs="Calibri"/>
        </w:rPr>
        <w:t>A</w:t>
      </w:r>
      <w:r w:rsidRPr="00816934">
        <w:rPr>
          <w:rFonts w:ascii="Calibri" w:eastAsia="FS Mencap" w:hAnsi="Calibri" w:cs="Calibri"/>
        </w:rPr>
        <w:t>ssociation</w:t>
      </w:r>
      <w:r w:rsidRPr="00816934">
        <w:rPr>
          <w:rFonts w:ascii="Calibri" w:eastAsia="FS Mencap" w:hAnsi="Calibri" w:cs="Calibri"/>
        </w:rPr>
        <w:t>, and A</w:t>
      </w:r>
      <w:r w:rsidRPr="00816934">
        <w:rPr>
          <w:rFonts w:ascii="Calibri" w:eastAsia="FS Mencap" w:hAnsi="Calibri" w:cs="Calibri"/>
        </w:rPr>
        <w:t xml:space="preserve">ssociation of </w:t>
      </w:r>
      <w:r w:rsidRPr="00816934">
        <w:rPr>
          <w:rFonts w:ascii="Calibri" w:eastAsia="FS Mencap" w:hAnsi="Calibri" w:cs="Calibri"/>
        </w:rPr>
        <w:t>D</w:t>
      </w:r>
      <w:r w:rsidRPr="00816934">
        <w:rPr>
          <w:rFonts w:ascii="Calibri" w:eastAsia="FS Mencap" w:hAnsi="Calibri" w:cs="Calibri"/>
        </w:rPr>
        <w:t xml:space="preserve">irectors of </w:t>
      </w:r>
      <w:r w:rsidRPr="00816934">
        <w:rPr>
          <w:rFonts w:ascii="Calibri" w:eastAsia="FS Mencap" w:hAnsi="Calibri" w:cs="Calibri"/>
        </w:rPr>
        <w:t>A</w:t>
      </w:r>
      <w:r w:rsidRPr="00816934">
        <w:rPr>
          <w:rFonts w:ascii="Calibri" w:eastAsia="FS Mencap" w:hAnsi="Calibri" w:cs="Calibri"/>
        </w:rPr>
        <w:t xml:space="preserve">dult </w:t>
      </w:r>
      <w:r w:rsidRPr="00816934">
        <w:rPr>
          <w:rFonts w:ascii="Calibri" w:eastAsia="FS Mencap" w:hAnsi="Calibri" w:cs="Calibri"/>
        </w:rPr>
        <w:t>S</w:t>
      </w:r>
      <w:r w:rsidRPr="00816934">
        <w:rPr>
          <w:rFonts w:ascii="Calibri" w:eastAsia="FS Mencap" w:hAnsi="Calibri" w:cs="Calibri"/>
        </w:rPr>
        <w:t xml:space="preserve">ocial </w:t>
      </w:r>
      <w:r w:rsidRPr="00816934">
        <w:rPr>
          <w:rFonts w:ascii="Calibri" w:eastAsia="FS Mencap" w:hAnsi="Calibri" w:cs="Calibri"/>
        </w:rPr>
        <w:t>S</w:t>
      </w:r>
      <w:r w:rsidRPr="00816934">
        <w:rPr>
          <w:rFonts w:ascii="Calibri" w:eastAsia="FS Mencap" w:hAnsi="Calibri" w:cs="Calibri"/>
        </w:rPr>
        <w:t>ervices</w:t>
      </w:r>
      <w:r w:rsidRPr="00816934">
        <w:rPr>
          <w:rFonts w:ascii="Calibri" w:eastAsia="FS Mencap" w:hAnsi="Calibri" w:cs="Calibri"/>
        </w:rPr>
        <w:t>, sets out the support and services that should be available in local areas to support people with a learning disability and/or autistic people who may display behaviour that challenges and to help prevent inappropriate detention in mental health hospitals. These were meant to be implemented by 2019, but they have not been met, and there is wide variation in progress between local area</w:t>
      </w:r>
      <w:r w:rsidRPr="00816934">
        <w:rPr>
          <w:rFonts w:ascii="Calibri" w:eastAsia="FS Mencap" w:hAnsi="Calibri" w:cs="Calibri"/>
        </w:rPr>
        <w:t>s in reducing their learning disability and autism inpatient rates, as well as developing the right support.</w:t>
      </w:r>
    </w:p>
    <w:p w:rsidR="00E9765F" w:rsidRPr="00816934" w:rsidP="004C3745">
      <w:pPr>
        <w:pStyle w:val="ListParagraph"/>
        <w:spacing w:after="0"/>
        <w:rPr>
          <w:rFonts w:ascii="Calibri" w:eastAsia="FS Mencap" w:hAnsi="Calibri" w:cs="Calibri"/>
        </w:rPr>
      </w:pPr>
    </w:p>
    <w:p w:rsidR="00E9765F" w:rsidP="004C3745">
      <w:pPr>
        <w:pStyle w:val="ListParagraph"/>
        <w:numPr>
          <w:ilvl w:val="0"/>
          <w:numId w:val="17"/>
        </w:numPr>
        <w:spacing w:after="0"/>
        <w:rPr>
          <w:rFonts w:ascii="Calibri" w:eastAsia="FS Mencap" w:hAnsi="Calibri" w:cs="Calibri"/>
        </w:rPr>
      </w:pPr>
      <w:r w:rsidRPr="00816934">
        <w:rPr>
          <w:rFonts w:ascii="Calibri" w:eastAsia="FS Mencap" w:hAnsi="Calibri" w:cs="Calibri"/>
        </w:rPr>
        <w:t xml:space="preserve">Perverse financial incentives remain a key challenge, and there needs to be much better working between </w:t>
      </w:r>
      <w:r w:rsidRPr="00816934">
        <w:rPr>
          <w:rFonts w:ascii="Calibri" w:eastAsia="FS Mencap" w:hAnsi="Calibri" w:cs="Calibri"/>
        </w:rPr>
        <w:t>ICBs and local authorities</w:t>
      </w:r>
      <w:r w:rsidRPr="00816934">
        <w:rPr>
          <w:rFonts w:ascii="Calibri" w:eastAsia="FS Mencap" w:hAnsi="Calibri" w:cs="Calibri"/>
        </w:rPr>
        <w:t xml:space="preserve">. Currently, if a local authority does not provide a package of care </w:t>
      </w:r>
      <w:r w:rsidRPr="00816934">
        <w:rPr>
          <w:rFonts w:ascii="Calibri" w:eastAsia="FS Mencap" w:hAnsi="Calibri" w:cs="Calibri"/>
        </w:rPr>
        <w:t xml:space="preserve">in the community </w:t>
      </w:r>
      <w:r w:rsidRPr="00816934">
        <w:rPr>
          <w:rFonts w:ascii="Calibri" w:eastAsia="FS Mencap" w:hAnsi="Calibri" w:cs="Calibri"/>
        </w:rPr>
        <w:t xml:space="preserve">which meets a person’s needs and they end up in crisis and </w:t>
      </w:r>
      <w:r w:rsidRPr="00816934">
        <w:rPr>
          <w:rFonts w:ascii="Calibri" w:eastAsia="FS Mencap" w:hAnsi="Calibri" w:cs="Calibri"/>
        </w:rPr>
        <w:t>sectioned in</w:t>
      </w:r>
      <w:r w:rsidRPr="00816934">
        <w:rPr>
          <w:rFonts w:ascii="Calibri" w:eastAsia="FS Mencap" w:hAnsi="Calibri" w:cs="Calibri"/>
        </w:rPr>
        <w:t xml:space="preserve"> a mental health hospital under the Mental Health Act, the NHS pay whilst the person is in the unit. The same perverse incentives contribute to delayed discharge, because once a person is back in the community, the local authority is likely to have to fund at least part of the person’s package in the community.</w:t>
      </w:r>
    </w:p>
    <w:p w:rsidR="00816934" w:rsidP="00816934">
      <w:pPr>
        <w:spacing w:after="0"/>
        <w:rPr>
          <w:rFonts w:ascii="Calibri" w:eastAsia="FS Mencap" w:hAnsi="Calibri" w:cs="Calibri"/>
        </w:rPr>
      </w:pPr>
    </w:p>
    <w:p w:rsidR="00816934" w:rsidP="00816934">
      <w:pPr>
        <w:spacing w:after="0"/>
        <w:rPr>
          <w:rFonts w:ascii="Calibri" w:eastAsia="FS Mencap" w:hAnsi="Calibri" w:cs="Calibri"/>
        </w:rPr>
      </w:pPr>
    </w:p>
    <w:p w:rsidR="00816934" w:rsidRPr="00816934" w:rsidP="00816934">
      <w:pPr>
        <w:spacing w:after="0"/>
        <w:rPr>
          <w:rFonts w:ascii="Calibri" w:eastAsia="FS Mencap" w:hAnsi="Calibri" w:cs="Calibri"/>
          <w:i/>
          <w:iCs/>
        </w:rPr>
      </w:pPr>
      <w:r w:rsidRPr="00816934">
        <w:rPr>
          <w:rFonts w:ascii="Calibri" w:eastAsia="FS Mencap" w:hAnsi="Calibri" w:cs="Calibri"/>
          <w:i/>
          <w:iCs/>
        </w:rPr>
        <w:t>May 2026</w:t>
      </w:r>
    </w:p>
    <w:sectPr>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ncap">
    <w:altName w:val="Calibri"/>
    <w:panose1 w:val="00000000000000000000"/>
    <w:charset w:val="00"/>
    <w:family w:val="modern"/>
    <w:notTrueType/>
    <w:pitch w:val="variable"/>
    <w:sig w:usb0="800000AF" w:usb1="4000204A" w:usb2="00000000" w:usb3="00000000" w:csb0="0000009B"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9765F" w:rsidP="00B80541">
      <w:pPr>
        <w:spacing w:after="0" w:line="240" w:lineRule="auto"/>
      </w:pPr>
      <w:r>
        <w:separator/>
      </w:r>
    </w:p>
  </w:footnote>
  <w:footnote w:type="continuationSeparator" w:id="1">
    <w:p w:rsidR="00E9765F" w:rsidP="00B80541">
      <w:pPr>
        <w:spacing w:after="0" w:line="240" w:lineRule="auto"/>
      </w:pPr>
      <w:r>
        <w:continuationSeparator/>
      </w:r>
    </w:p>
  </w:footnote>
  <w:footnote w:id="2">
    <w:p w:rsidR="00E9765F" w:rsidP="00C55404">
      <w:pPr>
        <w:pStyle w:val="FootnoteText"/>
      </w:pPr>
      <w:r>
        <w:rPr>
          <w:rStyle w:val="FootnoteReference"/>
        </w:rPr>
        <w:footnoteRef/>
      </w:r>
      <w:r>
        <w:t xml:space="preserve"> </w:t>
      </w:r>
      <w:r>
        <w:fldChar w:fldCharType="begin"/>
      </w:r>
      <w:r>
        <w:instrText xml:space="preserve"> HYPERLINK "https://disabledchildrenspartnership.org.uk/the-gap-widens/" </w:instrText>
      </w:r>
      <w:r>
        <w:fldChar w:fldCharType="separate"/>
      </w:r>
      <w:r w:rsidRPr="00C0096C">
        <w:rPr>
          <w:rStyle w:val="Hyperlink"/>
        </w:rPr>
        <w:t>https://disabledchildrenspartnership.org.uk/the-gap-widens/</w:t>
      </w:r>
      <w:r>
        <w:fldChar w:fldCharType="end"/>
      </w:r>
      <w:r>
        <w:t xml:space="preserve"> </w:t>
      </w:r>
    </w:p>
  </w:footnote>
  <w:footnote w:id="3">
    <w:p w:rsidR="00E9765F" w:rsidP="00C55404">
      <w:pPr>
        <w:pStyle w:val="FootnoteText"/>
      </w:pPr>
      <w:r>
        <w:rPr>
          <w:rStyle w:val="FootnoteReference"/>
        </w:rPr>
        <w:footnoteRef/>
      </w:r>
      <w:r>
        <w:t xml:space="preserve"> </w:t>
      </w:r>
      <w:r>
        <w:fldChar w:fldCharType="begin"/>
      </w:r>
      <w:r>
        <w:instrText xml:space="preserve"> HYPERLINK "https://www.local.gov.uk/parliament/briefings-and-responses/local-government-finances-and-impact-local-communities" </w:instrText>
      </w:r>
      <w:r>
        <w:fldChar w:fldCharType="separate"/>
      </w:r>
      <w:r w:rsidRPr="00C0096C">
        <w:rPr>
          <w:rStyle w:val="Hyperlink"/>
        </w:rPr>
        <w:t>https://www.local.gov.uk/parliament/briefings-and-responses/local-government-finances-and-impact-local-communities</w:t>
      </w:r>
      <w:r>
        <w:fldChar w:fldCharType="end"/>
      </w:r>
      <w:r>
        <w:t xml:space="preserve"> </w:t>
      </w:r>
    </w:p>
  </w:footnote>
  <w:footnote w:id="4">
    <w:p w:rsidR="00E9765F" w:rsidP="00C55404">
      <w:pPr>
        <w:pStyle w:val="FootnoteText"/>
      </w:pPr>
      <w:r>
        <w:rPr>
          <w:rStyle w:val="FootnoteReference"/>
        </w:rPr>
        <w:footnoteRef/>
      </w:r>
      <w:r>
        <w:t xml:space="preserve"> </w:t>
      </w:r>
      <w:r>
        <w:fldChar w:fldCharType="begin"/>
      </w:r>
      <w:r>
        <w:instrText xml:space="preserve"> HYPERLINK "https://www.local.gov.uk/about/news/children-care-figures-lga-calls-budget-funding-childrens-services" </w:instrText>
      </w:r>
      <w:r>
        <w:fldChar w:fldCharType="separate"/>
      </w:r>
      <w:r w:rsidRPr="00C0096C">
        <w:rPr>
          <w:rStyle w:val="Hyperlink"/>
        </w:rPr>
        <w:t>https://www.local.gov.uk/about/news/children-care-figures-lga-calls-budget-funding-childrens-services</w:t>
      </w:r>
      <w:r>
        <w:fldChar w:fldCharType="end"/>
      </w:r>
      <w:r>
        <w:t xml:space="preserve"> </w:t>
      </w:r>
    </w:p>
  </w:footnote>
  <w:footnote w:id="5">
    <w:p w:rsidR="00E9765F" w:rsidP="00C55404">
      <w:pPr>
        <w:pStyle w:val="FootnoteText"/>
      </w:pPr>
      <w:r>
        <w:rPr>
          <w:rStyle w:val="FootnoteReference"/>
        </w:rPr>
        <w:footnoteRef/>
      </w:r>
      <w:r>
        <w:t xml:space="preserve"> </w:t>
      </w:r>
      <w:r>
        <w:fldChar w:fldCharType="begin"/>
      </w:r>
      <w:r>
        <w:instrText xml:space="preserve"> HYPERLINK "https://www.countycouncilsnetwork.org.uk/new-analysis-reveals-two-thirds-of-social-care-commissioning-budgets-are-spent-on-working-age-and-disabled-adults-as-councils-call-for-this-forgotten-group-not-to-be-overlooked/" </w:instrText>
      </w:r>
      <w:r>
        <w:fldChar w:fldCharType="separate"/>
      </w:r>
      <w:r w:rsidRPr="00C0096C">
        <w:rPr>
          <w:rStyle w:val="Hyperlink"/>
        </w:rPr>
        <w:t>https://www.countycouncilsnetwork.org.uk/new-analysis-reveals-two-thirds-of-social-care-commissioning-budgets-are-spent-on-working-age-and-disabled-adults-as-councils-call-for-this-forgotten-group-not-to-be-overlooked/</w:t>
      </w:r>
      <w:r>
        <w:fldChar w:fldCharType="end"/>
      </w:r>
      <w:r>
        <w:t xml:space="preserve"> </w:t>
      </w:r>
    </w:p>
  </w:footnote>
  <w:footnote w:id="6">
    <w:p w:rsidR="00E9765F" w:rsidP="00C55404">
      <w:pPr>
        <w:pStyle w:val="FootnoteText"/>
      </w:pPr>
      <w:r>
        <w:rPr>
          <w:rStyle w:val="FootnoteReference"/>
        </w:rPr>
        <w:footnoteRef/>
      </w:r>
      <w:r>
        <w:t xml:space="preserve"> </w:t>
      </w:r>
      <w:r>
        <w:fldChar w:fldCharType="begin"/>
      </w:r>
      <w:r>
        <w:instrText xml:space="preserve"> HYPERLINK "https://www.countycouncilsnetwork.org.uk/new-analysis-reveals-two-thirds-of-social-care-commissioning-budgets-are-spent-on-working-age-and-disabled-adults-as-councils-call-for-this-forgotten-group-not-to-be-overlooked/" </w:instrText>
      </w:r>
      <w:r>
        <w:fldChar w:fldCharType="separate"/>
      </w:r>
      <w:r w:rsidRPr="00C0096C">
        <w:rPr>
          <w:rStyle w:val="Hyperlink"/>
        </w:rPr>
        <w:t>https://www.countycouncilsnetwork.org.uk/new-analysis-reveals-two-thirds-of-social-care-commissioning-budgets-are-spent-on-working-age-and-disabled-adults-as-councils-call-for-this-forgotten-group-not-to-be-overlooked/</w:t>
      </w:r>
      <w:r>
        <w:fldChar w:fldCharType="end"/>
      </w:r>
      <w:r>
        <w:t xml:space="preserve"> </w:t>
      </w:r>
    </w:p>
  </w:footnote>
  <w:footnote w:id="7">
    <w:p w:rsidR="00E9765F" w:rsidP="00C55404">
      <w:pPr>
        <w:pStyle w:val="FootnoteText"/>
      </w:pPr>
      <w:r>
        <w:rPr>
          <w:rStyle w:val="FootnoteReference"/>
        </w:rPr>
        <w:footnoteRef/>
      </w:r>
      <w:r>
        <w:t xml:space="preserve"> </w:t>
      </w:r>
      <w:r>
        <w:fldChar w:fldCharType="begin"/>
      </w:r>
      <w:r>
        <w:instrText xml:space="preserve"> HYPERLINK "https://www.kingsfund.org.uk/insight-and-analysis/long-reads/social-care-360" </w:instrText>
      </w:r>
      <w:r>
        <w:fldChar w:fldCharType="separate"/>
      </w:r>
      <w:r w:rsidRPr="00C0096C">
        <w:rPr>
          <w:rStyle w:val="Hyperlink"/>
        </w:rPr>
        <w:t>https://www.kingsfund.org.uk/insight-and-analysis/long-reads/social-care-360</w:t>
      </w:r>
      <w:r>
        <w:fldChar w:fldCharType="end"/>
      </w:r>
      <w:r>
        <w:t xml:space="preserve"> </w:t>
      </w:r>
    </w:p>
  </w:footnote>
  <w:footnote w:id="8">
    <w:p w:rsidR="00E9765F" w:rsidP="00C55404">
      <w:pPr>
        <w:pStyle w:val="FootnoteText"/>
      </w:pPr>
      <w:r>
        <w:rPr>
          <w:rStyle w:val="FootnoteReference"/>
        </w:rPr>
        <w:footnoteRef/>
      </w:r>
      <w:r>
        <w:t xml:space="preserve"> </w:t>
      </w:r>
      <w:r>
        <w:fldChar w:fldCharType="begin"/>
      </w:r>
      <w:r>
        <w:instrText xml:space="preserve"> HYPERLINK "https://www.local.gov.uk/about/news/councils-warn-cuts-neighbourhood-services-lga-survey" </w:instrText>
      </w:r>
      <w:r>
        <w:fldChar w:fldCharType="separate"/>
      </w:r>
      <w:r w:rsidRPr="00C0096C">
        <w:rPr>
          <w:rStyle w:val="Hyperlink"/>
        </w:rPr>
        <w:t>https://www.local.gov.uk/about/news/councils-warn-cuts-neighbourhood-services-lga-survey</w:t>
      </w:r>
      <w:r>
        <w:fldChar w:fldCharType="end"/>
      </w:r>
      <w:r>
        <w:t xml:space="preserve"> </w:t>
      </w:r>
    </w:p>
  </w:footnote>
  <w:footnote w:id="9">
    <w:p w:rsidR="00E9765F" w:rsidP="00C55404">
      <w:pPr>
        <w:pStyle w:val="FootnoteText"/>
      </w:pPr>
      <w:r>
        <w:rPr>
          <w:rStyle w:val="FootnoteReference"/>
        </w:rPr>
        <w:footnoteRef/>
      </w:r>
      <w:r>
        <w:t xml:space="preserve"> </w:t>
      </w:r>
      <w:r>
        <w:fldChar w:fldCharType="begin"/>
      </w:r>
      <w:r>
        <w:instrText xml:space="preserve"> HYPERLINK "https://www.nao.org.uk/wp-content/uploads/2025/02/local-government-financial-sustainability.pdf" </w:instrText>
      </w:r>
      <w:r>
        <w:fldChar w:fldCharType="separate"/>
      </w:r>
      <w:r w:rsidRPr="00C0096C">
        <w:rPr>
          <w:rStyle w:val="Hyperlink"/>
        </w:rPr>
        <w:t>https://www.nao.org.uk/wp-content/uploads/2025/02/local-government-financial-sustainability.pdf</w:t>
      </w:r>
      <w:r>
        <w:fldChar w:fldCharType="end"/>
      </w:r>
      <w:r>
        <w:t xml:space="preserve"> </w:t>
      </w:r>
    </w:p>
  </w:footnote>
  <w:footnote w:id="10">
    <w:p w:rsidR="00E9765F" w:rsidP="00C55404">
      <w:pPr>
        <w:pStyle w:val="FootnoteText"/>
      </w:pPr>
      <w:r>
        <w:rPr>
          <w:rStyle w:val="FootnoteReference"/>
        </w:rPr>
        <w:footnoteRef/>
      </w:r>
      <w:r>
        <w:t xml:space="preserve"> </w:t>
      </w:r>
      <w:r>
        <w:fldChar w:fldCharType="begin"/>
      </w:r>
      <w:r>
        <w:instrText xml:space="preserve"> HYPERLINK "https://www.mencap.org.uk/press-release/new-research-mencap-reveals-widespread-loneliness-almost-third-people-learning" </w:instrText>
      </w:r>
      <w:r>
        <w:fldChar w:fldCharType="separate"/>
      </w:r>
      <w:r w:rsidRPr="00C0096C">
        <w:rPr>
          <w:rStyle w:val="Hyperlink"/>
        </w:rPr>
        <w:t>https://www.mencap.org.uk/press-release/new-research-mencap-reveals-widespread-loneliness-almost-third-people-learning</w:t>
      </w:r>
      <w:r>
        <w:fldChar w:fldCharType="end"/>
      </w:r>
      <w:r>
        <w:t xml:space="preserve"> </w:t>
      </w:r>
    </w:p>
  </w:footnote>
  <w:footnote w:id="11">
    <w:p w:rsidR="00E9765F" w:rsidP="00D81760">
      <w:pPr>
        <w:pStyle w:val="FootnoteText"/>
      </w:pPr>
      <w:r>
        <w:rPr>
          <w:rStyle w:val="FootnoteReference"/>
        </w:rPr>
        <w:footnoteRef/>
      </w:r>
      <w:r>
        <w:t xml:space="preserve"> </w:t>
      </w:r>
      <w:r>
        <w:fldChar w:fldCharType="begin"/>
      </w:r>
      <w:r>
        <w:instrText xml:space="preserve"> HYPERLINK "https://disabledchildrenspartnership.org.uk/wp-content/uploads/2022/12/TRANSITIONS_v3_22062022-002.pdf" </w:instrText>
      </w:r>
      <w:r>
        <w:fldChar w:fldCharType="separate"/>
      </w:r>
      <w:r w:rsidRPr="000514FB">
        <w:rPr>
          <w:rStyle w:val="Hyperlink"/>
        </w:rPr>
        <w:t>https://disabledchildrenspartnership.org.uk/wp-content/uploads/2022/12/TRANSITIONS_v3_22062022-002.pdf</w:t>
      </w:r>
      <w:r>
        <w:fldChar w:fldCharType="end"/>
      </w:r>
      <w:r>
        <w:t xml:space="preserve"> </w:t>
      </w:r>
    </w:p>
  </w:footnote>
  <w:footnote w:id="12">
    <w:p w:rsidR="00E9765F" w:rsidP="00D81760">
      <w:pPr>
        <w:pStyle w:val="FootnoteText"/>
      </w:pPr>
      <w:r>
        <w:rPr>
          <w:rStyle w:val="FootnoteReference"/>
        </w:rPr>
        <w:footnoteRef/>
      </w:r>
      <w:r>
        <w:t xml:space="preserve"> </w:t>
      </w:r>
      <w:r>
        <w:fldChar w:fldCharType="begin"/>
      </w:r>
      <w:r>
        <w:instrText xml:space="preserve"> HYPERLINK "https://www.cqc.org.uk/sites/default/files/CQC_Transition%20Report.pdf" </w:instrText>
      </w:r>
      <w:r>
        <w:fldChar w:fldCharType="separate"/>
      </w:r>
      <w:r w:rsidRPr="000514FB">
        <w:rPr>
          <w:rStyle w:val="Hyperlink"/>
        </w:rPr>
        <w:t>https://www.cqc.org.uk/sites/default/files/CQC_Transition%20Report.pdf</w:t>
      </w:r>
      <w:r>
        <w:fldChar w:fldCharType="end"/>
      </w:r>
      <w:r>
        <w:t xml:space="preserve"> </w:t>
      </w:r>
    </w:p>
  </w:footnote>
  <w:footnote w:id="13">
    <w:p w:rsidR="00E9765F" w:rsidP="00D81760">
      <w:pPr>
        <w:pStyle w:val="FootnoteText"/>
      </w:pPr>
      <w:r>
        <w:rPr>
          <w:rStyle w:val="FootnoteReference"/>
        </w:rPr>
        <w:footnoteRef/>
      </w:r>
      <w:r>
        <w:t xml:space="preserve"> </w:t>
      </w:r>
      <w:r w:rsidRPr="000C6379">
        <w:t>Kaehne, A. (2012).</w:t>
      </w:r>
      <w:r w:rsidRPr="000C6379">
        <w:rPr>
          <w:rFonts w:ascii="Calibri" w:hAnsi="Calibri" w:cs="Calibri"/>
        </w:rPr>
        <w:t> </w:t>
      </w:r>
      <w:r w:rsidRPr="000C6379">
        <w:rPr>
          <w:i/>
          <w:iCs/>
        </w:rPr>
        <w:t>Transition for young people with learning disabilities.</w:t>
      </w:r>
      <w:r w:rsidRPr="000C6379">
        <w:rPr>
          <w:rFonts w:ascii="Calibri" w:hAnsi="Calibri" w:cs="Calibri"/>
        </w:rPr>
        <w:t> </w:t>
      </w:r>
      <w:r w:rsidRPr="000C6379">
        <w:t>Cardiff: Social Services Improvement Agency (SSIA)</w:t>
      </w:r>
    </w:p>
  </w:footnote>
  <w:footnote w:id="14">
    <w:p w:rsidR="00E9765F" w:rsidP="00D81760">
      <w:pPr>
        <w:pStyle w:val="FootnoteText"/>
      </w:pPr>
      <w:r>
        <w:rPr>
          <w:rStyle w:val="FootnoteReference"/>
        </w:rPr>
        <w:footnoteRef/>
      </w:r>
      <w:r>
        <w:t xml:space="preserve"> </w:t>
      </w:r>
      <w:r>
        <w:fldChar w:fldCharType="begin"/>
      </w:r>
      <w:r>
        <w:instrText xml:space="preserve"> HYPERLINK "https://councilfordisabledchildren.org.uk/adulthood" </w:instrText>
      </w:r>
      <w:r>
        <w:fldChar w:fldCharType="separate"/>
      </w:r>
      <w:r w:rsidRPr="000514FB">
        <w:rPr>
          <w:rStyle w:val="Hyperlink"/>
        </w:rPr>
        <w:t>https://councilfordisabledchildren.org.uk/adulthood</w:t>
      </w:r>
      <w:r>
        <w:fldChar w:fldCharType="end"/>
      </w:r>
      <w:r>
        <w:t xml:space="preserve"> </w:t>
      </w:r>
    </w:p>
  </w:footnote>
  <w:footnote w:id="15">
    <w:p w:rsidR="00E9765F" w:rsidP="00D81760">
      <w:pPr>
        <w:pStyle w:val="FootnoteText"/>
      </w:pPr>
      <w:r>
        <w:rPr>
          <w:rStyle w:val="FootnoteReference"/>
        </w:rPr>
        <w:footnoteRef/>
      </w:r>
      <w:r>
        <w:t xml:space="preserve"> </w:t>
      </w:r>
      <w:r>
        <w:fldChar w:fldCharType="begin"/>
      </w:r>
      <w:r>
        <w:instrText xml:space="preserve"> HYPERLINK "https://webarchive.nationalarchives.gov.uk/ukgwa/20230308122535mp_/https://childrenssocialcare.independent-review.uk/wp-content/uploads/2022/05/The-independent-review-of-childrens-social-care-Final-report.pdf" </w:instrText>
      </w:r>
      <w:r>
        <w:fldChar w:fldCharType="separate"/>
      </w:r>
      <w:r w:rsidRPr="00C0096C">
        <w:rPr>
          <w:rStyle w:val="Hyperlink"/>
        </w:rPr>
        <w:t>https://webarchive.nationalarchives.gov.uk/ukgwa/20230308122535mp_/https://childrenssocialcare.independent-review.uk/wp-content/uploads/2022/05/The-independent-review-of-childrens-social-care-Final-report.pdf</w:t>
      </w:r>
      <w:r>
        <w:fldChar w:fldCharType="end"/>
      </w:r>
      <w:r>
        <w:t xml:space="preserve"> </w:t>
      </w:r>
    </w:p>
  </w:footnote>
  <w:footnote w:id="16">
    <w:p w:rsidR="00E9765F" w:rsidP="00D81760">
      <w:pPr>
        <w:pStyle w:val="FootnoteText"/>
      </w:pPr>
      <w:r>
        <w:rPr>
          <w:rStyle w:val="FootnoteReference"/>
        </w:rPr>
        <w:footnoteRef/>
      </w:r>
      <w:r>
        <w:t xml:space="preserve"> </w:t>
      </w:r>
      <w:r>
        <w:fldChar w:fldCharType="begin"/>
      </w:r>
      <w:r>
        <w:instrText xml:space="preserve"> HYPERLINK "https://publications.parliament.uk/pa/cm5901/cmselect/cmeduc/492/report.html" </w:instrText>
      </w:r>
      <w:r>
        <w:fldChar w:fldCharType="separate"/>
      </w:r>
      <w:r w:rsidRPr="00E60D5A">
        <w:rPr>
          <w:rStyle w:val="Hyperlink"/>
        </w:rPr>
        <w:t>https://publications.parliament.uk/pa/cm5901/cmselect/cmeduc/492/report.html</w:t>
      </w:r>
      <w:r>
        <w:fldChar w:fldCharType="end"/>
      </w:r>
    </w:p>
  </w:footnote>
  <w:footnote w:id="17">
    <w:p w:rsidR="00E9765F" w:rsidP="00D81760">
      <w:pPr>
        <w:pStyle w:val="FootnoteText"/>
      </w:pPr>
      <w:r>
        <w:rPr>
          <w:rStyle w:val="FootnoteReference"/>
        </w:rPr>
        <w:footnoteRef/>
      </w:r>
      <w:r>
        <w:t xml:space="preserve"> </w:t>
      </w:r>
      <w:r>
        <w:fldChar w:fldCharType="begin"/>
      </w:r>
      <w:r>
        <w:instrText xml:space="preserve"> HYPERLINK "https://www.challengingbehaviour.org.uk/action-plan/for-policy-makers/transition-to-adulthood/" </w:instrText>
      </w:r>
      <w:r>
        <w:fldChar w:fldCharType="separate"/>
      </w:r>
      <w:r w:rsidRPr="000514FB">
        <w:rPr>
          <w:rStyle w:val="Hyperlink"/>
        </w:rPr>
        <w:t>https://www.challengingbehaviour.org.uk/action-plan/for-policy-makers/transition-to-adulthood/</w:t>
      </w:r>
      <w:r>
        <w:fldChar w:fldCharType="end"/>
      </w:r>
      <w:r>
        <w:t xml:space="preserve"> </w:t>
      </w:r>
    </w:p>
  </w:footnote>
  <w:footnote w:id="18">
    <w:p w:rsidR="00E9765F" w:rsidP="00FE4AFD">
      <w:pPr>
        <w:pStyle w:val="FootnoteText"/>
      </w:pPr>
      <w:r>
        <w:rPr>
          <w:rStyle w:val="FootnoteReference"/>
        </w:rPr>
        <w:footnoteRef/>
      </w:r>
      <w:r>
        <w:t xml:space="preserve"> </w:t>
      </w:r>
      <w:r>
        <w:fldChar w:fldCharType="begin"/>
      </w:r>
      <w:r>
        <w:instrText xml:space="preserve"> HYPERLINK "https://assets.publishing.service.gov.uk/media/5a7dcb85ed915d2ac884d995/SEND_Code_of_Practice_January_2015.pdf" </w:instrText>
      </w:r>
      <w:r>
        <w:fldChar w:fldCharType="separate"/>
      </w:r>
      <w:r w:rsidRPr="000514FB">
        <w:rPr>
          <w:rStyle w:val="Hyperlink"/>
        </w:rPr>
        <w:t>https://assets.publishing.service.gov.uk/media/5a7dcb85ed915d2ac884d995/SEND_Code_of_Practice_January_2015.pdf</w:t>
      </w:r>
      <w:r>
        <w:fldChar w:fldCharType="end"/>
      </w:r>
      <w:r>
        <w:t xml:space="preserve"> </w:t>
      </w:r>
    </w:p>
  </w:footnote>
  <w:footnote w:id="19">
    <w:p w:rsidR="00E9765F" w:rsidP="00FE4AFD">
      <w:pPr>
        <w:pStyle w:val="FootnoteText"/>
      </w:pPr>
      <w:r>
        <w:rPr>
          <w:rStyle w:val="FootnoteReference"/>
        </w:rPr>
        <w:footnoteRef/>
      </w:r>
      <w:r>
        <w:t xml:space="preserve"> </w:t>
      </w:r>
      <w:r w:rsidRPr="00D466B1">
        <w:t>Hetherington, S. A., Durant-Jones, L., Johnson, K., Nolan, K., Smith, E.,</w:t>
      </w:r>
      <w:r w:rsidRPr="00D466B1">
        <w:rPr>
          <w:rFonts w:ascii="Calibri" w:hAnsi="Calibri" w:cs="Calibri"/>
        </w:rPr>
        <w:t> </w:t>
      </w:r>
      <w:r w:rsidRPr="00D466B1">
        <w:t>Taylor-Brown, S., &amp; Tuttle, J. (2010). The lived experiences of adolescents with disabilities and their parents in transition planning.</w:t>
      </w:r>
      <w:r w:rsidRPr="00D466B1">
        <w:rPr>
          <w:rFonts w:ascii="Calibri" w:hAnsi="Calibri" w:cs="Calibri"/>
        </w:rPr>
        <w:t> </w:t>
      </w:r>
      <w:r w:rsidRPr="00D466B1">
        <w:rPr>
          <w:i/>
          <w:iCs/>
        </w:rPr>
        <w:t>Focus on Autism and Other Developmental Disabilities, 25</w:t>
      </w:r>
      <w:r w:rsidRPr="00D466B1">
        <w:t>(3), 163-172. doi:10.1177/1088357610373760</w:t>
      </w:r>
      <w:r>
        <w:rPr>
          <w:rFonts w:ascii="Calibri" w:hAnsi="Calibri" w:cs="Calibri"/>
        </w:rPr>
        <w:t xml:space="preserve"> </w:t>
      </w:r>
    </w:p>
  </w:footnote>
  <w:footnote w:id="20">
    <w:p w:rsidR="00E9765F" w:rsidP="00FE4AFD">
      <w:pPr>
        <w:pStyle w:val="FootnoteText"/>
      </w:pPr>
      <w:r>
        <w:rPr>
          <w:rStyle w:val="FootnoteReference"/>
        </w:rPr>
        <w:footnoteRef/>
      </w:r>
      <w:r>
        <w:t xml:space="preserve"> </w:t>
      </w:r>
      <w:r w:rsidRPr="00324391">
        <w:t>Arnold, L. (2024).</w:t>
      </w:r>
      <w:r w:rsidRPr="00324391">
        <w:rPr>
          <w:rFonts w:ascii="Calibri" w:hAnsi="Calibri" w:cs="Calibri"/>
        </w:rPr>
        <w:t> </w:t>
      </w:r>
      <w:r w:rsidRPr="00324391">
        <w:rPr>
          <w:i/>
          <w:iCs/>
        </w:rPr>
        <w:t>Parents,</w:t>
      </w:r>
      <w:r w:rsidRPr="00324391">
        <w:rPr>
          <w:rFonts w:ascii="Calibri" w:hAnsi="Calibri" w:cs="Calibri"/>
          <w:i/>
          <w:iCs/>
        </w:rPr>
        <w:t> </w:t>
      </w:r>
      <w:r w:rsidRPr="00324391">
        <w:rPr>
          <w:i/>
          <w:iCs/>
        </w:rPr>
        <w:t>power</w:t>
      </w:r>
      <w:r w:rsidRPr="00324391">
        <w:rPr>
          <w:rFonts w:ascii="Calibri" w:hAnsi="Calibri" w:cs="Calibri"/>
          <w:i/>
          <w:iCs/>
        </w:rPr>
        <w:t> </w:t>
      </w:r>
      <w:r w:rsidRPr="00324391">
        <w:rPr>
          <w:i/>
          <w:iCs/>
        </w:rPr>
        <w:t>and partnership: A qualitative study of family experiences of the education,</w:t>
      </w:r>
      <w:r w:rsidRPr="00324391">
        <w:rPr>
          <w:rFonts w:ascii="Calibri" w:hAnsi="Calibri" w:cs="Calibri"/>
          <w:i/>
          <w:iCs/>
        </w:rPr>
        <w:t> </w:t>
      </w:r>
      <w:r w:rsidRPr="00324391">
        <w:rPr>
          <w:i/>
          <w:iCs/>
        </w:rPr>
        <w:t>health</w:t>
      </w:r>
      <w:r w:rsidRPr="00324391">
        <w:rPr>
          <w:rFonts w:ascii="Calibri" w:hAnsi="Calibri" w:cs="Calibri"/>
          <w:i/>
          <w:iCs/>
        </w:rPr>
        <w:t> </w:t>
      </w:r>
      <w:r w:rsidRPr="00324391">
        <w:rPr>
          <w:i/>
          <w:iCs/>
        </w:rPr>
        <w:t>and care plan process</w:t>
      </w:r>
      <w:r w:rsidRPr="00324391">
        <w:rPr>
          <w:rFonts w:ascii="Calibri" w:hAnsi="Calibri" w:cs="Calibri"/>
        </w:rPr>
        <w:t> </w:t>
      </w:r>
      <w:r w:rsidRPr="00324391">
        <w:t>[Doctoral dissertation, University of East London]. UEL Research Repository.</w:t>
      </w:r>
      <w:r w:rsidRPr="00324391">
        <w:rPr>
          <w:rFonts w:ascii="Calibri" w:hAnsi="Calibri" w:cs="Calibri"/>
        </w:rPr>
        <w:t> </w:t>
      </w:r>
      <w:r>
        <w:fldChar w:fldCharType="begin"/>
      </w:r>
      <w:r>
        <w:instrText xml:space="preserve"> HYPERLINK "https://doi.org/10.15123/uel.8yxx4" \t "_blank" </w:instrText>
      </w:r>
      <w:r>
        <w:fldChar w:fldCharType="separate"/>
      </w:r>
      <w:r w:rsidRPr="00324391">
        <w:rPr>
          <w:rStyle w:val="Hyperlink"/>
        </w:rPr>
        <w:t>https://doi.org/10.15123/uel.8yxx4</w:t>
      </w:r>
      <w:r>
        <w:fldChar w:fldCharType="end"/>
      </w:r>
      <w:r>
        <w:t>;</w:t>
      </w:r>
    </w:p>
    <w:p w:rsidR="00E9765F" w:rsidP="00FE4AFD">
      <w:pPr>
        <w:pStyle w:val="FootnoteText"/>
      </w:pPr>
      <w:r w:rsidRPr="00A469EE">
        <w:t>Wilson, A. (2017).</w:t>
      </w:r>
      <w:r w:rsidRPr="00A469EE">
        <w:rPr>
          <w:rFonts w:ascii="Calibri" w:hAnsi="Calibri" w:cs="Calibri"/>
        </w:rPr>
        <w:t> </w:t>
      </w:r>
      <w:r w:rsidRPr="00A469EE">
        <w:rPr>
          <w:i/>
          <w:iCs/>
        </w:rPr>
        <w:t>Exploring children's views and experiences of having a learning difficulty and the support they receive at school</w:t>
      </w:r>
      <w:r w:rsidRPr="00A469EE">
        <w:rPr>
          <w:rFonts w:ascii="Calibri" w:hAnsi="Calibri" w:cs="Calibri"/>
        </w:rPr>
        <w:t> </w:t>
      </w:r>
      <w:r w:rsidRPr="00A469EE">
        <w:t>[Doctoral dissertation, University of East London]. UEL Research Repository</w:t>
      </w:r>
    </w:p>
  </w:footnote>
  <w:footnote w:id="21">
    <w:p w:rsidR="00E9765F" w:rsidP="00FE4AFD">
      <w:pPr>
        <w:pStyle w:val="FootnoteText"/>
      </w:pPr>
      <w:r>
        <w:rPr>
          <w:rStyle w:val="FootnoteReference"/>
        </w:rPr>
        <w:footnoteRef/>
      </w:r>
      <w:r>
        <w:t xml:space="preserve"> </w:t>
      </w:r>
      <w:r>
        <w:fldChar w:fldCharType="begin"/>
      </w:r>
      <w:r>
        <w:instrText xml:space="preserve"> HYPERLINK "https://disabledchildrenspartnership.org.uk/wp-content/uploads/2025/07/Fight-For-Ordinary-report.pdf" </w:instrText>
      </w:r>
      <w:r>
        <w:fldChar w:fldCharType="separate"/>
      </w:r>
      <w:r w:rsidRPr="000514FB">
        <w:rPr>
          <w:rStyle w:val="Hyperlink"/>
        </w:rPr>
        <w:t>https://disabledchildrenspartnership.org.uk/wp-content/uploads/2025/07/Fight-For-Ordinary-report.pdf</w:t>
      </w:r>
      <w:r>
        <w:fldChar w:fldCharType="end"/>
      </w:r>
      <w:r>
        <w:t xml:space="preserve"> </w:t>
      </w:r>
    </w:p>
  </w:footnote>
  <w:footnote w:id="22">
    <w:p w:rsidR="00E9765F" w:rsidP="00FE4AFD">
      <w:pPr>
        <w:pStyle w:val="FootnoteText"/>
      </w:pPr>
      <w:r>
        <w:rPr>
          <w:rStyle w:val="FootnoteReference"/>
        </w:rPr>
        <w:footnoteRef/>
      </w:r>
      <w:r>
        <w:t xml:space="preserve"> </w:t>
      </w:r>
      <w:r w:rsidRPr="00766C28">
        <w:t>Pearlman, S., &amp; Michaels, D. (2019). Hearing the voice of children and young people with a learning disability during the educational health care plan (EHCP).</w:t>
      </w:r>
      <w:r w:rsidRPr="00766C28">
        <w:rPr>
          <w:rFonts w:ascii="Calibri" w:hAnsi="Calibri" w:cs="Calibri"/>
        </w:rPr>
        <w:t> </w:t>
      </w:r>
      <w:r w:rsidRPr="00766C28">
        <w:rPr>
          <w:i/>
          <w:iCs/>
        </w:rPr>
        <w:t>Support for Learning</w:t>
      </w:r>
      <w:r w:rsidRPr="00766C28">
        <w:t>, 34(2), 148-161.</w:t>
      </w:r>
      <w:r w:rsidRPr="00766C28">
        <w:rPr>
          <w:rFonts w:ascii="Calibri" w:hAnsi="Calibri" w:cs="Calibri"/>
        </w:rPr>
        <w:t> </w:t>
      </w:r>
      <w:r>
        <w:fldChar w:fldCharType="begin"/>
      </w:r>
      <w:r>
        <w:instrText xml:space="preserve"> HYPERLINK "https://doi.org/10.1111/1467-9604.12245" \t "_blank" </w:instrText>
      </w:r>
      <w:r>
        <w:fldChar w:fldCharType="separate"/>
      </w:r>
      <w:r w:rsidRPr="00766C28">
        <w:rPr>
          <w:rStyle w:val="Hyperlink"/>
        </w:rPr>
        <w:t>https://doi.org/10.1111/1467-9604.12245</w:t>
      </w:r>
      <w:r>
        <w:fldChar w:fldCharType="end"/>
      </w:r>
    </w:p>
  </w:footnote>
  <w:footnote w:id="23">
    <w:p w:rsidR="00E9765F" w:rsidP="00FE4AFD">
      <w:pPr>
        <w:pStyle w:val="FootnoteText"/>
      </w:pPr>
      <w:r w:rsidRPr="28CDFC7A">
        <w:rPr>
          <w:rStyle w:val="FootnoteReference"/>
        </w:rPr>
        <w:footnoteRef/>
      </w:r>
      <w:r>
        <w:t xml:space="preserve"> What Matters to Me, the Challenging Behaviour Foundation, which has a focus on Transition to adulthood: </w:t>
      </w:r>
      <w:r>
        <w:fldChar w:fldCharType="begin"/>
      </w:r>
      <w:r>
        <w:instrText xml:space="preserve"> HYPERLINK "https://www.challengingbehaviour.org.uk/what-we-do/projects-and-research/what-matters-to-me/" </w:instrText>
      </w:r>
      <w:r>
        <w:fldChar w:fldCharType="separate"/>
      </w:r>
      <w:r w:rsidRPr="2343D813">
        <w:rPr>
          <w:rStyle w:val="Hyperlink"/>
        </w:rPr>
        <w:t>https://www.challengingbehaviour.org.uk/what-we-do/projects-and-research/what-matters-to-me</w:t>
      </w:r>
      <w:r w:rsidRPr="4E039D2C">
        <w:rPr>
          <w:rStyle w:val="Hyperlink"/>
        </w:rPr>
        <w:t>/</w:t>
      </w:r>
      <w:r>
        <w:fldChar w:fldCharType="end"/>
      </w:r>
      <w:r>
        <w:t>;</w:t>
      </w:r>
    </w:p>
    <w:p w:rsidR="00E9765F" w:rsidP="00FE4AFD">
      <w:pPr>
        <w:pStyle w:val="FootnoteText"/>
      </w:pPr>
      <w:r>
        <w:t>Valuing the views of children with a learning disability</w:t>
      </w:r>
      <w:r>
        <w:t>, the</w:t>
      </w:r>
      <w:r>
        <w:t xml:space="preserve"> Challenging Behaviour Foundation &amp; Mencap. (2017). </w:t>
      </w:r>
      <w:r>
        <w:fldChar w:fldCharType="begin"/>
      </w:r>
      <w:r>
        <w:instrText xml:space="preserve"> HYPERLINK "https://www.challengingbehaviour.org.uk/cbf-articles/valuingtheviews.html" </w:instrText>
      </w:r>
      <w:r>
        <w:fldChar w:fldCharType="separate"/>
      </w:r>
      <w:r w:rsidRPr="28CDFC7A">
        <w:rPr>
          <w:rStyle w:val="Hyperlink"/>
        </w:rPr>
        <w:t>www.challengingbehaviour.org.uk/cbf-articles/valuingtheviews.html</w:t>
      </w:r>
      <w:r>
        <w:fldChar w:fldCharType="end"/>
      </w:r>
      <w:r>
        <w:t>;</w:t>
      </w:r>
    </w:p>
    <w:p w:rsidR="00E9765F" w:rsidP="00FE4AFD">
      <w:pPr>
        <w:pStyle w:val="FootnoteText"/>
      </w:pPr>
      <w:r>
        <w:t xml:space="preserve">Involve Me project, Mencap and </w:t>
      </w:r>
      <w:r>
        <w:t>BILD</w:t>
      </w:r>
      <w:r>
        <w:t xml:space="preserve"> (</w:t>
      </w:r>
      <w:r>
        <w:t>2011</w:t>
      </w:r>
      <w:r>
        <w:t>):</w:t>
      </w:r>
      <w:r>
        <w:t xml:space="preserve"> </w:t>
      </w:r>
      <w:r>
        <w:fldChar w:fldCharType="begin"/>
      </w:r>
      <w:r>
        <w:instrText xml:space="preserve"> HYPERLINK "https://www.mencap.org.uk/learning-disability-explained/profound-and-multiple-learning-disabilities-pmld/pmld-involve-me" </w:instrText>
      </w:r>
      <w:r>
        <w:fldChar w:fldCharType="separate"/>
      </w:r>
      <w:r w:rsidRPr="2343D813">
        <w:rPr>
          <w:rStyle w:val="Hyperlink"/>
        </w:rPr>
        <w:t>https://www.mencap.org.uk/learning-disability-explained/profound-and-multiple-learning-disabilities-pmld/pmld-involve-me</w:t>
      </w:r>
      <w:r>
        <w:fldChar w:fldCharType="end"/>
      </w:r>
    </w:p>
    <w:p w:rsidR="00E9765F" w:rsidP="00FE4AFD">
      <w:pPr>
        <w:pStyle w:val="FootnoteText"/>
      </w:pPr>
    </w:p>
    <w:p w:rsidR="00E9765F" w:rsidP="00FE4AFD">
      <w:pPr>
        <w:pStyle w:val="FootnoteText"/>
      </w:pPr>
    </w:p>
  </w:footnote>
  <w:footnote w:id="24">
    <w:p w:rsidR="00E9765F" w:rsidP="00644FA3">
      <w:pPr>
        <w:pStyle w:val="FootnoteText"/>
      </w:pPr>
      <w:r>
        <w:rPr>
          <w:rStyle w:val="FootnoteReference"/>
        </w:rPr>
        <w:footnoteRef/>
      </w:r>
      <w:r>
        <w:t xml:space="preserve"> </w:t>
      </w:r>
      <w:r>
        <w:fldChar w:fldCharType="begin"/>
      </w:r>
      <w:r>
        <w:instrText xml:space="preserve"> HYPERLINK "https://disabledchildrenspartnership.org.uk/wp-content/uploads/2025/07/Fight-For-Ordinary-report.pdf" </w:instrText>
      </w:r>
      <w:r>
        <w:fldChar w:fldCharType="separate"/>
      </w:r>
      <w:r w:rsidRPr="000514FB">
        <w:rPr>
          <w:rStyle w:val="Hyperlink"/>
        </w:rPr>
        <w:t>https://disabledchildrenspartnership.org.uk/wp-content/uploads/2025/07/Fight-For-Ordinary-report.pdf</w:t>
      </w:r>
      <w:r>
        <w:fldChar w:fldCharType="end"/>
      </w:r>
      <w:r>
        <w:t xml:space="preserve"> </w:t>
      </w:r>
    </w:p>
  </w:footnote>
  <w:footnote w:id="25">
    <w:p w:rsidR="00E9765F" w:rsidP="00644FA3">
      <w:pPr>
        <w:pStyle w:val="FootnoteText"/>
      </w:pPr>
      <w:r>
        <w:rPr>
          <w:rStyle w:val="FootnoteReference"/>
        </w:rPr>
        <w:footnoteRef/>
      </w:r>
      <w:r>
        <w:t xml:space="preserve"> </w:t>
      </w:r>
      <w:r>
        <w:fldChar w:fldCharType="begin"/>
      </w:r>
      <w:r>
        <w:instrText xml:space="preserve"> HYPERLINK "https://disabledchildrenspartnership.org.uk/wp-content/uploads/2024/09/TCT-SOCIAL-CARE-REPORT.pdf" </w:instrText>
      </w:r>
      <w:r>
        <w:fldChar w:fldCharType="separate"/>
      </w:r>
      <w:r w:rsidRPr="000514FB">
        <w:rPr>
          <w:rStyle w:val="Hyperlink"/>
        </w:rPr>
        <w:t>https://disabledchildrenspartnership.org.uk/wp-content/uploads/2024/09/TCT-SOCIAL-CARE-REPORT.pdf</w:t>
      </w:r>
      <w:r>
        <w:fldChar w:fldCharType="end"/>
      </w:r>
      <w:r>
        <w:t xml:space="preserve"> </w:t>
      </w:r>
    </w:p>
  </w:footnote>
  <w:footnote w:id="26">
    <w:p w:rsidR="00E9765F" w:rsidP="00FE0A4B">
      <w:pPr>
        <w:pStyle w:val="FootnoteText"/>
      </w:pPr>
      <w:r>
        <w:rPr>
          <w:rStyle w:val="FootnoteReference"/>
        </w:rPr>
        <w:footnoteRef/>
      </w:r>
      <w:r>
        <w:t xml:space="preserve"> </w:t>
      </w:r>
      <w:r>
        <w:fldChar w:fldCharType="begin"/>
      </w:r>
      <w:r>
        <w:instrText xml:space="preserve"> HYPERLINK "https://basw.co.uk/sites/default/files/2024-03/181325%20General%20Election%202024%20Manifesto%20England%20%282%29.pdf" </w:instrText>
      </w:r>
      <w:r>
        <w:fldChar w:fldCharType="separate"/>
      </w:r>
      <w:r w:rsidRPr="000514FB">
        <w:rPr>
          <w:rStyle w:val="Hyperlink"/>
        </w:rPr>
        <w:t>https://basw.co.uk/sites/default/files/2024-03/181325%20General%20Election%202024%20Manifesto%20England%20%282%29.pdf</w:t>
      </w:r>
      <w:r>
        <w:fldChar w:fldCharType="end"/>
      </w:r>
      <w:r>
        <w:t xml:space="preserve"> </w:t>
      </w:r>
    </w:p>
  </w:footnote>
  <w:footnote w:id="27">
    <w:p w:rsidR="00E9765F" w:rsidP="00FE0A4B">
      <w:pPr>
        <w:pStyle w:val="FootnoteText"/>
      </w:pPr>
      <w:r>
        <w:rPr>
          <w:rStyle w:val="FootnoteReference"/>
        </w:rPr>
        <w:footnoteRef/>
      </w:r>
      <w:r>
        <w:t xml:space="preserve"> </w:t>
      </w:r>
      <w:r>
        <w:fldChar w:fldCharType="begin"/>
      </w:r>
      <w:r>
        <w:instrText xml:space="preserve"> HYPERLINK "https://www.scie.org.uk/social-work/named-social-worker/final-report/" </w:instrText>
      </w:r>
      <w:r>
        <w:fldChar w:fldCharType="separate"/>
      </w:r>
      <w:r w:rsidRPr="000514FB">
        <w:rPr>
          <w:rStyle w:val="Hyperlink"/>
        </w:rPr>
        <w:t>https://www.scie.org.uk/social-work/named-social-worker/final-report/</w:t>
      </w:r>
      <w:r>
        <w:fldChar w:fldCharType="end"/>
      </w:r>
      <w:r>
        <w:t xml:space="preserve"> </w:t>
      </w:r>
    </w:p>
  </w:footnote>
  <w:footnote w:id="28">
    <w:p w:rsidR="00E9765F" w:rsidP="00FE0A4B">
      <w:pPr>
        <w:pStyle w:val="FootnoteText"/>
      </w:pPr>
      <w:r>
        <w:rPr>
          <w:rStyle w:val="FootnoteReference"/>
        </w:rPr>
        <w:footnoteRef/>
      </w:r>
      <w:r>
        <w:t xml:space="preserve"> </w:t>
      </w:r>
      <w:r>
        <w:fldChar w:fldCharType="begin"/>
      </w:r>
      <w:r>
        <w:instrText xml:space="preserve"> HYPERLINK "https://www.mencap.org.uk/get-involved/campaign-mencap/our-work-parliament/become-policy-shaper" </w:instrText>
      </w:r>
      <w:r>
        <w:fldChar w:fldCharType="separate"/>
      </w:r>
      <w:r w:rsidRPr="000514FB">
        <w:rPr>
          <w:rStyle w:val="Hyperlink"/>
        </w:rPr>
        <w:t>https://www.mencap.org.uk/get-involved/campaign-mencap/our-work-parliament/become-policy-shaper</w:t>
      </w:r>
      <w:r>
        <w:fldChar w:fldCharType="end"/>
      </w:r>
      <w:r>
        <w:t xml:space="preserve"> </w:t>
      </w:r>
    </w:p>
  </w:footnote>
  <w:footnote w:id="29">
    <w:p w:rsidR="00E9765F" w:rsidP="002E76C4">
      <w:pPr>
        <w:pStyle w:val="FootnoteText"/>
      </w:pPr>
      <w:r>
        <w:rPr>
          <w:rStyle w:val="FootnoteReference"/>
        </w:rPr>
        <w:footnoteRef/>
      </w:r>
      <w:r>
        <w:t xml:space="preserve"> From a survey of our Policy Shapers on the topic of ‘Social Care’ (June 2025)</w:t>
      </w:r>
    </w:p>
  </w:footnote>
  <w:footnote w:id="30">
    <w:p w:rsidR="00E9765F" w:rsidP="00FE0A4B">
      <w:pPr>
        <w:pStyle w:val="FootnoteText"/>
      </w:pPr>
      <w:r>
        <w:rPr>
          <w:rStyle w:val="FootnoteReference"/>
        </w:rPr>
        <w:footnoteRef/>
      </w:r>
      <w:r>
        <w:t xml:space="preserve"> </w:t>
      </w:r>
      <w:r>
        <w:fldChar w:fldCharType="begin"/>
      </w:r>
      <w:r>
        <w:instrText xml:space="preserve"> HYPERLINK "https://www.challengingbehaviour.org.uk/action-plan/for-policy-makers/transition-to-adulthood/" </w:instrText>
      </w:r>
      <w:r>
        <w:fldChar w:fldCharType="separate"/>
      </w:r>
      <w:r w:rsidRPr="000514FB">
        <w:rPr>
          <w:rStyle w:val="Hyperlink"/>
        </w:rPr>
        <w:t>https://www.challengingbehaviour.org.uk/action-plan/for-policy-makers/transition-to-adulthood/</w:t>
      </w:r>
      <w:r>
        <w:fldChar w:fldCharType="end"/>
      </w:r>
      <w:r>
        <w:t xml:space="preserve"> </w:t>
      </w:r>
    </w:p>
  </w:footnote>
  <w:footnote w:id="31">
    <w:p w:rsidR="00E9765F" w:rsidP="00FE0A4B">
      <w:pPr>
        <w:pStyle w:val="FootnoteText"/>
      </w:pPr>
      <w:r>
        <w:rPr>
          <w:rStyle w:val="FootnoteReference"/>
        </w:rPr>
        <w:footnoteRef/>
      </w:r>
      <w:r>
        <w:t xml:space="preserve"> </w:t>
      </w:r>
      <w:r>
        <w:fldChar w:fldCharType="begin"/>
      </w:r>
      <w:r>
        <w:instrText xml:space="preserve"> HYPERLINK "https://www.learningdisabilityengland.org.uk/welcome/projects-and-partnerships/housing-guide/" </w:instrText>
      </w:r>
      <w:r>
        <w:fldChar w:fldCharType="separate"/>
      </w:r>
      <w:r w:rsidRPr="00C0096C">
        <w:rPr>
          <w:rStyle w:val="Hyperlink"/>
        </w:rPr>
        <w:t>https://www.learningdisabilityengland.org.uk/welcome/projects-and-partnerships/housing-guide/</w:t>
      </w:r>
      <w:r>
        <w:fldChar w:fldCharType="end"/>
      </w:r>
      <w:r>
        <w:t xml:space="preserve"> </w:t>
      </w:r>
    </w:p>
  </w:footnote>
  <w:footnote w:id="32">
    <w:p w:rsidR="00E9765F" w:rsidP="00FE0A4B">
      <w:pPr>
        <w:pStyle w:val="FootnoteText"/>
      </w:pPr>
      <w:r>
        <w:rPr>
          <w:rStyle w:val="FootnoteReference"/>
        </w:rPr>
        <w:footnoteRef/>
      </w:r>
      <w:r>
        <w:t xml:space="preserve"> </w:t>
      </w:r>
      <w:r>
        <w:fldChar w:fldCharType="begin"/>
      </w:r>
      <w:r>
        <w:instrText xml:space="preserve"> HYPERLINK "https://careandsupportalliance.com/wp-content/uploads/2025/11/Pen-Portraits-CSA.pdf" </w:instrText>
      </w:r>
      <w:r>
        <w:fldChar w:fldCharType="separate"/>
      </w:r>
      <w:r w:rsidRPr="000514FB">
        <w:rPr>
          <w:rStyle w:val="Hyperlink"/>
        </w:rPr>
        <w:t>https://careandsupportalliance.com/wp-content/uploads/2025/11/Pen-Portraits-CSA.pdf</w:t>
      </w:r>
      <w:r>
        <w:fldChar w:fldCharType="end"/>
      </w:r>
      <w:r>
        <w:t xml:space="preserve"> </w:t>
      </w:r>
    </w:p>
  </w:footnote>
  <w:footnote w:id="33">
    <w:p w:rsidR="00E9765F">
      <w:pPr>
        <w:pStyle w:val="FootnoteText"/>
      </w:pPr>
      <w:r>
        <w:rPr>
          <w:rStyle w:val="FootnoteReference"/>
        </w:rPr>
        <w:footnoteRef/>
      </w:r>
      <w:r>
        <w:t xml:space="preserve"> </w:t>
      </w:r>
      <w:r>
        <w:fldChar w:fldCharType="begin"/>
      </w:r>
      <w:r>
        <w:instrText xml:space="preserve"> HYPERLINK "https://digital.nhs.uk/data-and-information/publications/statistical/learning-disability-services-statistics/at-march-2026-mhsds-february-2026" </w:instrText>
      </w:r>
      <w:r>
        <w:fldChar w:fldCharType="separate"/>
      </w:r>
      <w:r w:rsidRPr="007575DB">
        <w:rPr>
          <w:rStyle w:val="Hyperlink"/>
        </w:rPr>
        <w:t>https://digital.nhs.uk/data-and-information/publications/statistical/learning-disability-services-statistics/at-march-2026-mhsds-february-2026</w:t>
      </w:r>
      <w:r>
        <w:fldChar w:fldCharType="end"/>
      </w:r>
      <w:r>
        <w:t xml:space="preserve"> </w:t>
      </w:r>
    </w:p>
  </w:footnote>
  <w:footnote w:id="34">
    <w:p w:rsidR="00E9765F">
      <w:pPr>
        <w:pStyle w:val="FootnoteText"/>
      </w:pPr>
      <w:r>
        <w:rPr>
          <w:rStyle w:val="FootnoteReference"/>
        </w:rPr>
        <w:footnoteRef/>
      </w:r>
      <w:r>
        <w:t xml:space="preserve"> </w:t>
      </w:r>
      <w:r>
        <w:fldChar w:fldCharType="begin"/>
      </w:r>
      <w:r>
        <w:instrText xml:space="preserve"> HYPERLINK "https://app.powerbi.com/view?r=eyJrIjoiYjVjNmQ2NzAtYzY2Yi00MWIyLWJmMjEtMjNkYjhkMjdkOTYwIiwidCI6ImVkNGRkMDUwLWUzOWUtNGUwZS1hOTk5LTQwOTdmOWFmYjE2NSIsImMiOjh9" </w:instrText>
      </w:r>
      <w:r>
        <w:fldChar w:fldCharType="separate"/>
      </w:r>
      <w:r w:rsidRPr="007575DB">
        <w:rPr>
          <w:rStyle w:val="Hyperlink"/>
        </w:rPr>
        <w:t>https://app.powerbi.com/view?r=eyJrIjoiYjVjNmQ2NzAtYzY2Yi00MWIyLWJmMjEtMjNkYjhkMjdkOTYwIiwidCI6ImVkNGRkMDUwLWUzOWUtNGUwZS1hOTk5LTQwOTdmOWFmYjE2NSIsImMiOjh9</w:t>
      </w:r>
      <w:r>
        <w:fldChar w:fldCharType="end"/>
      </w:r>
      <w:r>
        <w:t xml:space="preserve"> </w:t>
      </w:r>
    </w:p>
  </w:footnote>
  <w:footnote w:id="35">
    <w:p w:rsidR="00E9765F">
      <w:pPr>
        <w:pStyle w:val="FootnoteText"/>
      </w:pPr>
      <w:r>
        <w:rPr>
          <w:rStyle w:val="FootnoteReference"/>
        </w:rPr>
        <w:footnoteRef/>
      </w:r>
      <w:r>
        <w:t xml:space="preserve"> </w:t>
      </w:r>
      <w:r>
        <w:fldChar w:fldCharType="begin"/>
      </w:r>
      <w:r>
        <w:instrText xml:space="preserve"> HYPERLINK "https://www.england.nhs.uk/publication/building-the-right-support/" </w:instrText>
      </w:r>
      <w:r>
        <w:fldChar w:fldCharType="separate"/>
      </w:r>
      <w:r w:rsidRPr="007575DB">
        <w:rPr>
          <w:rStyle w:val="Hyperlink"/>
        </w:rPr>
        <w:t>https://www.england.nhs.uk/publication/building-the-right-support/</w:t>
      </w:r>
      <w:r>
        <w:fldChar w:fldCharType="end"/>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707B97"/>
    <w:multiLevelType w:val="multilevel"/>
    <w:tmpl w:val="50AA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EE1514"/>
    <w:multiLevelType w:val="hybridMultilevel"/>
    <w:tmpl w:val="88604914"/>
    <w:lvl w:ilvl="0">
      <w:start w:val="0"/>
      <w:numFmt w:val="bullet"/>
      <w:lvlText w:val="-"/>
      <w:lvlJc w:val="left"/>
      <w:pPr>
        <w:ind w:left="720" w:hanging="360"/>
      </w:pPr>
      <w:rPr>
        <w:rFonts w:ascii="FS Mencap" w:eastAsia="FS Mencap" w:hAnsi="FS Mencap" w:cs="FS Mencap"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A2A7D31"/>
    <w:multiLevelType w:val="hybridMultilevel"/>
    <w:tmpl w:val="2B8AA85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D0A349D"/>
    <w:multiLevelType w:val="multilevel"/>
    <w:tmpl w:val="6ECAC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890B00"/>
    <w:multiLevelType w:val="hybridMultilevel"/>
    <w:tmpl w:val="3B9E7D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C34EFE"/>
    <w:multiLevelType w:val="hybridMultilevel"/>
    <w:tmpl w:val="55C4DA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E457D72"/>
    <w:multiLevelType w:val="hybridMultilevel"/>
    <w:tmpl w:val="8174D77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4414C77"/>
    <w:multiLevelType w:val="hybridMultilevel"/>
    <w:tmpl w:val="59CC731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6E1037E"/>
    <w:multiLevelType w:val="hybridMultilevel"/>
    <w:tmpl w:val="30185A3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CB22756"/>
    <w:multiLevelType w:val="hybridMultilevel"/>
    <w:tmpl w:val="969EB2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28C3BBF"/>
    <w:multiLevelType w:val="multilevel"/>
    <w:tmpl w:val="A4387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E22BC9"/>
    <w:multiLevelType w:val="multilevel"/>
    <w:tmpl w:val="02EC84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905EB8"/>
    <w:multiLevelType w:val="hybridMultilevel"/>
    <w:tmpl w:val="5DEA5A00"/>
    <w:lvl w:ilvl="0">
      <w:start w:val="0"/>
      <w:numFmt w:val="bullet"/>
      <w:lvlText w:val="-"/>
      <w:lvlJc w:val="left"/>
      <w:pPr>
        <w:ind w:left="720" w:hanging="360"/>
      </w:pPr>
      <w:rPr>
        <w:rFonts w:ascii="FS Mencap" w:eastAsia="FS Mencap" w:hAnsi="FS Mencap" w:cs="FS Mencap"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FE42C29"/>
    <w:multiLevelType w:val="hybridMultilevel"/>
    <w:tmpl w:val="CDC456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1713553"/>
    <w:multiLevelType w:val="hybridMultilevel"/>
    <w:tmpl w:val="C49C20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34700AB"/>
    <w:multiLevelType w:val="hybridMultilevel"/>
    <w:tmpl w:val="7B306A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5212BD5"/>
    <w:multiLevelType w:val="multilevel"/>
    <w:tmpl w:val="77AC77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55030FE"/>
    <w:multiLevelType w:val="hybridMultilevel"/>
    <w:tmpl w:val="6B5870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3213B42"/>
    <w:multiLevelType w:val="hybridMultilevel"/>
    <w:tmpl w:val="1FC2DB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907773D"/>
    <w:multiLevelType w:val="multilevel"/>
    <w:tmpl w:val="75F6E1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9D84818"/>
    <w:multiLevelType w:val="hybridMultilevel"/>
    <w:tmpl w:val="E2F6B3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9FC7C59"/>
    <w:multiLevelType w:val="hybridMultilevel"/>
    <w:tmpl w:val="D1DA2E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1DF5882"/>
    <w:multiLevelType w:val="hybridMultilevel"/>
    <w:tmpl w:val="72FA67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2712BD0"/>
    <w:multiLevelType w:val="multilevel"/>
    <w:tmpl w:val="199015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59408BC"/>
    <w:multiLevelType w:val="hybridMultilevel"/>
    <w:tmpl w:val="64BAAC7A"/>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5">
    <w:nsid w:val="770F50DF"/>
    <w:multiLevelType w:val="hybridMultilevel"/>
    <w:tmpl w:val="6FB6F0FC"/>
    <w:lvl w:ilvl="0">
      <w:start w:val="4"/>
      <w:numFmt w:val="bullet"/>
      <w:lvlText w:val="-"/>
      <w:lvlJc w:val="left"/>
      <w:pPr>
        <w:ind w:left="720" w:hanging="360"/>
      </w:pPr>
      <w:rPr>
        <w:rFonts w:ascii="FS Mencap" w:hAnsi="FS Mencap"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75D0003"/>
    <w:multiLevelType w:val="multilevel"/>
    <w:tmpl w:val="365EFF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21"/>
  </w:num>
  <w:num w:numId="4">
    <w:abstractNumId w:val="3"/>
  </w:num>
  <w:num w:numId="5">
    <w:abstractNumId w:val="11"/>
  </w:num>
  <w:num w:numId="6">
    <w:abstractNumId w:val="23"/>
  </w:num>
  <w:num w:numId="7">
    <w:abstractNumId w:val="26"/>
  </w:num>
  <w:num w:numId="8">
    <w:abstractNumId w:val="19"/>
  </w:num>
  <w:num w:numId="9">
    <w:abstractNumId w:val="16"/>
  </w:num>
  <w:num w:numId="10">
    <w:abstractNumId w:val="25"/>
  </w:num>
  <w:num w:numId="11">
    <w:abstractNumId w:val="0"/>
  </w:num>
  <w:num w:numId="12">
    <w:abstractNumId w:val="10"/>
  </w:num>
  <w:num w:numId="13">
    <w:abstractNumId w:val="24"/>
  </w:num>
  <w:num w:numId="14">
    <w:abstractNumId w:val="12"/>
  </w:num>
  <w:num w:numId="15">
    <w:abstractNumId w:val="9"/>
  </w:num>
  <w:num w:numId="16">
    <w:abstractNumId w:val="15"/>
  </w:num>
  <w:num w:numId="17">
    <w:abstractNumId w:val="2"/>
  </w:num>
  <w:num w:numId="18">
    <w:abstractNumId w:val="8"/>
  </w:num>
  <w:num w:numId="19">
    <w:abstractNumId w:val="22"/>
  </w:num>
  <w:num w:numId="20">
    <w:abstractNumId w:val="20"/>
  </w:num>
  <w:num w:numId="21">
    <w:abstractNumId w:val="5"/>
  </w:num>
  <w:num w:numId="22">
    <w:abstractNumId w:val="13"/>
  </w:num>
  <w:num w:numId="23">
    <w:abstractNumId w:val="17"/>
  </w:num>
  <w:num w:numId="24">
    <w:abstractNumId w:val="4"/>
  </w:num>
  <w:num w:numId="25">
    <w:abstractNumId w:val="7"/>
  </w:num>
  <w:num w:numId="26">
    <w:abstractNumId w:val="18"/>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4192"/>
  </w:style>
  <w:style w:type="paragraph" w:styleId="Heading1">
    <w:name w:val="heading 1"/>
    <w:basedOn w:val="Normal"/>
    <w:next w:val="Normal"/>
    <w:link w:val="Heading1Char"/>
    <w:uiPriority w:val="9"/>
    <w:qFormat/>
    <w:rsid w:val="00AC2D1C"/>
    <w:pPr>
      <w:spacing w:after="0"/>
      <w:outlineLvl w:val="0"/>
    </w:pPr>
    <w:rPr>
      <w:rFonts w:eastAsia="FS Mencap" w:cs="FS Mencap"/>
      <w:b/>
      <w:bCs/>
    </w:rPr>
  </w:style>
  <w:style w:type="paragraph" w:styleId="Heading2">
    <w:name w:val="heading 2"/>
    <w:basedOn w:val="Normal"/>
    <w:next w:val="Normal"/>
    <w:link w:val="Heading2Char"/>
    <w:uiPriority w:val="9"/>
    <w:unhideWhenUsed/>
    <w:qFormat/>
    <w:rsid w:val="004A3074"/>
    <w:pPr>
      <w:spacing w:after="0"/>
      <w:outlineLvl w:val="1"/>
    </w:pPr>
    <w:rPr>
      <w:rFonts w:ascii="FS Mencap" w:eastAsia="FS Mencap" w:hAnsi="FS Mencap" w:cs="FS Mencap"/>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232A"/>
    <w:rPr>
      <w:color w:val="467886" w:themeColor="hyperlink"/>
      <w:u w:val="single"/>
    </w:rPr>
  </w:style>
  <w:style w:type="character" w:customStyle="1" w:styleId="UnresolvedMention1">
    <w:name w:val="Unresolved Mention1"/>
    <w:basedOn w:val="DefaultParagraphFont"/>
    <w:uiPriority w:val="99"/>
    <w:semiHidden/>
    <w:unhideWhenUsed/>
    <w:rsid w:val="000F232A"/>
    <w:rPr>
      <w:color w:val="605E5C"/>
      <w:shd w:val="clear" w:color="auto" w:fill="E1DFDD"/>
    </w:rPr>
  </w:style>
  <w:style w:type="table" w:styleId="TableGrid">
    <w:name w:val="Table Grid"/>
    <w:basedOn w:val="TableNormal"/>
    <w:uiPriority w:val="39"/>
    <w:rsid w:val="00444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C2D1C"/>
    <w:rPr>
      <w:rFonts w:eastAsia="FS Mencap" w:cs="FS Mencap"/>
      <w:b/>
      <w:bCs/>
    </w:rPr>
  </w:style>
  <w:style w:type="character" w:customStyle="1" w:styleId="Heading2Char">
    <w:name w:val="Heading 2 Char"/>
    <w:basedOn w:val="DefaultParagraphFont"/>
    <w:link w:val="Heading2"/>
    <w:uiPriority w:val="9"/>
    <w:rsid w:val="004A3074"/>
    <w:rPr>
      <w:rFonts w:ascii="FS Mencap" w:eastAsia="FS Mencap" w:hAnsi="FS Mencap" w:cs="FS Mencap"/>
      <w:b/>
      <w:bCs/>
    </w:rPr>
  </w:style>
  <w:style w:type="paragraph" w:styleId="TOCHeading">
    <w:name w:val="TOC Heading"/>
    <w:basedOn w:val="Heading1"/>
    <w:next w:val="Normal"/>
    <w:uiPriority w:val="39"/>
    <w:unhideWhenUsed/>
    <w:qFormat/>
    <w:rsid w:val="004A3074"/>
    <w:pPr>
      <w:keepNext/>
      <w:keepLines/>
      <w:spacing w:before="240" w:line="259" w:lineRule="auto"/>
      <w:outlineLvl w:val="9"/>
    </w:pPr>
    <w:rPr>
      <w:rFonts w:asciiTheme="majorHAnsi" w:eastAsiaTheme="majorEastAsia" w:hAnsiTheme="majorHAnsi" w:cstheme="majorBidi"/>
      <w:b w:val="0"/>
      <w:bCs w:val="0"/>
      <w:color w:val="0F4761" w:themeColor="accent1" w:themeShade="BF"/>
      <w:sz w:val="32"/>
      <w:szCs w:val="32"/>
      <w:lang w:eastAsia="en-GB"/>
    </w:rPr>
  </w:style>
  <w:style w:type="paragraph" w:styleId="TOC1">
    <w:name w:val="toc 1"/>
    <w:basedOn w:val="Normal"/>
    <w:next w:val="Normal"/>
    <w:autoRedefine/>
    <w:uiPriority w:val="39"/>
    <w:unhideWhenUsed/>
    <w:rsid w:val="004A3074"/>
    <w:pPr>
      <w:spacing w:after="100"/>
    </w:pPr>
  </w:style>
  <w:style w:type="paragraph" w:styleId="TOC2">
    <w:name w:val="toc 2"/>
    <w:basedOn w:val="Normal"/>
    <w:next w:val="Normal"/>
    <w:autoRedefine/>
    <w:uiPriority w:val="39"/>
    <w:unhideWhenUsed/>
    <w:rsid w:val="004A3074"/>
    <w:pPr>
      <w:spacing w:after="100"/>
      <w:ind w:left="240"/>
    </w:pPr>
  </w:style>
  <w:style w:type="paragraph" w:styleId="FootnoteText">
    <w:name w:val="footnote text"/>
    <w:basedOn w:val="Normal"/>
    <w:link w:val="FootnoteTextChar"/>
    <w:uiPriority w:val="99"/>
    <w:semiHidden/>
    <w:unhideWhenUsed/>
    <w:rsid w:val="00B805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0541"/>
    <w:rPr>
      <w:sz w:val="20"/>
      <w:szCs w:val="20"/>
    </w:rPr>
  </w:style>
  <w:style w:type="character" w:styleId="FootnoteReference">
    <w:name w:val="footnote reference"/>
    <w:basedOn w:val="DefaultParagraphFont"/>
    <w:uiPriority w:val="99"/>
    <w:semiHidden/>
    <w:unhideWhenUsed/>
    <w:rsid w:val="00B80541"/>
    <w:rPr>
      <w:vertAlign w:val="superscript"/>
    </w:rPr>
  </w:style>
  <w:style w:type="character" w:styleId="FollowedHyperlink">
    <w:name w:val="FollowedHyperlink"/>
    <w:basedOn w:val="DefaultParagraphFont"/>
    <w:uiPriority w:val="99"/>
    <w:semiHidden/>
    <w:unhideWhenUsed/>
    <w:rsid w:val="00410A6F"/>
    <w:rPr>
      <w:color w:val="96607D" w:themeColor="followedHyperlink"/>
      <w:u w:val="single"/>
    </w:rPr>
  </w:style>
  <w:style w:type="character" w:styleId="CommentReference">
    <w:name w:val="annotation reference"/>
    <w:basedOn w:val="DefaultParagraphFont"/>
    <w:uiPriority w:val="99"/>
    <w:semiHidden/>
    <w:unhideWhenUsed/>
    <w:rsid w:val="00DD4F73"/>
    <w:rPr>
      <w:sz w:val="16"/>
      <w:szCs w:val="16"/>
    </w:rPr>
  </w:style>
  <w:style w:type="paragraph" w:styleId="CommentText">
    <w:name w:val="annotation text"/>
    <w:basedOn w:val="Normal"/>
    <w:link w:val="CommentTextChar"/>
    <w:uiPriority w:val="99"/>
    <w:unhideWhenUsed/>
    <w:rsid w:val="00DD4F73"/>
    <w:pPr>
      <w:spacing w:line="240" w:lineRule="auto"/>
    </w:pPr>
    <w:rPr>
      <w:sz w:val="20"/>
      <w:szCs w:val="20"/>
    </w:rPr>
  </w:style>
  <w:style w:type="character" w:customStyle="1" w:styleId="CommentTextChar">
    <w:name w:val="Comment Text Char"/>
    <w:basedOn w:val="DefaultParagraphFont"/>
    <w:link w:val="CommentText"/>
    <w:uiPriority w:val="99"/>
    <w:rsid w:val="00DD4F73"/>
    <w:rPr>
      <w:sz w:val="20"/>
      <w:szCs w:val="20"/>
    </w:rPr>
  </w:style>
  <w:style w:type="paragraph" w:styleId="CommentSubject">
    <w:name w:val="annotation subject"/>
    <w:basedOn w:val="CommentText"/>
    <w:next w:val="CommentText"/>
    <w:link w:val="CommentSubjectChar"/>
    <w:uiPriority w:val="99"/>
    <w:semiHidden/>
    <w:unhideWhenUsed/>
    <w:rsid w:val="00DD4F73"/>
    <w:rPr>
      <w:b/>
      <w:bCs/>
    </w:rPr>
  </w:style>
  <w:style w:type="character" w:customStyle="1" w:styleId="CommentSubjectChar">
    <w:name w:val="Comment Subject Char"/>
    <w:basedOn w:val="CommentTextChar"/>
    <w:link w:val="CommentSubject"/>
    <w:uiPriority w:val="99"/>
    <w:semiHidden/>
    <w:rsid w:val="00DD4F73"/>
    <w:rPr>
      <w:b/>
      <w:bCs/>
      <w:sz w:val="20"/>
      <w:szCs w:val="20"/>
    </w:rPr>
  </w:style>
  <w:style w:type="character" w:customStyle="1" w:styleId="Mention1">
    <w:name w:val="Mention1"/>
    <w:basedOn w:val="DefaultParagraphFont"/>
    <w:uiPriority w:val="99"/>
    <w:unhideWhenUsed/>
    <w:rsid w:val="00DD4F73"/>
    <w:rPr>
      <w:color w:val="2B579A"/>
      <w:shd w:val="clear" w:color="auto" w:fill="E1DFDD"/>
    </w:rPr>
  </w:style>
  <w:style w:type="paragraph" w:styleId="Header">
    <w:name w:val="header"/>
    <w:basedOn w:val="Normal"/>
    <w:link w:val="HeaderChar"/>
    <w:uiPriority w:val="99"/>
    <w:unhideWhenUsed/>
    <w:rsid w:val="000C22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315"/>
  </w:style>
  <w:style w:type="paragraph" w:styleId="Footer">
    <w:name w:val="footer"/>
    <w:basedOn w:val="Normal"/>
    <w:link w:val="FooterChar"/>
    <w:uiPriority w:val="99"/>
    <w:unhideWhenUsed/>
    <w:rsid w:val="000C22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315"/>
  </w:style>
  <w:style w:type="paragraph" w:styleId="ListParagraph">
    <w:name w:val="List Paragraph"/>
    <w:basedOn w:val="Normal"/>
    <w:uiPriority w:val="34"/>
    <w:qFormat/>
    <w:rsid w:val="00E86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S Mencap"/>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TRN0038</dc:title>
  <cp:revision>0</cp:revision>
</cp:coreProperties>
</file>