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16B57" w:rsidRPr="00F16B57" w:rsidP="00F16B57">
      <w:pPr>
        <w:spacing w:after="31" w:line="259" w:lineRule="auto"/>
        <w:ind w:left="59"/>
        <w:jc w:val="center"/>
        <w:rPr>
          <w:bCs/>
          <w:color w:val="auto"/>
          <w:sz w:val="28"/>
        </w:rPr>
      </w:pPr>
      <w:r w:rsidRPr="00F16B57">
        <w:rPr>
          <w:bCs/>
          <w:color w:val="auto"/>
          <w:sz w:val="28"/>
        </w:rPr>
        <w:t>Written Evidence submitted by Luton Council</w:t>
      </w:r>
      <w:r w:rsidRPr="00F16B57">
        <w:rPr>
          <w:bCs/>
          <w:color w:val="auto"/>
          <w:sz w:val="28"/>
        </w:rPr>
        <w:t xml:space="preserve"> </w:t>
      </w:r>
      <w:r w:rsidRPr="00F16B57">
        <w:rPr>
          <w:bCs/>
          <w:color w:val="auto"/>
          <w:sz w:val="28"/>
        </w:rPr>
        <w:t>(TRN003</w:t>
      </w:r>
      <w:r w:rsidRPr="00F16B57">
        <w:rPr>
          <w:bCs/>
          <w:color w:val="auto"/>
          <w:sz w:val="28"/>
        </w:rPr>
        <w:t>7</w:t>
      </w:r>
      <w:r w:rsidRPr="00F16B57">
        <w:rPr>
          <w:bCs/>
          <w:color w:val="auto"/>
          <w:sz w:val="28"/>
        </w:rPr>
        <w:t>)</w:t>
      </w:r>
    </w:p>
    <w:p w:rsidR="00B506EE" w:rsidRPr="00F16B57">
      <w:pPr>
        <w:spacing w:after="31" w:line="259" w:lineRule="auto"/>
        <w:ind w:left="59"/>
        <w:jc w:val="center"/>
        <w:rPr>
          <w:color w:val="auto"/>
        </w:rPr>
      </w:pPr>
      <w:r w:rsidRPr="00F16B57">
        <w:rPr>
          <w:b/>
          <w:color w:val="auto"/>
          <w:sz w:val="28"/>
        </w:rPr>
        <w:t xml:space="preserve"> </w:t>
      </w:r>
    </w:p>
    <w:p w:rsidR="00F16B57" w:rsidRPr="00F16B57">
      <w:pPr>
        <w:spacing w:after="26" w:line="259" w:lineRule="auto"/>
        <w:jc w:val="center"/>
        <w:rPr>
          <w:b/>
          <w:color w:val="auto"/>
          <w:sz w:val="28"/>
        </w:rPr>
      </w:pPr>
    </w:p>
    <w:p w:rsidR="00F16B57" w:rsidRPr="00F16B57">
      <w:pPr>
        <w:spacing w:after="26" w:line="259" w:lineRule="auto"/>
        <w:jc w:val="center"/>
        <w:rPr>
          <w:b/>
          <w:color w:val="auto"/>
          <w:sz w:val="28"/>
        </w:rPr>
      </w:pPr>
    </w:p>
    <w:p w:rsidR="00F16B57" w:rsidRPr="00F16B57">
      <w:pPr>
        <w:spacing w:after="26" w:line="259" w:lineRule="auto"/>
        <w:jc w:val="center"/>
        <w:rPr>
          <w:b/>
          <w:color w:val="auto"/>
          <w:sz w:val="28"/>
        </w:rPr>
      </w:pPr>
    </w:p>
    <w:p w:rsidR="00F16B57" w:rsidRPr="00F16B57">
      <w:pPr>
        <w:spacing w:after="26" w:line="259" w:lineRule="auto"/>
        <w:jc w:val="center"/>
        <w:rPr>
          <w:b/>
          <w:color w:val="auto"/>
          <w:sz w:val="28"/>
        </w:rPr>
      </w:pPr>
    </w:p>
    <w:p w:rsidR="00B506EE" w:rsidRPr="00F16B57">
      <w:pPr>
        <w:spacing w:after="26" w:line="259" w:lineRule="auto"/>
        <w:jc w:val="center"/>
        <w:rPr>
          <w:color w:val="auto"/>
        </w:rPr>
      </w:pPr>
      <w:r w:rsidRPr="00F16B57">
        <w:rPr>
          <w:b/>
          <w:color w:val="auto"/>
          <w:sz w:val="28"/>
        </w:rPr>
        <w:t xml:space="preserve">The Transition from Child to Adult Health and Social Care Services </w:t>
      </w:r>
    </w:p>
    <w:p w:rsidR="00B506EE" w:rsidRPr="00F16B57">
      <w:pPr>
        <w:spacing w:after="0" w:line="259" w:lineRule="auto"/>
        <w:jc w:val="left"/>
        <w:rPr>
          <w:color w:val="auto"/>
        </w:rPr>
      </w:pPr>
      <w:r w:rsidRPr="00F16B57">
        <w:rPr>
          <w:b/>
          <w:color w:val="auto"/>
          <w:sz w:val="28"/>
        </w:rPr>
        <w:t xml:space="preserve"> </w:t>
      </w:r>
    </w:p>
    <w:p w:rsidR="00B506EE" w:rsidRPr="00F16B57">
      <w:pPr>
        <w:rPr>
          <w:color w:val="auto"/>
        </w:rPr>
      </w:pPr>
      <w:r w:rsidRPr="00F16B57">
        <w:rPr>
          <w:color w:val="auto"/>
        </w:rPr>
        <w:t xml:space="preserve">Please provide a written submission answering, where possible, the questions set out in the planning grid below, relating to physical health, mental health and/or social care services. We are not expecting every stakeholder to be able to answer all the questions in the planning grid – please answer those that are relevant to your/your organisation’s area of expertise. There are boxes below each question to be filled with your answer, should you wish to use this template.  </w:t>
      </w:r>
    </w:p>
    <w:p w:rsidR="00B506EE" w:rsidRPr="00F16B57">
      <w:pPr>
        <w:spacing w:after="0" w:line="259" w:lineRule="auto"/>
        <w:ind w:left="54"/>
        <w:jc w:val="center"/>
        <w:rPr>
          <w:color w:val="auto"/>
        </w:rPr>
      </w:pPr>
      <w:r w:rsidRPr="00F16B57">
        <w:rPr>
          <w:rFonts w:eastAsia="Arial"/>
          <w:b/>
          <w:color w:val="auto"/>
          <w:sz w:val="28"/>
        </w:rPr>
        <w:t> </w:t>
      </w:r>
      <w:r w:rsidRPr="00F16B57">
        <w:rPr>
          <w:b/>
          <w:color w:val="auto"/>
          <w:sz w:val="28"/>
        </w:rPr>
        <w:t xml:space="preserve">  </w:t>
      </w:r>
    </w:p>
    <w:tbl>
      <w:tblPr>
        <w:tblStyle w:val="TableGrid"/>
        <w:tblW w:w="10495" w:type="dxa"/>
        <w:tblInd w:w="0" w:type="dxa"/>
        <w:tblCellMar>
          <w:top w:w="3" w:type="dxa"/>
          <w:left w:w="110" w:type="dxa"/>
          <w:right w:w="115" w:type="dxa"/>
        </w:tblCellMar>
        <w:tblLook w:val="04A0"/>
      </w:tblPr>
      <w:tblGrid>
        <w:gridCol w:w="1986"/>
        <w:gridCol w:w="8509"/>
      </w:tblGrid>
      <w:tr>
        <w:tblPrEx>
          <w:tblW w:w="10495" w:type="dxa"/>
          <w:tblInd w:w="0" w:type="dxa"/>
          <w:tblCellMar>
            <w:top w:w="3" w:type="dxa"/>
            <w:left w:w="110" w:type="dxa"/>
            <w:right w:w="115" w:type="dxa"/>
          </w:tblCellMar>
          <w:tblLook w:val="04A0"/>
        </w:tblPrEx>
        <w:trPr>
          <w:trHeight w:val="595"/>
        </w:trPr>
        <w:tc>
          <w:tcPr>
            <w:tcW w:w="10495" w:type="dxa"/>
            <w:gridSpan w:val="2"/>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4"/>
              </w:rPr>
              <w:t xml:space="preserve">FOCUS AREA 1 </w:t>
            </w:r>
          </w:p>
          <w:p w:rsidR="00B506EE" w:rsidRPr="00F16B57">
            <w:pPr>
              <w:spacing w:after="0" w:line="259" w:lineRule="auto"/>
              <w:jc w:val="left"/>
              <w:rPr>
                <w:color w:val="auto"/>
              </w:rPr>
            </w:pPr>
            <w:r w:rsidRPr="00F16B57">
              <w:rPr>
                <w:b/>
                <w:color w:val="auto"/>
                <w:sz w:val="24"/>
              </w:rPr>
              <w:t xml:space="preserve">TIMELINESS AND PACE OF THE TRANSITION TO ADULT SERVICES </w:t>
            </w:r>
          </w:p>
        </w:tc>
      </w:tr>
      <w:tr>
        <w:tblPrEx>
          <w:tblW w:w="10495" w:type="dxa"/>
          <w:tblInd w:w="0" w:type="dxa"/>
          <w:tblCellMar>
            <w:top w:w="3" w:type="dxa"/>
            <w:left w:w="110" w:type="dxa"/>
            <w:right w:w="115" w:type="dxa"/>
          </w:tblCellMar>
          <w:tblLook w:val="04A0"/>
        </w:tblPrEx>
        <w:trPr>
          <w:trHeight w:val="2281"/>
        </w:trPr>
        <w:tc>
          <w:tcPr>
            <w:tcW w:w="10495" w:type="dxa"/>
            <w:gridSpan w:val="2"/>
            <w:tcBorders>
              <w:top w:val="single" w:sz="4" w:space="0" w:color="000000"/>
              <w:left w:val="single" w:sz="4" w:space="0" w:color="000000"/>
              <w:bottom w:val="single" w:sz="4" w:space="0" w:color="000000"/>
              <w:right w:val="single" w:sz="4" w:space="0" w:color="000000"/>
            </w:tcBorders>
          </w:tcPr>
          <w:p w:rsidR="00B506EE" w:rsidRPr="00F16B57">
            <w:pPr>
              <w:spacing w:after="115" w:line="241" w:lineRule="auto"/>
              <w:jc w:val="left"/>
              <w:rPr>
                <w:color w:val="auto"/>
              </w:rPr>
            </w:pPr>
            <w:r w:rsidRPr="00F16B57">
              <w:rPr>
                <w:b/>
                <w:color w:val="auto"/>
              </w:rPr>
              <w:t>Statement of intent 1:</w:t>
            </w:r>
            <w:r w:rsidRPr="00F16B57">
              <w:rPr>
                <w:color w:val="auto"/>
              </w:rPr>
              <w:t xml:space="preserve"> “Young people who will move from children's to adults' services start planning their transition with health and social care practitioners by school year 9 (aged 13 to 14 years), or immediately if they enter children's services after school year 9”. </w:t>
            </w:r>
            <w:r>
              <w:fldChar w:fldCharType="begin"/>
            </w:r>
            <w:r>
              <w:instrText xml:space="preserve"> HYPERLINK "https://www.nice.org.uk/guidance/qs140/chapter/Quality-statement-1-Planning-transition" </w:instrText>
            </w:r>
            <w:r>
              <w:fldChar w:fldCharType="separate"/>
            </w:r>
            <w:r w:rsidRPr="00F16B57">
              <w:rPr>
                <w:color w:val="auto"/>
                <w:u w:val="single" w:color="467886"/>
              </w:rPr>
              <w:t>NICE QS140 (1, 2016)</w:t>
            </w:r>
            <w:r>
              <w:fldChar w:fldCharType="end"/>
            </w:r>
            <w:r>
              <w:fldChar w:fldCharType="begin"/>
            </w:r>
            <w:r>
              <w:instrText xml:space="preserve"> HYPERLINK "https://www.nice.org.uk/guidance/qs140/chapter/Quality-statement-1-Planning-transition" </w:instrText>
            </w:r>
            <w:r>
              <w:fldChar w:fldCharType="separate"/>
            </w:r>
            <w:r w:rsidRPr="00F16B57">
              <w:rPr>
                <w:b/>
                <w:color w:val="auto"/>
              </w:rPr>
              <w:t xml:space="preserve"> </w:t>
            </w:r>
            <w:r>
              <w:fldChar w:fldCharType="end"/>
            </w:r>
            <w:r w:rsidRPr="00F16B57">
              <w:rPr>
                <w:color w:val="auto"/>
              </w:rPr>
              <w:t xml:space="preserve"> </w:t>
            </w:r>
          </w:p>
          <w:p w:rsidR="00B506EE" w:rsidRPr="00F16B57">
            <w:pPr>
              <w:spacing w:after="0" w:line="259" w:lineRule="auto"/>
              <w:jc w:val="left"/>
              <w:rPr>
                <w:color w:val="auto"/>
              </w:rPr>
            </w:pPr>
            <w:r w:rsidRPr="00F16B57">
              <w:rPr>
                <w:b/>
                <w:color w:val="auto"/>
              </w:rPr>
              <w:t xml:space="preserve">Statement of intent 2: </w:t>
            </w:r>
            <w:r w:rsidRPr="00F16B57">
              <w:rPr>
                <w:color w:val="auto"/>
              </w:rPr>
              <w:t>Duty for local authorities to assess a child’s needs for care and support, where it appears to a local authority that the child is likely to have needs for care and support after turning 18</w:t>
            </w:r>
            <w:r>
              <w:fldChar w:fldCharType="begin"/>
            </w:r>
            <w:r>
              <w:instrText xml:space="preserve"> HYPERLINK "https://www.legislation.gov.uk/ukpga/2014/23/part/1/crossheading/transition-for-children-to-adult-care-and-support-etc/enacted" </w:instrText>
            </w:r>
            <w:r>
              <w:fldChar w:fldCharType="separate"/>
            </w:r>
            <w:r w:rsidRPr="00F16B57">
              <w:rPr>
                <w:color w:val="auto"/>
              </w:rPr>
              <w:t>.</w:t>
            </w:r>
            <w:r>
              <w:fldChar w:fldCharType="end"/>
            </w:r>
            <w:r>
              <w:fldChar w:fldCharType="begin"/>
            </w:r>
            <w:r>
              <w:instrText xml:space="preserve"> HYPERLINK "https://www.legislation.gov.uk/ukpga/2014/23/part/1/crossheading/transition-for-children-to-adult-care-and-support-etc/enacted" </w:instrText>
            </w:r>
            <w:r>
              <w:fldChar w:fldCharType="separate"/>
            </w:r>
            <w:r w:rsidRPr="00F16B57">
              <w:rPr>
                <w:color w:val="auto"/>
              </w:rPr>
              <w:t xml:space="preserve"> </w:t>
            </w:r>
            <w:r>
              <w:fldChar w:fldCharType="end"/>
            </w:r>
            <w:r>
              <w:fldChar w:fldCharType="begin"/>
            </w:r>
            <w:r>
              <w:instrText xml:space="preserve"> HYPERLINK "https://www.legislation.gov.uk/ukpga/2014/23/part/1/crossheading/transition-for-children-to-adult-care-and-support-etc/enacted" </w:instrText>
            </w:r>
            <w:r>
              <w:fldChar w:fldCharType="separate"/>
            </w:r>
            <w:r w:rsidRPr="00F16B57">
              <w:rPr>
                <w:color w:val="auto"/>
                <w:u w:val="single" w:color="467886"/>
              </w:rPr>
              <w:t>Care</w:t>
            </w:r>
            <w:r>
              <w:fldChar w:fldCharType="end"/>
            </w:r>
            <w:r>
              <w:fldChar w:fldCharType="begin"/>
            </w:r>
            <w:r>
              <w:instrText xml:space="preserve"> HYPERLINK "https://www.legislation.gov.uk/ukpga/2014/23/part/1/crossheading/transition-for-children-to-adult-care-and-support-etc/enacted" </w:instrText>
            </w:r>
            <w:r>
              <w:fldChar w:fldCharType="separate"/>
            </w:r>
            <w:r w:rsidRPr="00F16B57">
              <w:rPr>
                <w:color w:val="auto"/>
              </w:rPr>
              <w:t xml:space="preserve"> </w:t>
            </w:r>
            <w:r>
              <w:fldChar w:fldCharType="end"/>
            </w:r>
            <w:r>
              <w:fldChar w:fldCharType="begin"/>
            </w:r>
            <w:r>
              <w:instrText xml:space="preserve"> HYPERLINK "https://www.legislation.gov.uk/ukpga/2014/23/part/1/crossheading/transition-for-children-to-adult-care-and-support-etc/enacted" </w:instrText>
            </w:r>
            <w:r>
              <w:fldChar w:fldCharType="separate"/>
            </w:r>
            <w:r w:rsidRPr="00F16B57">
              <w:rPr>
                <w:color w:val="auto"/>
                <w:u w:val="single" w:color="467886"/>
              </w:rPr>
              <w:t>Act 2014 (Section 58)</w:t>
            </w:r>
            <w:r>
              <w:fldChar w:fldCharType="end"/>
            </w:r>
            <w:r>
              <w:fldChar w:fldCharType="begin"/>
            </w:r>
            <w:r>
              <w:instrText xml:space="preserve"> HYPERLINK "https://www.legislation.gov.uk/ukpga/2014/23/part/1/crossheading/transition-for-children-to-adult-care-and-support-etc/enacted" </w:instrText>
            </w:r>
            <w:r>
              <w:fldChar w:fldCharType="separate"/>
            </w:r>
            <w:r w:rsidRPr="00F16B57">
              <w:rPr>
                <w:color w:val="auto"/>
              </w:rPr>
              <w:t xml:space="preserve"> </w:t>
            </w:r>
            <w:r>
              <w:fldChar w:fldCharType="end"/>
            </w:r>
            <w:r w:rsidRPr="00F16B57">
              <w:rPr>
                <w:color w:val="auto"/>
              </w:rPr>
              <w:t>Where the child has previously been receiving services, the local authority must continue to provide those services until [adult care and support is in place]. This is to ensure no gap in provision during the transition to adult care and support</w:t>
            </w:r>
            <w:r>
              <w:fldChar w:fldCharType="begin"/>
            </w:r>
            <w:r>
              <w:instrText xml:space="preserve"> HYPERLINK "https://www.legislation.gov.uk/ukpga/2014/23/part/1/crossheading/transition-for-children-to-adult-care-and-support-etc/enacted" </w:instrText>
            </w:r>
            <w:r>
              <w:fldChar w:fldCharType="separate"/>
            </w:r>
            <w:r w:rsidRPr="00F16B57">
              <w:rPr>
                <w:color w:val="auto"/>
              </w:rPr>
              <w:t xml:space="preserve">. </w:t>
            </w:r>
            <w:r>
              <w:fldChar w:fldCharType="end"/>
            </w:r>
            <w:r>
              <w:fldChar w:fldCharType="begin"/>
            </w:r>
            <w:r>
              <w:instrText xml:space="preserve"> HYPERLINK "https://www.legislation.gov.uk/ukpga/2014/23/part/1/crossheading/transition-for-children-to-adult-care-and-support-etc/enacted" </w:instrText>
            </w:r>
            <w:r>
              <w:fldChar w:fldCharType="separate"/>
            </w:r>
            <w:r w:rsidRPr="00F16B57">
              <w:rPr>
                <w:color w:val="auto"/>
                <w:u w:val="single" w:color="467886"/>
              </w:rPr>
              <w:t>Care Act 2014 (Section 66)</w:t>
            </w:r>
            <w:r>
              <w:fldChar w:fldCharType="end"/>
            </w:r>
            <w:r>
              <w:fldChar w:fldCharType="begin"/>
            </w:r>
            <w:r>
              <w:instrText xml:space="preserve"> HYPERLINK "https://www.legislation.gov.uk/ukpga/2014/23/part/1/crossheading/transition-for-children-to-adult-care-and-support-etc/enacted" </w:instrText>
            </w:r>
            <w:r>
              <w:fldChar w:fldCharType="separate"/>
            </w:r>
            <w:r w:rsidRPr="00F16B57">
              <w:rPr>
                <w:color w:val="auto"/>
                <w:sz w:val="24"/>
              </w:rPr>
              <w:t xml:space="preserve"> </w:t>
            </w:r>
            <w:r>
              <w:fldChar w:fldCharType="end"/>
            </w:r>
          </w:p>
        </w:tc>
      </w:tr>
      <w:tr>
        <w:tblPrEx>
          <w:tblW w:w="10495" w:type="dxa"/>
          <w:tblInd w:w="0" w:type="dxa"/>
          <w:tblCellMar>
            <w:top w:w="3" w:type="dxa"/>
            <w:left w:w="110" w:type="dxa"/>
            <w:right w:w="115" w:type="dxa"/>
          </w:tblCellMar>
          <w:tblLook w:val="04A0"/>
        </w:tblPrEx>
        <w:trPr>
          <w:trHeight w:val="815"/>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Resourcing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1. What resources are required by health and social care services to enable identification and implementation of transition planning from year 9, or immediately after if the young person enters services later? </w:t>
            </w:r>
          </w:p>
        </w:tc>
      </w:tr>
      <w:tr>
        <w:tblPrEx>
          <w:tblW w:w="10495" w:type="dxa"/>
          <w:tblInd w:w="0" w:type="dxa"/>
          <w:tblCellMar>
            <w:top w:w="3" w:type="dxa"/>
            <w:left w:w="110" w:type="dxa"/>
            <w:right w:w="115" w:type="dxa"/>
          </w:tblCellMar>
          <w:tblLook w:val="04A0"/>
        </w:tblPrEx>
        <w:trPr>
          <w:trHeight w:val="550"/>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Increased staffing is required as current levels of staffing resource mean that priority is always dealing with immediate demands and pressures on the service. Cases are dealt with on a priority basis and risk so transitional planning is often adequately resourced. A team specifically to work with the transitional process for those who do not meet Care Act Criteria would help resolve this issue.</w:t>
            </w:r>
          </w:p>
          <w:p w:rsidR="00B506EE" w:rsidRPr="00F16B57">
            <w:pPr>
              <w:spacing w:after="0" w:line="259" w:lineRule="auto"/>
              <w:jc w:val="left"/>
              <w:rPr>
                <w:color w:val="auto"/>
              </w:rPr>
            </w:pPr>
            <w:r w:rsidRPr="00F16B57">
              <w:rPr>
                <w:color w:val="auto"/>
              </w:rPr>
              <w:t>Strengthened IT systems between services and systems that produce direct reports would support this process</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top w:w="3" w:type="dxa"/>
            <w:left w:w="110" w:type="dxa"/>
            <w:right w:w="115" w:type="dxa"/>
          </w:tblCellMar>
          <w:tblLook w:val="04A0"/>
        </w:tblPrEx>
        <w:trPr>
          <w:trHeight w:val="816"/>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2. To what extent are local authorities sufficiently resourced to assess children for continuing need and provide ongoing services, where needed, to ensure no gaps in provision? </w:t>
            </w:r>
          </w:p>
        </w:tc>
      </w:tr>
      <w:tr>
        <w:tblPrEx>
          <w:tblW w:w="10495" w:type="dxa"/>
          <w:tblInd w:w="0" w:type="dxa"/>
          <w:tblCellMar>
            <w:top w:w="3" w:type="dxa"/>
            <w:left w:w="110" w:type="dxa"/>
            <w:right w:w="115" w:type="dxa"/>
          </w:tblCellMar>
          <w:tblLook w:val="04A0"/>
        </w:tblPrEx>
        <w:trPr>
          <w:trHeight w:val="54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Where children with a disability receive a service and are known there is no gap in provision of </w:t>
            </w:r>
            <w:r w:rsidRPr="00F16B57">
              <w:rPr>
                <w:color w:val="auto"/>
              </w:rPr>
              <w:t xml:space="preserve">assessment however </w:t>
            </w:r>
            <w:r w:rsidRPr="00F16B57">
              <w:rPr>
                <w:color w:val="auto"/>
              </w:rPr>
              <w:t>service</w:t>
            </w:r>
            <w:r w:rsidRPr="00F16B57">
              <w:rPr>
                <w:color w:val="auto"/>
              </w:rPr>
              <w:t xml:space="preserve"> sufficiency is an emerging concern as flagged with our commissioning</w:t>
            </w:r>
            <w:r w:rsidRPr="00F16B57">
              <w:rPr>
                <w:color w:val="auto"/>
              </w:rPr>
              <w:t xml:space="preserve">. </w:t>
            </w:r>
            <w:r w:rsidRPr="00F16B57">
              <w:rPr>
                <w:color w:val="auto"/>
              </w:rPr>
              <w:t>However,</w:t>
            </w:r>
            <w:r w:rsidRPr="00F16B57">
              <w:rPr>
                <w:color w:val="auto"/>
              </w:rPr>
              <w:t xml:space="preserve"> as children who are often at risk due to being looked after turn 18 </w:t>
            </w:r>
            <w:r w:rsidRPr="00F16B57">
              <w:rPr>
                <w:color w:val="auto"/>
              </w:rPr>
              <w:t xml:space="preserve">there are gaps where those may not have care and support needs and therefore don’t meet Care Act criteria. </w:t>
            </w:r>
          </w:p>
        </w:tc>
      </w:tr>
      <w:tr>
        <w:tblPrEx>
          <w:tblW w:w="10495" w:type="dxa"/>
          <w:tblInd w:w="0" w:type="dxa"/>
          <w:tblCellMar>
            <w:top w:w="3" w:type="dxa"/>
            <w:left w:w="110" w:type="dxa"/>
            <w:right w:w="115" w:type="dxa"/>
          </w:tblCellMar>
          <w:tblLook w:val="04A0"/>
        </w:tblPrEx>
        <w:trPr>
          <w:trHeight w:val="550"/>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Effectiveness and implementation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1. How do services identify those who will need to transition to adult services, and what proportion start transition planning in year 9? How is this monitored? </w:t>
            </w:r>
          </w:p>
        </w:tc>
      </w:tr>
      <w:tr>
        <w:tblPrEx>
          <w:tblW w:w="10495" w:type="dxa"/>
          <w:tblInd w:w="0" w:type="dxa"/>
          <w:tblCellMar>
            <w:top w:w="3" w:type="dxa"/>
            <w:left w:w="110" w:type="dxa"/>
            <w:right w:w="115" w:type="dxa"/>
          </w:tblCellMar>
          <w:tblLook w:val="04A0"/>
        </w:tblPrEx>
        <w:trPr>
          <w:trHeight w:val="54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Within Luton Council there is a specific Multidisciplinary Team Meeting held 6 </w:t>
            </w:r>
            <w:r w:rsidRPr="00F16B57">
              <w:rPr>
                <w:color w:val="auto"/>
              </w:rPr>
              <w:t>weekly</w:t>
            </w:r>
            <w:r w:rsidRPr="00F16B57">
              <w:rPr>
                <w:color w:val="auto"/>
              </w:rPr>
              <w:t xml:space="preserve"> to identify young people who may </w:t>
            </w:r>
            <w:r w:rsidRPr="00F16B57">
              <w:rPr>
                <w:color w:val="auto"/>
              </w:rPr>
              <w:t>be in need of</w:t>
            </w:r>
            <w:r w:rsidRPr="00F16B57">
              <w:rPr>
                <w:color w:val="auto"/>
              </w:rPr>
              <w:t xml:space="preserve"> services post 18. CAMHS, Adult Social Care, Children Social Care and Education to help identify, Health Services (EG school nurses) also attend. Some young people who are not clearly in need of care and support, such as Looked After Children who may be at risk of harm (e.g. exploitation) may be missed or picked up later than year 9. </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top w:w="3" w:type="dxa"/>
            <w:left w:w="110" w:type="dxa"/>
            <w:right w:w="115" w:type="dxa"/>
          </w:tblCellMar>
          <w:tblLook w:val="04A0"/>
        </w:tblPrEx>
        <w:trPr>
          <w:trHeight w:val="550"/>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2. To what extent are transfers from child to adult services managed without gaps in provision? How is this monitored? </w:t>
            </w:r>
          </w:p>
        </w:tc>
      </w:tr>
      <w:tr>
        <w:tblPrEx>
          <w:tblW w:w="10495" w:type="dxa"/>
          <w:tblInd w:w="0" w:type="dxa"/>
          <w:tblCellMar>
            <w:top w:w="3" w:type="dxa"/>
            <w:left w:w="110" w:type="dxa"/>
            <w:right w:w="115" w:type="dxa"/>
          </w:tblCellMar>
          <w:tblLook w:val="04A0"/>
        </w:tblPrEx>
        <w:trPr>
          <w:trHeight w:val="54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 </w:t>
            </w:r>
            <w:r w:rsidRPr="00F16B57">
              <w:rPr>
                <w:color w:val="auto"/>
              </w:rPr>
              <w:t>Through the MDT as mentioned above and meeting with commissioners and provider services</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top w:w="3" w:type="dxa"/>
            <w:left w:w="110" w:type="dxa"/>
            <w:right w:w="115" w:type="dxa"/>
          </w:tblCellMar>
          <w:tblLook w:val="04A0"/>
        </w:tblPrEx>
        <w:trPr>
          <w:trHeight w:val="571"/>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Impact and outcomes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1. How is the transition support strengths-based, focusing on what is positive and possible for the young person</w:t>
            </w:r>
            <w:r>
              <w:fldChar w:fldCharType="begin"/>
            </w:r>
            <w:r>
              <w:instrText xml:space="preserve"> HYPERLINK "https://www.nice.org.uk/guidance/ng43/chapter/Recommendations" \l "support-before-transfer" </w:instrText>
            </w:r>
            <w:r>
              <w:fldChar w:fldCharType="separate"/>
            </w:r>
            <w:r w:rsidRPr="00F16B57">
              <w:rPr>
                <w:color w:val="auto"/>
              </w:rPr>
              <w:t xml:space="preserve"> </w:t>
            </w:r>
            <w:r>
              <w:fldChar w:fldCharType="end"/>
            </w:r>
            <w:r>
              <w:fldChar w:fldCharType="begin"/>
            </w:r>
            <w:r>
              <w:instrText xml:space="preserve"> HYPERLINK "https://www.nice.org.uk/guidance/ng43/chapter/Recommendations" \l "support-before-transfer" </w:instrText>
            </w:r>
            <w:r>
              <w:fldChar w:fldCharType="separate"/>
            </w:r>
            <w:r w:rsidRPr="00F16B57">
              <w:rPr>
                <w:color w:val="auto"/>
                <w:u w:val="single" w:color="467886"/>
              </w:rPr>
              <w:t>NICE NG43 (1.1.3, 2016)</w:t>
            </w:r>
            <w:r>
              <w:fldChar w:fldCharType="end"/>
            </w:r>
            <w:r>
              <w:fldChar w:fldCharType="begin"/>
            </w:r>
            <w:r>
              <w:instrText xml:space="preserve"> HYPERLINK "https://www.nice.org.uk/guidance/ng43/chapter/Recommendations" \l "support-before-transfer" </w:instrText>
            </w:r>
            <w:r>
              <w:fldChar w:fldCharType="separate"/>
            </w:r>
            <w:r w:rsidRPr="00F16B57">
              <w:rPr>
                <w:color w:val="auto"/>
                <w:sz w:val="24"/>
              </w:rPr>
              <w:t>?</w:t>
            </w:r>
            <w:r>
              <w:fldChar w:fldCharType="end"/>
            </w:r>
            <w:r w:rsidRPr="00F16B57">
              <w:rPr>
                <w:color w:val="auto"/>
              </w:rPr>
              <w:t xml:space="preserve"> </w:t>
            </w:r>
          </w:p>
        </w:tc>
      </w:tr>
      <w:tr>
        <w:tblPrEx>
          <w:tblW w:w="10495" w:type="dxa"/>
          <w:tblInd w:w="0" w:type="dxa"/>
          <w:tblCellMar>
            <w:top w:w="3" w:type="dxa"/>
            <w:left w:w="110" w:type="dxa"/>
            <w:right w:w="115" w:type="dxa"/>
          </w:tblCellMar>
          <w:tblLook w:val="04A0"/>
        </w:tblPrEx>
        <w:trPr>
          <w:trHeight w:val="550"/>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Within Luton, although this is service limited, it is strength based. Our prevention and Enablement Team are utilised to increase </w:t>
            </w:r>
            <w:r w:rsidRPr="00F16B57">
              <w:rPr>
                <w:color w:val="auto"/>
              </w:rPr>
              <w:t>independence</w:t>
            </w:r>
            <w:r w:rsidRPr="00F16B57">
              <w:rPr>
                <w:color w:val="auto"/>
              </w:rPr>
              <w:t xml:space="preserve"> and paid employment is actively sourced and young people are supported with this. </w:t>
            </w:r>
          </w:p>
          <w:p w:rsidR="00B506EE" w:rsidRPr="00F16B57">
            <w:pPr>
              <w:spacing w:after="0" w:line="259" w:lineRule="auto"/>
              <w:jc w:val="left"/>
              <w:rPr>
                <w:color w:val="auto"/>
              </w:rPr>
            </w:pPr>
            <w:r w:rsidRPr="00F16B57">
              <w:rPr>
                <w:color w:val="auto"/>
              </w:rPr>
              <w:t xml:space="preserve">Services are commissioned using an </w:t>
            </w:r>
            <w:r w:rsidRPr="00F16B57">
              <w:rPr>
                <w:color w:val="auto"/>
              </w:rPr>
              <w:t>outcome based</w:t>
            </w:r>
            <w:r w:rsidRPr="00F16B57">
              <w:rPr>
                <w:color w:val="auto"/>
              </w:rPr>
              <w:t xml:space="preserve"> model</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top w:w="3" w:type="dxa"/>
            <w:left w:w="110" w:type="dxa"/>
            <w:right w:w="115" w:type="dxa"/>
          </w:tblCellMar>
          <w:tblLook w:val="04A0"/>
        </w:tblPrEx>
        <w:trPr>
          <w:trHeight w:val="841"/>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ind w:right="47"/>
              <w:rPr>
                <w:color w:val="auto"/>
              </w:rPr>
            </w:pPr>
            <w:r w:rsidRPr="00F16B57">
              <w:rPr>
                <w:color w:val="auto"/>
              </w:rPr>
              <w:t xml:space="preserve">2. How is the recommendation that the point of transfer to adult services should be based on individual need, rather than rigid age criteria, managed in practice </w:t>
            </w:r>
            <w:r>
              <w:fldChar w:fldCharType="begin"/>
            </w:r>
            <w:r>
              <w:instrText xml:space="preserve"> HYPERLINK "https://www.nice.org.uk/guidance/ng43/chapter/Recommendations" \l "transition-planning" </w:instrText>
            </w:r>
            <w:r>
              <w:fldChar w:fldCharType="separate"/>
            </w:r>
            <w:r w:rsidRPr="00F16B57">
              <w:rPr>
                <w:color w:val="auto"/>
                <w:u w:val="single" w:color="467886"/>
              </w:rPr>
              <w:t>NICE NG43</w:t>
            </w:r>
            <w:r>
              <w:fldChar w:fldCharType="end"/>
            </w:r>
            <w:r>
              <w:fldChar w:fldCharType="begin"/>
            </w:r>
            <w:r>
              <w:instrText xml:space="preserve"> HYPERLINK "https://www.nice.org.uk/guidance/ng43/chapter/Recommendations" \l "transition-planning" </w:instrText>
            </w:r>
            <w:r>
              <w:fldChar w:fldCharType="separate"/>
            </w:r>
            <w:r w:rsidRPr="00F16B57">
              <w:rPr>
                <w:color w:val="auto"/>
              </w:rPr>
              <w:t xml:space="preserve"> </w:t>
            </w:r>
            <w:r>
              <w:fldChar w:fldCharType="end"/>
            </w:r>
            <w:r>
              <w:fldChar w:fldCharType="begin"/>
            </w:r>
            <w:r>
              <w:instrText xml:space="preserve"> HYPERLINK "https://www.nice.org.uk/guidance/ng43/chapter/Recommendations" \l "transition-planning" </w:instrText>
            </w:r>
            <w:r>
              <w:fldChar w:fldCharType="separate"/>
            </w:r>
            <w:r w:rsidRPr="00F16B57">
              <w:rPr>
                <w:color w:val="auto"/>
                <w:u w:val="single" w:color="467886"/>
              </w:rPr>
              <w:t>(1.2.3, 2016)</w:t>
            </w:r>
            <w:r>
              <w:fldChar w:fldCharType="end"/>
            </w:r>
            <w:r>
              <w:fldChar w:fldCharType="begin"/>
            </w:r>
            <w:r>
              <w:instrText xml:space="preserve"> HYPERLINK "https://www.nice.org.uk/guidance/ng43/chapter/Recommendations" \l "transition-planning" </w:instrText>
            </w:r>
            <w:r>
              <w:fldChar w:fldCharType="separate"/>
            </w:r>
            <w:r w:rsidRPr="00F16B57">
              <w:rPr>
                <w:color w:val="auto"/>
                <w:sz w:val="24"/>
              </w:rPr>
              <w:t>?</w:t>
            </w:r>
            <w:r>
              <w:fldChar w:fldCharType="end"/>
            </w:r>
            <w:r w:rsidRPr="00F16B57">
              <w:rPr>
                <w:color w:val="auto"/>
              </w:rPr>
              <w:t xml:space="preserve"> </w:t>
            </w:r>
          </w:p>
        </w:tc>
      </w:tr>
      <w:tr>
        <w:tblPrEx>
          <w:tblW w:w="10495" w:type="dxa"/>
          <w:tblInd w:w="0" w:type="dxa"/>
          <w:tblCellMar>
            <w:top w:w="3" w:type="dxa"/>
            <w:left w:w="110" w:type="dxa"/>
            <w:right w:w="115" w:type="dxa"/>
          </w:tblCellMar>
          <w:tblLook w:val="04A0"/>
        </w:tblPrEx>
        <w:trPr>
          <w:trHeight w:val="54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 </w:t>
            </w:r>
            <w:r w:rsidRPr="00F16B57">
              <w:rPr>
                <w:color w:val="auto"/>
              </w:rPr>
              <w:t>This is picked up through the MDT in place and terms of reference is that young people transition at the time that is right for them, the children and adults social care team work closely together to ensure this takes place.</w:t>
            </w:r>
          </w:p>
          <w:p w:rsidR="00B506EE" w:rsidRPr="00F16B57">
            <w:pPr>
              <w:spacing w:after="0" w:line="259" w:lineRule="auto"/>
              <w:jc w:val="left"/>
              <w:rPr>
                <w:color w:val="auto"/>
              </w:rPr>
            </w:pPr>
            <w:r w:rsidRPr="00F16B57">
              <w:rPr>
                <w:color w:val="auto"/>
              </w:rPr>
              <w:t>There have been some challenges with this where the primary need is Mental Health or where there is no requirement for care and support post 18</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top w:w="3" w:type="dxa"/>
            <w:left w:w="110" w:type="dxa"/>
            <w:right w:w="115" w:type="dxa"/>
          </w:tblCellMar>
          <w:tblLook w:val="04A0"/>
        </w:tblPrEx>
        <w:trPr>
          <w:trHeight w:val="280"/>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Appropriateness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1. To what extent are service providers able to meet these statements of intent?  </w:t>
            </w:r>
          </w:p>
        </w:tc>
      </w:tr>
      <w:tr>
        <w:tblPrEx>
          <w:tblW w:w="10495" w:type="dxa"/>
          <w:tblInd w:w="0" w:type="dxa"/>
          <w:tblCellMar>
            <w:top w:w="3" w:type="dxa"/>
            <w:left w:w="110" w:type="dxa"/>
            <w:right w:w="115" w:type="dxa"/>
          </w:tblCellMar>
          <w:tblLook w:val="04A0"/>
        </w:tblPrEx>
        <w:trPr>
          <w:trHeight w:val="550"/>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Adult Services,</w:t>
            </w:r>
            <w:r w:rsidRPr="00F16B57">
              <w:rPr>
                <w:color w:val="auto"/>
              </w:rPr>
              <w:t xml:space="preserve"> predominantly won’t pick up young people until the age of 18. However there have been cases where the provider has taken young people where required and vice versa where children’s services have continued to support post 18 with support from regulators (CQC and Ofsted)</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top w:w="3" w:type="dxa"/>
            <w:left w:w="110" w:type="dxa"/>
            <w:right w:w="115" w:type="dxa"/>
          </w:tblCellMar>
          <w:tblLook w:val="04A0"/>
        </w:tblPrEx>
        <w:trPr>
          <w:trHeight w:val="54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2. How appropriate are the current expectations on the timeliness and pace of the transition at both the individual and service level?  </w:t>
            </w:r>
          </w:p>
        </w:tc>
      </w:tr>
      <w:tr>
        <w:tblPrEx>
          <w:tblW w:w="10495" w:type="dxa"/>
          <w:tblInd w:w="0" w:type="dxa"/>
          <w:tblCellMar>
            <w:top w:w="3" w:type="dxa"/>
            <w:left w:w="110" w:type="dxa"/>
            <w:right w:w="115" w:type="dxa"/>
          </w:tblCellMar>
          <w:tblLook w:val="04A0"/>
        </w:tblPrEx>
        <w:trPr>
          <w:trHeight w:val="54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There are no concerns with this.</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top w:w="3" w:type="dxa"/>
            <w:left w:w="110" w:type="dxa"/>
            <w:right w:w="115" w:type="dxa"/>
          </w:tblCellMar>
          <w:tblLook w:val="04A0"/>
        </w:tblPrEx>
        <w:trPr>
          <w:trHeight w:val="821"/>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Equality and diversity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1. How is the progress of underserved or vulnerable service-user groups, including those with protected characteristics, monitored in the delivery of services under this guidance? </w:t>
            </w:r>
          </w:p>
        </w:tc>
      </w:tr>
      <w:tr>
        <w:tblPrEx>
          <w:tblW w:w="10495" w:type="dxa"/>
          <w:tblInd w:w="0" w:type="dxa"/>
          <w:tblCellMar>
            <w:top w:w="3" w:type="dxa"/>
            <w:left w:w="110" w:type="dxa"/>
            <w:right w:w="115" w:type="dxa"/>
          </w:tblCellMar>
          <w:tblLook w:val="04A0"/>
        </w:tblPrEx>
        <w:trPr>
          <w:trHeight w:val="54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All young people are </w:t>
            </w:r>
            <w:r w:rsidRPr="00F16B57">
              <w:rPr>
                <w:color w:val="auto"/>
              </w:rPr>
              <w:t>monitored,</w:t>
            </w:r>
            <w:r w:rsidRPr="00F16B57">
              <w:rPr>
                <w:color w:val="auto"/>
              </w:rPr>
              <w:t xml:space="preserve"> there is no specific monitoring in place for those with protected characteristics</w:t>
            </w:r>
            <w:r w:rsidRPr="00F16B57">
              <w:rPr>
                <w:color w:val="auto"/>
              </w:rPr>
              <w:t xml:space="preserve"> </w:t>
            </w:r>
          </w:p>
          <w:p w:rsidR="00B506EE" w:rsidRPr="00F16B57">
            <w:pPr>
              <w:spacing w:after="0" w:line="259" w:lineRule="auto"/>
              <w:jc w:val="left"/>
              <w:rPr>
                <w:color w:val="auto"/>
              </w:rPr>
            </w:pPr>
            <w:r w:rsidRPr="00F16B57">
              <w:rPr>
                <w:color w:val="auto"/>
              </w:rPr>
              <w:t xml:space="preserve"> </w:t>
            </w:r>
          </w:p>
        </w:tc>
      </w:tr>
    </w:tbl>
    <w:p w:rsidR="00B506EE" w:rsidRPr="00F16B57">
      <w:pPr>
        <w:spacing w:after="184" w:line="259" w:lineRule="auto"/>
        <w:ind w:left="710"/>
        <w:rPr>
          <w:color w:val="auto"/>
        </w:rPr>
      </w:pPr>
      <w:r w:rsidRPr="00F16B57">
        <w:rPr>
          <w:color w:val="auto"/>
          <w:sz w:val="24"/>
        </w:rPr>
        <w:t xml:space="preserve"> </w:t>
      </w:r>
    </w:p>
    <w:p w:rsidR="00B506EE" w:rsidRPr="00F16B57">
      <w:pPr>
        <w:spacing w:after="0" w:line="259" w:lineRule="auto"/>
        <w:ind w:left="710"/>
        <w:rPr>
          <w:color w:val="auto"/>
        </w:rPr>
      </w:pPr>
      <w:r w:rsidRPr="00F16B57">
        <w:rPr>
          <w:color w:val="auto"/>
          <w:sz w:val="24"/>
        </w:rPr>
        <w:t xml:space="preserve"> </w:t>
      </w:r>
    </w:p>
    <w:tbl>
      <w:tblPr>
        <w:tblStyle w:val="TableGrid"/>
        <w:tblW w:w="10495" w:type="dxa"/>
        <w:tblInd w:w="0" w:type="dxa"/>
        <w:tblCellMar>
          <w:left w:w="110" w:type="dxa"/>
          <w:right w:w="123" w:type="dxa"/>
        </w:tblCellMar>
        <w:tblLook w:val="04A0"/>
      </w:tblPr>
      <w:tblGrid>
        <w:gridCol w:w="1986"/>
        <w:gridCol w:w="8509"/>
      </w:tblGrid>
      <w:tr>
        <w:tblPrEx>
          <w:tblW w:w="10495" w:type="dxa"/>
          <w:tblInd w:w="0" w:type="dxa"/>
          <w:tblCellMar>
            <w:left w:w="110" w:type="dxa"/>
            <w:right w:w="123" w:type="dxa"/>
          </w:tblCellMar>
          <w:tblLook w:val="04A0"/>
        </w:tblPrEx>
        <w:trPr>
          <w:trHeight w:val="595"/>
        </w:trPr>
        <w:tc>
          <w:tcPr>
            <w:tcW w:w="10495" w:type="dxa"/>
            <w:gridSpan w:val="2"/>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4"/>
              </w:rPr>
              <w:t xml:space="preserve">FOCUS AREA 2  </w:t>
            </w:r>
          </w:p>
          <w:p w:rsidR="00B506EE" w:rsidRPr="00F16B57">
            <w:pPr>
              <w:spacing w:after="0" w:line="259" w:lineRule="auto"/>
              <w:jc w:val="left"/>
              <w:rPr>
                <w:color w:val="auto"/>
              </w:rPr>
            </w:pPr>
            <w:r w:rsidRPr="00F16B57">
              <w:rPr>
                <w:b/>
                <w:color w:val="auto"/>
                <w:sz w:val="24"/>
              </w:rPr>
              <w:t xml:space="preserve">EFFECTIVENESS OF THE TRANSITION PROCESS AND CROSS-SERVICE COORDINATION </w:t>
            </w:r>
          </w:p>
        </w:tc>
      </w:tr>
      <w:tr>
        <w:tblPrEx>
          <w:tblW w:w="10495" w:type="dxa"/>
          <w:tblInd w:w="0" w:type="dxa"/>
          <w:tblCellMar>
            <w:left w:w="110" w:type="dxa"/>
            <w:right w:w="123" w:type="dxa"/>
          </w:tblCellMar>
          <w:tblLook w:val="04A0"/>
        </w:tblPrEx>
        <w:trPr>
          <w:trHeight w:val="3611"/>
        </w:trPr>
        <w:tc>
          <w:tcPr>
            <w:tcW w:w="10495" w:type="dxa"/>
            <w:gridSpan w:val="2"/>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rPr>
              <w:t>Statement of intent 1</w:t>
            </w:r>
            <w:r w:rsidRPr="00F16B57">
              <w:rPr>
                <w:color w:val="auto"/>
              </w:rPr>
              <w:t xml:space="preserve">: Jointly plan services for all young people making a transition from </w:t>
            </w:r>
            <w:r w:rsidRPr="00F16B57">
              <w:rPr>
                <w:color w:val="auto"/>
              </w:rPr>
              <w:t>children's</w:t>
            </w:r>
            <w:r w:rsidRPr="00F16B57">
              <w:rPr>
                <w:color w:val="auto"/>
              </w:rPr>
              <w:t xml:space="preserve"> to adults' services. For young people with education, health and care plans, local authorities and health </w:t>
            </w:r>
          </w:p>
          <w:p w:rsidR="00B506EE" w:rsidRPr="00F16B57">
            <w:pPr>
              <w:spacing w:after="0" w:line="259" w:lineRule="auto"/>
              <w:jc w:val="left"/>
              <w:rPr>
                <w:color w:val="auto"/>
              </w:rPr>
            </w:pPr>
            <w:r w:rsidRPr="00F16B57">
              <w:rPr>
                <w:color w:val="auto"/>
              </w:rPr>
              <w:t>commissioners must jointly commission services, as per the</w:t>
            </w:r>
            <w:r>
              <w:fldChar w:fldCharType="begin"/>
            </w:r>
            <w:r>
              <w:instrText xml:space="preserve"> HYPERLINK "http://www.legislation.gov.uk/ukpga/2014/6/contents/enacted" </w:instrText>
            </w:r>
            <w:r>
              <w:fldChar w:fldCharType="separate"/>
            </w:r>
            <w:r w:rsidRPr="00F16B57">
              <w:rPr>
                <w:color w:val="auto"/>
              </w:rPr>
              <w:t xml:space="preserve"> </w:t>
            </w:r>
            <w:r>
              <w:fldChar w:fldCharType="end"/>
            </w:r>
            <w:r>
              <w:fldChar w:fldCharType="begin"/>
            </w:r>
            <w:r>
              <w:instrText xml:space="preserve"> HYPERLINK "http://www.legislation.gov.uk/ukpga/2014/6/contents/enacted" </w:instrText>
            </w:r>
            <w:r>
              <w:fldChar w:fldCharType="separate"/>
            </w:r>
            <w:r w:rsidRPr="00F16B57">
              <w:rPr>
                <w:color w:val="auto"/>
                <w:u w:val="single" w:color="467886"/>
              </w:rPr>
              <w:t>Children and Families Act</w:t>
            </w:r>
            <w:r>
              <w:fldChar w:fldCharType="end"/>
            </w:r>
            <w:r>
              <w:fldChar w:fldCharType="begin"/>
            </w:r>
            <w:r>
              <w:instrText xml:space="preserve"> HYPERLINK "http://www.legislation.gov.uk/ukpga/2014/6/contents/enacted" </w:instrText>
            </w:r>
            <w:r>
              <w:fldChar w:fldCharType="separate"/>
            </w:r>
            <w:r w:rsidRPr="00F16B57">
              <w:rPr>
                <w:color w:val="auto"/>
                <w:u w:val="single" w:color="467886"/>
              </w:rPr>
              <w:t xml:space="preserve"> </w:t>
            </w:r>
            <w:r>
              <w:fldChar w:fldCharType="end"/>
            </w:r>
            <w:r>
              <w:fldChar w:fldCharType="begin"/>
            </w:r>
            <w:r>
              <w:instrText xml:space="preserve"> HYPERLINK "http://www.legislation.gov.uk/ukpga/2014/6/contents/enacted" </w:instrText>
            </w:r>
            <w:r>
              <w:fldChar w:fldCharType="separate"/>
            </w:r>
            <w:r w:rsidRPr="00F16B57">
              <w:rPr>
                <w:color w:val="auto"/>
                <w:u w:val="single" w:color="467886"/>
              </w:rPr>
              <w:t>2014</w:t>
            </w:r>
            <w:r>
              <w:fldChar w:fldCharType="end"/>
            </w:r>
            <w:r>
              <w:fldChar w:fldCharType="begin"/>
            </w:r>
            <w:r>
              <w:instrText xml:space="preserve"> HYPERLINK "https://www.nice.org.uk/guidance/ng43/chapter/Recommendations" \l "supporting-infrastructure" </w:instrText>
            </w:r>
            <w:r>
              <w:fldChar w:fldCharType="separate"/>
            </w:r>
            <w:r w:rsidRPr="00F16B57">
              <w:rPr>
                <w:color w:val="auto"/>
              </w:rPr>
              <w:t>.</w:t>
            </w:r>
            <w:r>
              <w:fldChar w:fldCharType="end"/>
            </w:r>
            <w:r>
              <w:fldChar w:fldCharType="begin"/>
            </w:r>
            <w:r>
              <w:instrText xml:space="preserve"> HYPERLINK "https://www.nice.org.uk/guidance/ng43/chapter/Recommendations" \l "supporting-infrastructure" </w:instrText>
            </w:r>
            <w:r>
              <w:fldChar w:fldCharType="separate"/>
            </w:r>
            <w:r w:rsidRPr="00F16B57">
              <w:rPr>
                <w:b/>
                <w:color w:val="auto"/>
              </w:rPr>
              <w:t xml:space="preserve"> </w:t>
            </w:r>
            <w:r>
              <w:fldChar w:fldCharType="end"/>
            </w:r>
            <w:r>
              <w:fldChar w:fldCharType="begin"/>
            </w:r>
            <w:r>
              <w:instrText xml:space="preserve"> HYPERLINK "https://www.nice.org.uk/guidance/ng43/chapter/Recommendations" \l "supporting-infrastructure" </w:instrText>
            </w:r>
            <w:r>
              <w:fldChar w:fldCharType="separate"/>
            </w:r>
            <w:r w:rsidRPr="00F16B57">
              <w:rPr>
                <w:color w:val="auto"/>
                <w:u w:val="single" w:color="467886"/>
              </w:rPr>
              <w:t>NICE NG43</w:t>
            </w:r>
            <w:r>
              <w:fldChar w:fldCharType="end"/>
            </w:r>
            <w:r>
              <w:fldChar w:fldCharType="begin"/>
            </w:r>
            <w:r>
              <w:instrText xml:space="preserve"> HYPERLINK "https://www.nice.org.uk/guidance/ng43/chapter/Recommendations" \l "supporting-infrastructure" </w:instrText>
            </w:r>
            <w:r>
              <w:fldChar w:fldCharType="separate"/>
            </w:r>
            <w:r w:rsidRPr="00F16B57">
              <w:rPr>
                <w:color w:val="auto"/>
              </w:rPr>
              <w:t xml:space="preserve"> </w:t>
            </w:r>
            <w:r>
              <w:fldChar w:fldCharType="end"/>
            </w:r>
          </w:p>
          <w:p w:rsidR="00B506EE" w:rsidRPr="00F16B57">
            <w:pPr>
              <w:spacing w:after="120" w:line="259" w:lineRule="auto"/>
              <w:jc w:val="left"/>
              <w:rPr>
                <w:color w:val="auto"/>
              </w:rPr>
            </w:pPr>
            <w:r>
              <w:fldChar w:fldCharType="begin"/>
            </w:r>
            <w:r>
              <w:instrText xml:space="preserve"> HYPERLINK "https://www.nice.org.uk/guidance/ng43/chapter/Recommendations" \l "supporting-infrastructure" </w:instrText>
            </w:r>
            <w:r>
              <w:fldChar w:fldCharType="separate"/>
            </w:r>
            <w:r w:rsidRPr="00F16B57">
              <w:rPr>
                <w:color w:val="auto"/>
                <w:u w:val="single" w:color="467886"/>
              </w:rPr>
              <w:t>(1.5.9, 2016)</w:t>
            </w:r>
            <w:r>
              <w:fldChar w:fldCharType="end"/>
            </w:r>
            <w:r>
              <w:fldChar w:fldCharType="begin"/>
            </w:r>
            <w:r>
              <w:instrText xml:space="preserve"> HYPERLINK "https://www.nice.org.uk/guidance/ng43/chapter/Recommendations" \l "supporting-infrastructure" </w:instrText>
            </w:r>
            <w:r>
              <w:fldChar w:fldCharType="separate"/>
            </w:r>
            <w:r w:rsidRPr="00F16B57">
              <w:rPr>
                <w:color w:val="auto"/>
              </w:rPr>
              <w:t xml:space="preserve"> </w:t>
            </w:r>
            <w:r>
              <w:fldChar w:fldCharType="end"/>
            </w:r>
          </w:p>
          <w:p w:rsidR="00B506EE" w:rsidRPr="00F16B57">
            <w:pPr>
              <w:spacing w:after="0" w:line="259" w:lineRule="auto"/>
              <w:jc w:val="left"/>
              <w:rPr>
                <w:color w:val="auto"/>
              </w:rPr>
            </w:pPr>
            <w:r w:rsidRPr="00F16B57">
              <w:rPr>
                <w:b/>
                <w:color w:val="auto"/>
              </w:rPr>
              <w:t>Statement of intent 2:</w:t>
            </w:r>
            <w:r w:rsidRPr="00F16B57">
              <w:rPr>
                <w:color w:val="auto"/>
              </w:rPr>
              <w:t xml:space="preserve"> Carry out a gap analysis to identify and respond to the needs of young people who have been receiving support from children's services, including child and adolescent mental health services, but who are not able to get support from adult services. The gap analysis should inform local planning and commissioning of services. When carrying out the gap analysis: take into account resources already available in primary care practices; include young people who don't meet eligibility criteria for support from adu</w:t>
            </w:r>
            <w:r w:rsidRPr="00F16B57">
              <w:rPr>
                <w:color w:val="auto"/>
              </w:rPr>
              <w:t xml:space="preserve">lts' services and those for whom services are not available for another reason; pay particular attention to young people: with neurodevelopmental disorders, with cerebral palsy, with challenging behaviour, or who are being supported with palliative care. </w:t>
            </w:r>
            <w:r>
              <w:fldChar w:fldCharType="begin"/>
            </w:r>
            <w:r>
              <w:instrText xml:space="preserve"> HYPERLINK "https://www.nice.org.uk/guidance/ng43/chapter/Recommendations" \l "supporting-infrastructure" </w:instrText>
            </w:r>
            <w:r>
              <w:fldChar w:fldCharType="separate"/>
            </w:r>
            <w:r w:rsidRPr="00F16B57">
              <w:rPr>
                <w:color w:val="auto"/>
                <w:u w:val="single" w:color="467886"/>
              </w:rPr>
              <w:t>NICE NG43 (1.5.7</w:t>
            </w:r>
            <w:r>
              <w:fldChar w:fldCharType="end"/>
            </w:r>
            <w:r>
              <w:fldChar w:fldCharType="begin"/>
            </w:r>
            <w:r>
              <w:instrText xml:space="preserve"> HYPERLINK "https://www.nice.org.uk/guidance/ng43/chapter/Recommendations" \l "supporting-infrastructure" </w:instrText>
            </w:r>
            <w:r>
              <w:fldChar w:fldCharType="separate"/>
            </w:r>
            <w:r w:rsidRPr="00F16B57">
              <w:rPr>
                <w:color w:val="auto"/>
                <w:u w:val="single" w:color="467886"/>
              </w:rPr>
              <w:t>-</w:t>
            </w:r>
            <w:r>
              <w:fldChar w:fldCharType="end"/>
            </w:r>
            <w:r>
              <w:fldChar w:fldCharType="begin"/>
            </w:r>
            <w:r>
              <w:instrText xml:space="preserve"> HYPERLINK "https://www.nice.org.uk/guidance/ng43/chapter/Recommendations" \l "supporting-infrastructure" </w:instrText>
            </w:r>
            <w:r>
              <w:fldChar w:fldCharType="separate"/>
            </w:r>
            <w:r w:rsidRPr="00F16B57">
              <w:rPr>
                <w:color w:val="auto"/>
                <w:u w:val="single" w:color="467886"/>
              </w:rPr>
              <w:t>8, 2016)</w:t>
            </w:r>
            <w:r>
              <w:fldChar w:fldCharType="end"/>
            </w:r>
            <w:r>
              <w:fldChar w:fldCharType="begin"/>
            </w:r>
            <w:r>
              <w:instrText xml:space="preserve"> HYPERLINK "https://www.nice.org.uk/guidance/ng43/chapter/Recommendations" \l "supporting-infrastructure" </w:instrText>
            </w:r>
            <w:r>
              <w:fldChar w:fldCharType="separate"/>
            </w:r>
            <w:r w:rsidRPr="00F16B57">
              <w:rPr>
                <w:b/>
                <w:color w:val="auto"/>
              </w:rPr>
              <w:t xml:space="preserve"> </w:t>
            </w:r>
            <w:r>
              <w:fldChar w:fldCharType="end"/>
            </w:r>
          </w:p>
        </w:tc>
      </w:tr>
      <w:tr>
        <w:tblPrEx>
          <w:tblW w:w="10495" w:type="dxa"/>
          <w:tblInd w:w="0" w:type="dxa"/>
          <w:tblCellMar>
            <w:left w:w="110" w:type="dxa"/>
            <w:right w:w="123" w:type="dxa"/>
          </w:tblCellMar>
          <w:tblLook w:val="04A0"/>
        </w:tblPrEx>
        <w:trPr>
          <w:trHeight w:val="545"/>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Resourcing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1. What resourcing is needed for health and social care services to effectively enable joint working and commissioning?  </w:t>
            </w:r>
          </w:p>
        </w:tc>
      </w:tr>
      <w:tr>
        <w:tblPrEx>
          <w:tblW w:w="10495" w:type="dxa"/>
          <w:tblInd w:w="0" w:type="dxa"/>
          <w:tblCellMar>
            <w:left w:w="110" w:type="dxa"/>
            <w:right w:w="123" w:type="dxa"/>
          </w:tblCellMar>
          <w:tblLook w:val="04A0"/>
        </w:tblPrEx>
        <w:trPr>
          <w:trHeight w:val="54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 </w:t>
            </w:r>
            <w:r w:rsidRPr="00F16B57">
              <w:rPr>
                <w:color w:val="auto"/>
              </w:rPr>
              <w:t xml:space="preserve">Currently there is no effective joint commissioning, an adult, </w:t>
            </w:r>
            <w:r w:rsidRPr="00F16B57">
              <w:rPr>
                <w:color w:val="auto"/>
              </w:rPr>
              <w:t>childrens</w:t>
            </w:r>
            <w:r w:rsidRPr="00F16B57">
              <w:rPr>
                <w:color w:val="auto"/>
              </w:rPr>
              <w:t xml:space="preserve"> and health commissioning team jointly working together would support this. </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left w:w="110" w:type="dxa"/>
            <w:right w:w="123" w:type="dxa"/>
          </w:tblCellMar>
          <w:tblLook w:val="04A0"/>
        </w:tblPrEx>
        <w:trPr>
          <w:trHeight w:val="550"/>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rPr>
                <w:color w:val="auto"/>
              </w:rPr>
            </w:pPr>
            <w:r w:rsidRPr="00F16B57">
              <w:rPr>
                <w:color w:val="auto"/>
              </w:rPr>
              <w:t xml:space="preserve">2. Are gap analyses taking place across services, when do these take place, how are they acted on and how is this monitored? </w:t>
            </w:r>
          </w:p>
        </w:tc>
      </w:tr>
      <w:tr>
        <w:tblPrEx>
          <w:tblW w:w="10495" w:type="dxa"/>
          <w:tblInd w:w="0" w:type="dxa"/>
          <w:tblCellMar>
            <w:left w:w="110" w:type="dxa"/>
            <w:right w:w="123" w:type="dxa"/>
          </w:tblCellMar>
          <w:tblLook w:val="04A0"/>
        </w:tblPrEx>
        <w:trPr>
          <w:trHeight w:val="54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Within Adults Supported Living a gap analysis took place</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left w:w="110" w:type="dxa"/>
            <w:right w:w="123" w:type="dxa"/>
          </w:tblCellMar>
          <w:tblLook w:val="04A0"/>
        </w:tblPrEx>
        <w:trPr>
          <w:trHeight w:val="551"/>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Effectiveness and implementation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rPr>
                <w:color w:val="auto"/>
              </w:rPr>
            </w:pPr>
            <w:r w:rsidRPr="00F16B57">
              <w:rPr>
                <w:color w:val="auto"/>
              </w:rPr>
              <w:t>1. How effective is joint commissioning and coordinated delivery of the care received by children and young people at the point of transition?</w:t>
            </w:r>
            <w:r w:rsidRPr="00F16B57">
              <w:rPr>
                <w:color w:val="auto"/>
                <w:sz w:val="24"/>
              </w:rPr>
              <w:t xml:space="preserve"> </w:t>
            </w:r>
          </w:p>
        </w:tc>
      </w:tr>
      <w:tr>
        <w:tblPrEx>
          <w:tblW w:w="10495" w:type="dxa"/>
          <w:tblInd w:w="0" w:type="dxa"/>
          <w:tblCellMar>
            <w:left w:w="110" w:type="dxa"/>
            <w:right w:w="123" w:type="dxa"/>
          </w:tblCellMar>
          <w:tblLook w:val="04A0"/>
        </w:tblPrEx>
        <w:trPr>
          <w:trHeight w:val="59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Luton Council commission on behalf of health where support is joint funded, however where the funding is social care or health only there is no joint commissioning. There is some coordination where required on a </w:t>
            </w:r>
            <w:r w:rsidRPr="00F16B57">
              <w:rPr>
                <w:color w:val="auto"/>
                <w:sz w:val="24"/>
              </w:rPr>
              <w:t>case by case</w:t>
            </w:r>
            <w:r w:rsidRPr="00F16B57">
              <w:rPr>
                <w:color w:val="auto"/>
                <w:sz w:val="24"/>
              </w:rPr>
              <w:t xml:space="preserve"> basis between the three commissioning teams and NHSE</w:t>
            </w:r>
          </w:p>
          <w:p w:rsidR="00B506EE" w:rsidRPr="00F16B57">
            <w:pPr>
              <w:spacing w:after="0" w:line="259" w:lineRule="auto"/>
              <w:jc w:val="left"/>
              <w:rPr>
                <w:color w:val="auto"/>
              </w:rPr>
            </w:pPr>
            <w:r w:rsidRPr="00F16B57">
              <w:rPr>
                <w:color w:val="auto"/>
                <w:sz w:val="24"/>
              </w:rPr>
              <w:t xml:space="preserve"> </w:t>
            </w:r>
          </w:p>
        </w:tc>
      </w:tr>
      <w:tr>
        <w:tblPrEx>
          <w:tblW w:w="10495" w:type="dxa"/>
          <w:tblInd w:w="0" w:type="dxa"/>
          <w:tblCellMar>
            <w:left w:w="110" w:type="dxa"/>
            <w:right w:w="123" w:type="dxa"/>
          </w:tblCellMar>
          <w:tblLook w:val="04A0"/>
        </w:tblPrEx>
        <w:trPr>
          <w:trHeight w:val="81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2. Are there ways in which better and more effective joint working could improve the provision and quality of services? What does good practice look like in cross-service commissioning and delivery?</w:t>
            </w:r>
            <w:r w:rsidRPr="00F16B57">
              <w:rPr>
                <w:color w:val="auto"/>
                <w:sz w:val="24"/>
              </w:rPr>
              <w:t xml:space="preserve"> </w:t>
            </w:r>
          </w:p>
        </w:tc>
      </w:tr>
      <w:tr>
        <w:tblPrEx>
          <w:tblW w:w="10495" w:type="dxa"/>
          <w:tblInd w:w="0" w:type="dxa"/>
          <w:tblCellMar>
            <w:left w:w="110" w:type="dxa"/>
            <w:right w:w="123" w:type="dxa"/>
          </w:tblCellMar>
          <w:tblLook w:val="04A0"/>
        </w:tblPrEx>
        <w:trPr>
          <w:trHeight w:val="54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 </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left w:w="110" w:type="dxa"/>
            <w:right w:w="123" w:type="dxa"/>
          </w:tblCellMar>
          <w:tblLook w:val="04A0"/>
        </w:tblPrEx>
        <w:trPr>
          <w:trHeight w:val="595"/>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Impact and outcomes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1. Where health and social care organisations have not been able to fulfil these statements of intent, what has the impact been? </w:t>
            </w:r>
          </w:p>
        </w:tc>
      </w:tr>
      <w:tr>
        <w:tblPrEx>
          <w:tblW w:w="10495" w:type="dxa"/>
          <w:tblInd w:w="0" w:type="dxa"/>
          <w:tblCellMar>
            <w:left w:w="110" w:type="dxa"/>
            <w:right w:w="123" w:type="dxa"/>
          </w:tblCellMar>
          <w:tblLook w:val="04A0"/>
        </w:tblPrEx>
        <w:trPr>
          <w:trHeight w:val="600"/>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sz w:val="24"/>
              </w:rPr>
            </w:pPr>
            <w:r w:rsidRPr="00F16B57">
              <w:rPr>
                <w:color w:val="auto"/>
                <w:sz w:val="24"/>
              </w:rPr>
              <w:t>Delay in service provision to the young person</w:t>
            </w:r>
          </w:p>
          <w:p w:rsidR="00B506EE" w:rsidRPr="00F16B57">
            <w:pPr>
              <w:spacing w:after="0" w:line="259" w:lineRule="auto"/>
              <w:jc w:val="left"/>
              <w:rPr>
                <w:color w:val="auto"/>
              </w:rPr>
            </w:pPr>
            <w:r w:rsidRPr="00F16B57">
              <w:rPr>
                <w:color w:val="auto"/>
              </w:rPr>
              <w:t>Impact on carers which increases risk</w:t>
            </w:r>
          </w:p>
          <w:p w:rsidR="00B506EE" w:rsidRPr="00F16B57">
            <w:pPr>
              <w:spacing w:after="0" w:line="259" w:lineRule="auto"/>
              <w:jc w:val="left"/>
              <w:rPr>
                <w:color w:val="auto"/>
              </w:rPr>
            </w:pPr>
            <w:r w:rsidRPr="00F16B57">
              <w:rPr>
                <w:color w:val="auto"/>
              </w:rPr>
              <w:t>Higher cost packages of support may be required</w:t>
            </w:r>
          </w:p>
          <w:p w:rsidR="00B506EE" w:rsidRPr="00F16B57">
            <w:pPr>
              <w:spacing w:after="0" w:line="259" w:lineRule="auto"/>
              <w:jc w:val="left"/>
              <w:rPr>
                <w:color w:val="auto"/>
              </w:rPr>
            </w:pPr>
            <w:r w:rsidRPr="00F16B57">
              <w:rPr>
                <w:color w:val="auto"/>
              </w:rPr>
              <w:t>Increased frustrations from staff working with the young person as there are gaps and delays in provision</w:t>
            </w:r>
          </w:p>
          <w:p w:rsidR="00B506EE" w:rsidRPr="00F16B57">
            <w:pPr>
              <w:spacing w:after="0" w:line="259" w:lineRule="auto"/>
              <w:jc w:val="left"/>
              <w:rPr>
                <w:color w:val="auto"/>
              </w:rPr>
            </w:pPr>
            <w:r w:rsidRPr="00F16B57">
              <w:rPr>
                <w:color w:val="auto"/>
                <w:sz w:val="24"/>
              </w:rPr>
              <w:t xml:space="preserve"> </w:t>
            </w:r>
          </w:p>
        </w:tc>
      </w:tr>
      <w:tr>
        <w:tblPrEx>
          <w:tblW w:w="10495" w:type="dxa"/>
          <w:tblInd w:w="0" w:type="dxa"/>
          <w:tblCellMar>
            <w:left w:w="110" w:type="dxa"/>
            <w:right w:w="123" w:type="dxa"/>
          </w:tblCellMar>
          <w:tblLook w:val="04A0"/>
        </w:tblPrEx>
        <w:trPr>
          <w:trHeight w:val="54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rPr>
                <w:color w:val="auto"/>
              </w:rPr>
            </w:pPr>
            <w:r w:rsidRPr="00F16B57">
              <w:rPr>
                <w:color w:val="auto"/>
              </w:rPr>
              <w:t>2. What is the impact of joint working on an individual’s experience of the transition between child and adult services?</w:t>
            </w:r>
            <w:r w:rsidRPr="00F16B57">
              <w:rPr>
                <w:color w:val="auto"/>
                <w:sz w:val="24"/>
              </w:rPr>
              <w:t xml:space="preserve"> </w:t>
            </w:r>
          </w:p>
        </w:tc>
      </w:tr>
      <w:tr>
        <w:tblPrEx>
          <w:tblW w:w="10495" w:type="dxa"/>
          <w:tblInd w:w="0" w:type="dxa"/>
          <w:tblCellMar>
            <w:left w:w="110" w:type="dxa"/>
            <w:right w:w="123" w:type="dxa"/>
          </w:tblCellMar>
          <w:tblLook w:val="04A0"/>
        </w:tblPrEx>
        <w:trPr>
          <w:trHeight w:val="59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 </w:t>
            </w:r>
            <w:r w:rsidRPr="00F16B57">
              <w:rPr>
                <w:color w:val="auto"/>
                <w:sz w:val="24"/>
              </w:rPr>
              <w:t xml:space="preserve">Where joint working has </w:t>
            </w:r>
            <w:r w:rsidRPr="00F16B57">
              <w:rPr>
                <w:color w:val="auto"/>
                <w:sz w:val="24"/>
              </w:rPr>
              <w:t>occurred</w:t>
            </w:r>
            <w:r w:rsidRPr="00F16B57">
              <w:rPr>
                <w:color w:val="auto"/>
                <w:sz w:val="24"/>
              </w:rPr>
              <w:t xml:space="preserve"> this has a positive impact on the young person and their carers due to timely and responsive services </w:t>
            </w:r>
          </w:p>
          <w:p w:rsidR="00B506EE" w:rsidRPr="00F16B57">
            <w:pPr>
              <w:spacing w:after="0" w:line="259" w:lineRule="auto"/>
              <w:jc w:val="left"/>
              <w:rPr>
                <w:color w:val="auto"/>
              </w:rPr>
            </w:pPr>
            <w:r w:rsidRPr="00F16B57">
              <w:rPr>
                <w:color w:val="auto"/>
                <w:sz w:val="24"/>
              </w:rPr>
              <w:t xml:space="preserve"> </w:t>
            </w:r>
          </w:p>
        </w:tc>
      </w:tr>
      <w:tr>
        <w:tblPrEx>
          <w:tblW w:w="10495" w:type="dxa"/>
          <w:tblInd w:w="0" w:type="dxa"/>
          <w:tblCellMar>
            <w:left w:w="110" w:type="dxa"/>
            <w:right w:w="123" w:type="dxa"/>
          </w:tblCellMar>
          <w:tblLook w:val="04A0"/>
        </w:tblPrEx>
        <w:trPr>
          <w:trHeight w:val="816"/>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3. Is there available data demonstrating the proportion of young people who are transitioned to primary care management, for example where there is no specific adult service, or they do not meet the requirements for adult services? </w:t>
            </w:r>
            <w:r w:rsidRPr="00F16B57">
              <w:rPr>
                <w:color w:val="auto"/>
              </w:rPr>
              <w:t xml:space="preserve"> </w:t>
            </w:r>
          </w:p>
        </w:tc>
      </w:tr>
      <w:tr>
        <w:tblPrEx>
          <w:tblW w:w="10495" w:type="dxa"/>
          <w:tblInd w:w="0" w:type="dxa"/>
          <w:tblCellMar>
            <w:left w:w="110" w:type="dxa"/>
            <w:right w:w="123" w:type="dxa"/>
          </w:tblCellMar>
          <w:tblLook w:val="04A0"/>
        </w:tblPrEx>
        <w:trPr>
          <w:trHeight w:val="550"/>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This is collected through the MDT </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left w:w="110" w:type="dxa"/>
            <w:right w:w="123" w:type="dxa"/>
          </w:tblCellMar>
          <w:tblLook w:val="04A0"/>
        </w:tblPrEx>
        <w:trPr>
          <w:trHeight w:val="545"/>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Appropriateness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1. Are current guidelines and guidance in this area appropriate for children and young people, and for the health and social care professionals involved? </w:t>
            </w:r>
          </w:p>
        </w:tc>
      </w:tr>
      <w:tr>
        <w:tblPrEx>
          <w:tblW w:w="10495" w:type="dxa"/>
          <w:tblInd w:w="0" w:type="dxa"/>
          <w:tblCellMar>
            <w:left w:w="110" w:type="dxa"/>
            <w:right w:w="123" w:type="dxa"/>
          </w:tblCellMar>
          <w:tblLook w:val="04A0"/>
        </w:tblPrEx>
        <w:trPr>
          <w:trHeight w:val="59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The </w:t>
            </w:r>
            <w:r w:rsidRPr="00F16B57">
              <w:rPr>
                <w:color w:val="auto"/>
                <w:sz w:val="24"/>
              </w:rPr>
              <w:t xml:space="preserve">national guidance </w:t>
            </w:r>
            <w:r w:rsidRPr="00F16B57">
              <w:rPr>
                <w:color w:val="auto"/>
                <w:sz w:val="24"/>
              </w:rPr>
              <w:t>is helpful from a strategic and management perspective but not known to be helpful to staff and young people</w:t>
            </w:r>
          </w:p>
          <w:p w:rsidR="00B506EE" w:rsidRPr="00F16B57">
            <w:pPr>
              <w:spacing w:after="0" w:line="259" w:lineRule="auto"/>
              <w:jc w:val="left"/>
              <w:rPr>
                <w:color w:val="auto"/>
              </w:rPr>
            </w:pPr>
            <w:r w:rsidRPr="00F16B57">
              <w:rPr>
                <w:color w:val="auto"/>
                <w:sz w:val="24"/>
              </w:rPr>
              <w:t xml:space="preserve"> </w:t>
            </w:r>
            <w:r w:rsidRPr="00F16B57">
              <w:rPr>
                <w:color w:val="auto"/>
                <w:sz w:val="24"/>
              </w:rPr>
              <w:t>Local coproduced guidance is provided to support young people and their families with the transition pathway. Practice Guidance is also locally devised to support practitioners</w:t>
            </w:r>
          </w:p>
        </w:tc>
      </w:tr>
      <w:tr>
        <w:tblPrEx>
          <w:tblW w:w="10495" w:type="dxa"/>
          <w:tblInd w:w="0" w:type="dxa"/>
          <w:tblCellMar>
            <w:left w:w="110" w:type="dxa"/>
            <w:right w:w="123" w:type="dxa"/>
          </w:tblCellMar>
          <w:tblLook w:val="04A0"/>
        </w:tblPrEx>
        <w:trPr>
          <w:trHeight w:val="550"/>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Equality and diversity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rPr>
                <w:color w:val="auto"/>
              </w:rPr>
            </w:pPr>
            <w:r w:rsidRPr="00F16B57">
              <w:rPr>
                <w:color w:val="auto"/>
              </w:rPr>
              <w:t xml:space="preserve">1. How are underserved or vulnerable service-user groups, including those with additional needs, considered in the delivery of services under this guidance? </w:t>
            </w:r>
          </w:p>
        </w:tc>
      </w:tr>
      <w:tr>
        <w:tblPrEx>
          <w:tblW w:w="10495" w:type="dxa"/>
          <w:tblInd w:w="0" w:type="dxa"/>
          <w:tblCellMar>
            <w:left w:w="110" w:type="dxa"/>
            <w:right w:w="123" w:type="dxa"/>
          </w:tblCellMar>
          <w:tblLook w:val="04A0"/>
        </w:tblPrEx>
        <w:trPr>
          <w:trHeight w:val="59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 </w:t>
            </w:r>
          </w:p>
          <w:p w:rsidR="00B506EE" w:rsidRPr="00F16B57">
            <w:pPr>
              <w:spacing w:after="0" w:line="259" w:lineRule="auto"/>
              <w:jc w:val="left"/>
              <w:rPr>
                <w:color w:val="auto"/>
              </w:rPr>
            </w:pPr>
            <w:r w:rsidRPr="00F16B57">
              <w:rPr>
                <w:color w:val="auto"/>
                <w:sz w:val="24"/>
              </w:rPr>
              <w:t xml:space="preserve"> </w:t>
            </w:r>
          </w:p>
        </w:tc>
      </w:tr>
    </w:tbl>
    <w:p w:rsidR="00B506EE" w:rsidRPr="00F16B57">
      <w:pPr>
        <w:spacing w:after="184" w:line="259" w:lineRule="auto"/>
        <w:ind w:left="710"/>
        <w:rPr>
          <w:color w:val="auto"/>
        </w:rPr>
      </w:pPr>
      <w:r w:rsidRPr="00F16B57">
        <w:rPr>
          <w:color w:val="auto"/>
          <w:sz w:val="24"/>
        </w:rPr>
        <w:t xml:space="preserve"> </w:t>
      </w:r>
    </w:p>
    <w:p w:rsidR="00B506EE" w:rsidRPr="00F16B57">
      <w:pPr>
        <w:spacing w:after="0" w:line="259" w:lineRule="auto"/>
        <w:ind w:left="710"/>
        <w:rPr>
          <w:color w:val="auto"/>
        </w:rPr>
      </w:pPr>
      <w:r w:rsidRPr="00F16B57">
        <w:rPr>
          <w:color w:val="auto"/>
          <w:sz w:val="24"/>
        </w:rPr>
        <w:t xml:space="preserve"> </w:t>
      </w:r>
    </w:p>
    <w:tbl>
      <w:tblPr>
        <w:tblStyle w:val="TableGrid"/>
        <w:tblW w:w="10495" w:type="dxa"/>
        <w:tblInd w:w="0" w:type="dxa"/>
        <w:tblCellMar>
          <w:left w:w="110" w:type="dxa"/>
          <w:right w:w="66" w:type="dxa"/>
        </w:tblCellMar>
        <w:tblLook w:val="04A0"/>
      </w:tblPr>
      <w:tblGrid>
        <w:gridCol w:w="1986"/>
        <w:gridCol w:w="8509"/>
      </w:tblGrid>
      <w:tr>
        <w:tblPrEx>
          <w:tblW w:w="10495" w:type="dxa"/>
          <w:tblInd w:w="0" w:type="dxa"/>
          <w:tblCellMar>
            <w:left w:w="110" w:type="dxa"/>
            <w:right w:w="66" w:type="dxa"/>
          </w:tblCellMar>
          <w:tblLook w:val="04A0"/>
        </w:tblPrEx>
        <w:trPr>
          <w:trHeight w:val="596"/>
        </w:trPr>
        <w:tc>
          <w:tcPr>
            <w:tcW w:w="10495" w:type="dxa"/>
            <w:gridSpan w:val="2"/>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4"/>
              </w:rPr>
              <w:t xml:space="preserve">FOCUS AREA 3 </w:t>
            </w:r>
          </w:p>
          <w:p w:rsidR="00B506EE" w:rsidRPr="00F16B57">
            <w:pPr>
              <w:spacing w:after="0" w:line="259" w:lineRule="auto"/>
              <w:jc w:val="left"/>
              <w:rPr>
                <w:color w:val="auto"/>
              </w:rPr>
            </w:pPr>
            <w:r w:rsidRPr="00F16B57">
              <w:rPr>
                <w:b/>
                <w:color w:val="auto"/>
                <w:sz w:val="24"/>
              </w:rPr>
              <w:t xml:space="preserve">MEANINGFUL INVOLVEMENT OF CHILDREN, YOUNG PEOPLE AND THEIR CARERS </w:t>
            </w:r>
          </w:p>
        </w:tc>
      </w:tr>
      <w:tr>
        <w:tblPrEx>
          <w:tblW w:w="10495" w:type="dxa"/>
          <w:tblInd w:w="0" w:type="dxa"/>
          <w:tblCellMar>
            <w:left w:w="110" w:type="dxa"/>
            <w:right w:w="66" w:type="dxa"/>
          </w:tblCellMar>
          <w:tblLook w:val="04A0"/>
        </w:tblPrEx>
        <w:trPr>
          <w:trHeight w:val="3441"/>
        </w:trPr>
        <w:tc>
          <w:tcPr>
            <w:tcW w:w="10495" w:type="dxa"/>
            <w:gridSpan w:val="2"/>
            <w:tcBorders>
              <w:top w:val="single" w:sz="4" w:space="0" w:color="000000"/>
              <w:left w:val="single" w:sz="4" w:space="0" w:color="000000"/>
              <w:bottom w:val="single" w:sz="4" w:space="0" w:color="000000"/>
              <w:right w:val="single" w:sz="4" w:space="0" w:color="000000"/>
            </w:tcBorders>
          </w:tcPr>
          <w:p w:rsidR="00B506EE" w:rsidRPr="00F16B57">
            <w:pPr>
              <w:spacing w:after="120" w:line="260" w:lineRule="auto"/>
              <w:jc w:val="left"/>
              <w:rPr>
                <w:color w:val="auto"/>
              </w:rPr>
            </w:pPr>
            <w:r w:rsidRPr="00F16B57">
              <w:rPr>
                <w:b/>
                <w:color w:val="auto"/>
              </w:rPr>
              <w:t>Statement of intent 1</w:t>
            </w:r>
            <w:r w:rsidRPr="00F16B57">
              <w:rPr>
                <w:color w:val="auto"/>
              </w:rPr>
              <w:t xml:space="preserve">: Adults' services should </w:t>
            </w:r>
            <w:r w:rsidRPr="00F16B57">
              <w:rPr>
                <w:color w:val="auto"/>
              </w:rPr>
              <w:t>take into account</w:t>
            </w:r>
            <w:r w:rsidRPr="00F16B57">
              <w:rPr>
                <w:color w:val="auto"/>
              </w:rPr>
              <w:t xml:space="preserve"> the individual needs and wishes of the young person when involving parents or carers in assessment, planning and support. For young people with an education, health and care plan or a care and support plan this</w:t>
            </w:r>
            <w:r w:rsidRPr="00F16B57">
              <w:rPr>
                <w:rFonts w:eastAsia="Arial"/>
                <w:color w:val="auto"/>
              </w:rPr>
              <w:t xml:space="preserve"> </w:t>
            </w:r>
            <w:r w:rsidRPr="00F16B57">
              <w:rPr>
                <w:color w:val="auto"/>
              </w:rPr>
              <w:t>must</w:t>
            </w:r>
            <w:r w:rsidRPr="00F16B57">
              <w:rPr>
                <w:rFonts w:eastAsia="Arial"/>
                <w:color w:val="auto"/>
              </w:rPr>
              <w:t xml:space="preserve"> </w:t>
            </w:r>
            <w:r w:rsidRPr="00F16B57">
              <w:rPr>
                <w:color w:val="auto"/>
              </w:rPr>
              <w:t>happen, as set out in the</w:t>
            </w:r>
            <w:r>
              <w:fldChar w:fldCharType="begin"/>
            </w:r>
            <w:r>
              <w:instrText xml:space="preserve"> HYPERLINK "http://www.legislation.gov.uk/ukpga/2014/6/contents/enacted" </w:instrText>
            </w:r>
            <w:r>
              <w:fldChar w:fldCharType="separate"/>
            </w:r>
            <w:r w:rsidRPr="00F16B57">
              <w:rPr>
                <w:rFonts w:eastAsia="Arial"/>
                <w:color w:val="auto"/>
              </w:rPr>
              <w:t xml:space="preserve"> </w:t>
            </w:r>
            <w:r>
              <w:fldChar w:fldCharType="end"/>
            </w:r>
            <w:r>
              <w:fldChar w:fldCharType="begin"/>
            </w:r>
            <w:r>
              <w:instrText xml:space="preserve"> HYPERLINK "http://www.legislation.gov.uk/ukpga/2014/6/contents/enacted" </w:instrText>
            </w:r>
            <w:r>
              <w:fldChar w:fldCharType="separate"/>
            </w:r>
            <w:r w:rsidRPr="00F16B57">
              <w:rPr>
                <w:color w:val="auto"/>
                <w:u w:val="single" w:color="467886"/>
              </w:rPr>
              <w:t>Children</w:t>
            </w:r>
            <w:r>
              <w:fldChar w:fldCharType="end"/>
            </w:r>
            <w:r>
              <w:fldChar w:fldCharType="begin"/>
            </w:r>
            <w:r>
              <w:instrText xml:space="preserve"> HYPERLINK "http://www.legislation.gov.uk/ukpga/2014/6/contents/enacted" </w:instrText>
            </w:r>
            <w:r>
              <w:fldChar w:fldCharType="separate"/>
            </w:r>
            <w:r w:rsidRPr="00F16B57">
              <w:rPr>
                <w:color w:val="auto"/>
              </w:rPr>
              <w:t xml:space="preserve"> </w:t>
            </w:r>
            <w:r>
              <w:fldChar w:fldCharType="end"/>
            </w:r>
            <w:r>
              <w:fldChar w:fldCharType="begin"/>
            </w:r>
            <w:r>
              <w:instrText xml:space="preserve"> HYPERLINK "http://www.legislation.gov.uk/ukpga/2014/6/contents/enacted" </w:instrText>
            </w:r>
            <w:r>
              <w:fldChar w:fldCharType="separate"/>
            </w:r>
            <w:r w:rsidRPr="00F16B57">
              <w:rPr>
                <w:color w:val="auto"/>
                <w:u w:val="single" w:color="467886"/>
              </w:rPr>
              <w:t>and Families Act 2014</w:t>
            </w:r>
            <w:r>
              <w:fldChar w:fldCharType="end"/>
            </w:r>
            <w:r>
              <w:fldChar w:fldCharType="begin"/>
            </w:r>
            <w:r>
              <w:instrText xml:space="preserve"> HYPERLINK "http://www.legislation.gov.uk/ukpga/2014/6/contents/enacted" </w:instrText>
            </w:r>
            <w:r>
              <w:fldChar w:fldCharType="separate"/>
            </w:r>
            <w:r w:rsidRPr="00F16B57">
              <w:rPr>
                <w:rFonts w:eastAsia="Arial"/>
                <w:color w:val="auto"/>
              </w:rPr>
              <w:t xml:space="preserve"> </w:t>
            </w:r>
            <w:r>
              <w:fldChar w:fldCharType="end"/>
            </w:r>
            <w:r w:rsidRPr="00F16B57">
              <w:rPr>
                <w:color w:val="auto"/>
              </w:rPr>
              <w:t>and the</w:t>
            </w:r>
            <w:r>
              <w:fldChar w:fldCharType="begin"/>
            </w:r>
            <w:r>
              <w:instrText xml:space="preserve"> HYPERLINK "http://www.legislation.gov.uk/ukpga/2014/23/contents/enacted" </w:instrText>
            </w:r>
            <w:r>
              <w:fldChar w:fldCharType="separate"/>
            </w:r>
            <w:r w:rsidRPr="00F16B57">
              <w:rPr>
                <w:rFonts w:eastAsia="Arial"/>
                <w:color w:val="auto"/>
              </w:rPr>
              <w:t xml:space="preserve"> </w:t>
            </w:r>
            <w:r>
              <w:fldChar w:fldCharType="end"/>
            </w:r>
            <w:r>
              <w:fldChar w:fldCharType="begin"/>
            </w:r>
            <w:r>
              <w:instrText xml:space="preserve"> HYPERLINK "http://www.legislation.gov.uk/ukpga/2014/23/contents/enacted" </w:instrText>
            </w:r>
            <w:r>
              <w:fldChar w:fldCharType="separate"/>
            </w:r>
            <w:r w:rsidRPr="00F16B57">
              <w:rPr>
                <w:color w:val="auto"/>
                <w:u w:val="single" w:color="467886"/>
              </w:rPr>
              <w:t>Care Act</w:t>
            </w:r>
            <w:r>
              <w:fldChar w:fldCharType="end"/>
            </w:r>
            <w:r>
              <w:fldChar w:fldCharType="begin"/>
            </w:r>
            <w:r>
              <w:instrText xml:space="preserve"> HYPERLINK "http://www.legislation.gov.uk/ukpga/2014/23/contents/enacted" </w:instrText>
            </w:r>
            <w:r>
              <w:fldChar w:fldCharType="separate"/>
            </w:r>
            <w:r w:rsidRPr="00F16B57">
              <w:rPr>
                <w:rFonts w:eastAsia="Arial"/>
                <w:color w:val="auto"/>
                <w:u w:val="single" w:color="467886"/>
              </w:rPr>
              <w:t xml:space="preserve"> </w:t>
            </w:r>
            <w:r>
              <w:fldChar w:fldCharType="end"/>
            </w:r>
            <w:r>
              <w:fldChar w:fldCharType="begin"/>
            </w:r>
            <w:r>
              <w:instrText xml:space="preserve"> HYPERLINK "http://www.legislation.gov.uk/ukpga/2014/23/contents/enacted" </w:instrText>
            </w:r>
            <w:r>
              <w:fldChar w:fldCharType="separate"/>
            </w:r>
            <w:r w:rsidRPr="00F16B57">
              <w:rPr>
                <w:color w:val="auto"/>
                <w:u w:val="single" w:color="467886"/>
              </w:rPr>
              <w:t>2014</w:t>
            </w:r>
            <w:r>
              <w:fldChar w:fldCharType="end"/>
            </w:r>
            <w:r>
              <w:fldChar w:fldCharType="begin"/>
            </w:r>
            <w:r>
              <w:instrText xml:space="preserve"> HYPERLINK "https://www.nice.org.uk/guidance/ng43/chapter/Recommendations" \l "transition-planning" </w:instrText>
            </w:r>
            <w:r>
              <w:fldChar w:fldCharType="separate"/>
            </w:r>
            <w:r w:rsidRPr="00F16B57">
              <w:rPr>
                <w:color w:val="auto"/>
              </w:rPr>
              <w:t xml:space="preserve">. </w:t>
            </w:r>
            <w:r>
              <w:fldChar w:fldCharType="end"/>
            </w:r>
            <w:r>
              <w:fldChar w:fldCharType="begin"/>
            </w:r>
            <w:r>
              <w:instrText xml:space="preserve"> HYPERLINK "https://www.nice.org.uk/guidance/ng43/chapter/Recommendations" \l "transition-planning" </w:instrText>
            </w:r>
            <w:r>
              <w:fldChar w:fldCharType="separate"/>
            </w:r>
            <w:r w:rsidRPr="00F16B57">
              <w:rPr>
                <w:color w:val="auto"/>
                <w:u w:val="single" w:color="467886"/>
              </w:rPr>
              <w:t>NICE NG43 (1.2.22, 2016)</w:t>
            </w:r>
            <w:r>
              <w:fldChar w:fldCharType="end"/>
            </w:r>
            <w:r>
              <w:fldChar w:fldCharType="begin"/>
            </w:r>
            <w:r>
              <w:instrText xml:space="preserve"> HYPERLINK "https://www.nice.org.uk/guidance/ng43/chapter/Recommendations" \l "transition-planning" </w:instrText>
            </w:r>
            <w:r>
              <w:fldChar w:fldCharType="separate"/>
            </w:r>
            <w:r w:rsidRPr="00F16B57">
              <w:rPr>
                <w:color w:val="auto"/>
              </w:rPr>
              <w:t xml:space="preserve"> </w:t>
            </w:r>
            <w:r>
              <w:fldChar w:fldCharType="end"/>
            </w:r>
            <w:r w:rsidRPr="00F16B57">
              <w:rPr>
                <w:color w:val="auto"/>
              </w:rPr>
              <w:t xml:space="preserve"> </w:t>
            </w:r>
          </w:p>
          <w:p w:rsidR="00B506EE" w:rsidRPr="00F16B57">
            <w:pPr>
              <w:spacing w:after="0" w:line="260" w:lineRule="auto"/>
              <w:jc w:val="left"/>
              <w:rPr>
                <w:color w:val="auto"/>
              </w:rPr>
            </w:pPr>
            <w:r w:rsidRPr="00F16B57">
              <w:rPr>
                <w:b/>
                <w:color w:val="auto"/>
              </w:rPr>
              <w:t xml:space="preserve">Statement of intent 2: </w:t>
            </w:r>
            <w:r w:rsidRPr="00F16B57">
              <w:rPr>
                <w:color w:val="auto"/>
              </w:rPr>
              <w:t>Offer young people help to become involved in their transition planning. This may be through: peer support, coaching and mentoring, advocacy, the use of mobile technology.</w:t>
            </w:r>
            <w:r>
              <w:fldChar w:fldCharType="begin"/>
            </w:r>
            <w:r>
              <w:instrText xml:space="preserve"> HYPERLINK "https://www.nice.org.uk/guidance/ng43/chapter/Recommendations" \l "support-before-transfer" </w:instrText>
            </w:r>
            <w:r>
              <w:fldChar w:fldCharType="separate"/>
            </w:r>
            <w:r w:rsidRPr="00F16B57">
              <w:rPr>
                <w:color w:val="auto"/>
              </w:rPr>
              <w:t xml:space="preserve"> </w:t>
            </w:r>
            <w:r>
              <w:fldChar w:fldCharType="end"/>
            </w:r>
            <w:r>
              <w:fldChar w:fldCharType="begin"/>
            </w:r>
            <w:r>
              <w:instrText xml:space="preserve"> HYPERLINK "https://www.nice.org.uk/guidance/ng43/chapter/Recommendations" \l "support-before-transfer" </w:instrText>
            </w:r>
            <w:r>
              <w:fldChar w:fldCharType="separate"/>
            </w:r>
            <w:r w:rsidRPr="00F16B57">
              <w:rPr>
                <w:color w:val="auto"/>
                <w:u w:val="single" w:color="467886"/>
              </w:rPr>
              <w:t>NICE NG43 (1.2.11,</w:t>
            </w:r>
            <w:r>
              <w:fldChar w:fldCharType="end"/>
            </w:r>
            <w:r>
              <w:fldChar w:fldCharType="begin"/>
            </w:r>
            <w:r>
              <w:instrText xml:space="preserve"> HYPERLINK "https://www.nice.org.uk/guidance/ng43/chapter/Recommendations" \l "support-before-transfer" </w:instrText>
            </w:r>
            <w:r>
              <w:fldChar w:fldCharType="separate"/>
            </w:r>
            <w:r w:rsidRPr="00F16B57">
              <w:rPr>
                <w:color w:val="auto"/>
              </w:rPr>
              <w:t xml:space="preserve"> </w:t>
            </w:r>
            <w:r>
              <w:fldChar w:fldCharType="end"/>
            </w:r>
          </w:p>
          <w:p w:rsidR="00B506EE" w:rsidRPr="00F16B57">
            <w:pPr>
              <w:spacing w:after="120" w:line="259" w:lineRule="auto"/>
              <w:jc w:val="left"/>
              <w:rPr>
                <w:color w:val="auto"/>
              </w:rPr>
            </w:pPr>
            <w:r>
              <w:fldChar w:fldCharType="begin"/>
            </w:r>
            <w:r>
              <w:instrText xml:space="preserve"> HYPERLINK "https://www.nice.org.uk/guidance/ng43/chapter/Recommendations" \l "support-before-transfer" </w:instrText>
            </w:r>
            <w:r>
              <w:fldChar w:fldCharType="separate"/>
            </w:r>
            <w:r w:rsidRPr="00F16B57">
              <w:rPr>
                <w:color w:val="auto"/>
                <w:u w:val="single" w:color="467886"/>
              </w:rPr>
              <w:t>2016)</w:t>
            </w:r>
            <w:r>
              <w:fldChar w:fldCharType="end"/>
            </w:r>
            <w:r>
              <w:fldChar w:fldCharType="begin"/>
            </w:r>
            <w:r>
              <w:instrText xml:space="preserve"> HYPERLINK "https://www.nice.org.uk/guidance/ng43/chapter/Recommendations" \l "support-before-transfer" </w:instrText>
            </w:r>
            <w:r>
              <w:fldChar w:fldCharType="separate"/>
            </w:r>
            <w:r w:rsidRPr="00F16B57">
              <w:rPr>
                <w:color w:val="auto"/>
              </w:rPr>
              <w:t xml:space="preserve"> </w:t>
            </w:r>
            <w:r>
              <w:fldChar w:fldCharType="end"/>
            </w:r>
            <w:r w:rsidRPr="00F16B57">
              <w:rPr>
                <w:color w:val="auto"/>
              </w:rPr>
              <w:t xml:space="preserve"> </w:t>
            </w:r>
          </w:p>
          <w:p w:rsidR="00B506EE" w:rsidRPr="00F16B57">
            <w:pPr>
              <w:spacing w:after="0" w:line="259" w:lineRule="auto"/>
              <w:jc w:val="left"/>
              <w:rPr>
                <w:color w:val="auto"/>
              </w:rPr>
            </w:pPr>
            <w:r w:rsidRPr="00F16B57">
              <w:rPr>
                <w:b/>
                <w:color w:val="auto"/>
              </w:rPr>
              <w:t xml:space="preserve">Statement of intent 3: </w:t>
            </w:r>
            <w:r w:rsidRPr="00F16B57">
              <w:rPr>
                <w:color w:val="auto"/>
              </w:rPr>
              <w:t xml:space="preserve">Involve young people and their </w:t>
            </w:r>
            <w:r w:rsidRPr="00F16B57">
              <w:rPr>
                <w:color w:val="auto"/>
              </w:rPr>
              <w:t>carers</w:t>
            </w:r>
            <w:r w:rsidRPr="00F16B57">
              <w:rPr>
                <w:color w:val="auto"/>
              </w:rPr>
              <w:t xml:space="preserve"> in service design, delivery and evaluation related to</w:t>
            </w:r>
            <w:r>
              <w:fldChar w:fldCharType="begin"/>
            </w:r>
            <w:r>
              <w:instrText xml:space="preserve"> HYPERLINK "https://www.nice.org.uk/guidance/ng43/chapter/recommendations" \l "transition" </w:instrText>
            </w:r>
            <w:r>
              <w:fldChar w:fldCharType="separate"/>
            </w:r>
            <w:r w:rsidRPr="00F16B57">
              <w:rPr>
                <w:color w:val="auto"/>
              </w:rPr>
              <w:t xml:space="preserve"> </w:t>
            </w:r>
            <w:r>
              <w:fldChar w:fldCharType="end"/>
            </w:r>
            <w:r>
              <w:fldChar w:fldCharType="begin"/>
            </w:r>
            <w:r>
              <w:instrText xml:space="preserve"> HYPERLINK "https://www.nice.org.uk/guidance/ng43/chapter/recommendations" \l "transition" </w:instrText>
            </w:r>
            <w:r>
              <w:fldChar w:fldCharType="separate"/>
            </w:r>
            <w:r w:rsidRPr="00F16B57">
              <w:rPr>
                <w:color w:val="auto"/>
                <w:u w:val="single" w:color="467886"/>
              </w:rPr>
              <w:t>transition</w:t>
            </w:r>
            <w:r>
              <w:fldChar w:fldCharType="end"/>
            </w:r>
            <w:r>
              <w:fldChar w:fldCharType="begin"/>
            </w:r>
            <w:r>
              <w:instrText xml:space="preserve"> HYPERLINK "https://www.nice.org.uk/guidance/ng43/chapter/recommendations" \l "transition" </w:instrText>
            </w:r>
            <w:r>
              <w:fldChar w:fldCharType="separate"/>
            </w:r>
            <w:r w:rsidRPr="00F16B57">
              <w:rPr>
                <w:color w:val="auto"/>
              </w:rPr>
              <w:t xml:space="preserve"> </w:t>
            </w:r>
            <w:r>
              <w:fldChar w:fldCharType="end"/>
            </w:r>
            <w:r>
              <w:fldChar w:fldCharType="begin"/>
            </w:r>
            <w:r>
              <w:instrText xml:space="preserve"> HYPERLINK "https://www.nice.org.uk/guidance/ng43/chapter/recommendations" \l "transition" </w:instrText>
            </w:r>
            <w:r>
              <w:fldChar w:fldCharType="separate"/>
            </w:r>
            <w:r w:rsidRPr="00F16B57">
              <w:rPr>
                <w:color w:val="auto"/>
              </w:rPr>
              <w:t>b</w:t>
            </w:r>
            <w:r>
              <w:fldChar w:fldCharType="end"/>
            </w:r>
            <w:r w:rsidRPr="00F16B57">
              <w:rPr>
                <w:color w:val="auto"/>
              </w:rPr>
              <w:t>y: coproducing transition policies and strategies with them; planning, coproducing and piloting materials and tools; asking them if the services helped them achieve agreed outcomes; feeding back to them about the effect their involvement has had.</w:t>
            </w:r>
            <w:r>
              <w:fldChar w:fldCharType="begin"/>
            </w:r>
            <w:r>
              <w:instrText xml:space="preserve"> HYPERLINK "https://www.nice.org.uk/guidance/ng43/chapter/Recommendations" \l "overarching-principles" </w:instrText>
            </w:r>
            <w:r>
              <w:fldChar w:fldCharType="separate"/>
            </w:r>
            <w:r w:rsidRPr="00F16B57">
              <w:rPr>
                <w:color w:val="auto"/>
              </w:rPr>
              <w:t xml:space="preserve"> </w:t>
            </w:r>
            <w:r>
              <w:fldChar w:fldCharType="end"/>
            </w:r>
            <w:r>
              <w:fldChar w:fldCharType="begin"/>
            </w:r>
            <w:r>
              <w:instrText xml:space="preserve"> HYPERLINK "https://www.nice.org.uk/guidance/ng43/chapter/Recommendations" \l "overarching-principles" </w:instrText>
            </w:r>
            <w:r>
              <w:fldChar w:fldCharType="separate"/>
            </w:r>
            <w:r w:rsidRPr="00F16B57">
              <w:rPr>
                <w:color w:val="auto"/>
                <w:u w:val="single" w:color="467886"/>
              </w:rPr>
              <w:t>NICE NG43 (1.1.1, 2016)</w:t>
            </w:r>
            <w:r>
              <w:fldChar w:fldCharType="end"/>
            </w:r>
            <w:r>
              <w:fldChar w:fldCharType="begin"/>
            </w:r>
            <w:r>
              <w:instrText xml:space="preserve"> HYPERLINK "https://www.nice.org.uk/guidance/ng43/chapter/Recommendations" \l "overarching-principles" </w:instrText>
            </w:r>
            <w:r>
              <w:fldChar w:fldCharType="separate"/>
            </w:r>
            <w:r w:rsidRPr="00F16B57">
              <w:rPr>
                <w:color w:val="auto"/>
              </w:rPr>
              <w:t xml:space="preserve"> </w:t>
            </w:r>
            <w:r>
              <w:fldChar w:fldCharType="end"/>
            </w:r>
            <w:r w:rsidRPr="00F16B57">
              <w:rPr>
                <w:color w:val="auto"/>
              </w:rPr>
              <w:t xml:space="preserve"> </w:t>
            </w:r>
          </w:p>
        </w:tc>
      </w:tr>
      <w:tr>
        <w:tblPrEx>
          <w:tblW w:w="10495" w:type="dxa"/>
          <w:tblInd w:w="0" w:type="dxa"/>
          <w:tblCellMar>
            <w:left w:w="110" w:type="dxa"/>
            <w:right w:w="66" w:type="dxa"/>
          </w:tblCellMar>
          <w:tblLook w:val="04A0"/>
        </w:tblPrEx>
        <w:trPr>
          <w:trHeight w:val="545"/>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Resourcing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1. How are services resourced to </w:t>
            </w:r>
            <w:r w:rsidRPr="00F16B57">
              <w:rPr>
                <w:color w:val="auto"/>
              </w:rPr>
              <w:t>take into account</w:t>
            </w:r>
            <w:r w:rsidRPr="00F16B57">
              <w:rPr>
                <w:color w:val="auto"/>
              </w:rPr>
              <w:t xml:space="preserve"> the needs, wishes and aspirations of the young person, including during the planning process and after transition? </w:t>
            </w:r>
          </w:p>
        </w:tc>
      </w:tr>
      <w:tr>
        <w:tblPrEx>
          <w:tblW w:w="10495" w:type="dxa"/>
          <w:tblInd w:w="0" w:type="dxa"/>
          <w:tblCellMar>
            <w:left w:w="110" w:type="dxa"/>
            <w:right w:w="66" w:type="dxa"/>
          </w:tblCellMar>
          <w:tblLook w:val="04A0"/>
        </w:tblPrEx>
        <w:trPr>
          <w:trHeight w:val="54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 </w:t>
            </w:r>
            <w:r w:rsidRPr="00F16B57">
              <w:rPr>
                <w:color w:val="auto"/>
              </w:rPr>
              <w:t>Where there is an allocated worker the needs, wishes and aspirations of the young person are always included during and after transition. Audits are carried out and feedback is actively sought throughout and after the transition process</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left w:w="110" w:type="dxa"/>
            <w:right w:w="66" w:type="dxa"/>
          </w:tblCellMar>
          <w:tblLook w:val="04A0"/>
        </w:tblPrEx>
        <w:trPr>
          <w:trHeight w:val="550"/>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2. What resourcing is required to enable co-production of transition strategies/policies and provide feedback on the outcomes of the co-produced initiatives? </w:t>
            </w:r>
          </w:p>
        </w:tc>
      </w:tr>
      <w:tr>
        <w:tblPrEx>
          <w:tblW w:w="10495" w:type="dxa"/>
          <w:tblInd w:w="0" w:type="dxa"/>
          <w:tblCellMar>
            <w:left w:w="110" w:type="dxa"/>
            <w:right w:w="66" w:type="dxa"/>
          </w:tblCellMar>
          <w:tblLook w:val="04A0"/>
        </w:tblPrEx>
        <w:trPr>
          <w:trHeight w:val="54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There </w:t>
            </w:r>
            <w:r w:rsidRPr="00F16B57">
              <w:rPr>
                <w:color w:val="auto"/>
              </w:rPr>
              <w:t>is</w:t>
            </w:r>
            <w:r w:rsidRPr="00F16B57">
              <w:rPr>
                <w:color w:val="auto"/>
              </w:rPr>
              <w:t xml:space="preserve"> limited people employed to enable co-production, additional resource would support with this. A better understanding of coproduction and how to capture the voice of those young people are don’t engage would help improve co-production.</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left w:w="110" w:type="dxa"/>
            <w:right w:w="66" w:type="dxa"/>
          </w:tblCellMar>
          <w:tblLook w:val="04A0"/>
        </w:tblPrEx>
        <w:trPr>
          <w:trHeight w:val="550"/>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Effectiveness and implementation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rPr>
                <w:color w:val="auto"/>
              </w:rPr>
            </w:pPr>
            <w:r w:rsidRPr="00F16B57">
              <w:rPr>
                <w:color w:val="auto"/>
              </w:rPr>
              <w:t xml:space="preserve">1. How are young people, and their </w:t>
            </w:r>
            <w:r w:rsidRPr="00F16B57">
              <w:rPr>
                <w:color w:val="auto"/>
              </w:rPr>
              <w:t>carers</w:t>
            </w:r>
            <w:r w:rsidRPr="00F16B57">
              <w:rPr>
                <w:color w:val="auto"/>
              </w:rPr>
              <w:t>, involved in their transition planning and what methods are effective in supporting involvement?</w:t>
            </w:r>
            <w:r w:rsidRPr="00F16B57">
              <w:rPr>
                <w:color w:val="auto"/>
                <w:sz w:val="24"/>
              </w:rPr>
              <w:t xml:space="preserve"> </w:t>
            </w:r>
          </w:p>
        </w:tc>
      </w:tr>
      <w:tr>
        <w:tblPrEx>
          <w:tblW w:w="10495" w:type="dxa"/>
          <w:tblInd w:w="0" w:type="dxa"/>
          <w:tblCellMar>
            <w:left w:w="110" w:type="dxa"/>
            <w:right w:w="66" w:type="dxa"/>
          </w:tblCellMar>
          <w:tblLook w:val="04A0"/>
        </w:tblPrEx>
        <w:trPr>
          <w:trHeight w:val="59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 </w:t>
            </w:r>
            <w:r w:rsidRPr="00F16B57">
              <w:rPr>
                <w:color w:val="auto"/>
                <w:sz w:val="24"/>
              </w:rPr>
              <w:t xml:space="preserve">Fully involved at all stages of transition. Methods include early involvement with the young person and early allocation to a worker who will engage with the family and young person. A system in place that enables information sharing so that the young person doesn’t have to tell their story twice. </w:t>
            </w:r>
          </w:p>
          <w:p w:rsidR="00B506EE" w:rsidRPr="00F16B57">
            <w:pPr>
              <w:spacing w:after="0" w:line="259" w:lineRule="auto"/>
              <w:jc w:val="left"/>
              <w:rPr>
                <w:color w:val="auto"/>
              </w:rPr>
            </w:pPr>
            <w:r w:rsidRPr="00F16B57">
              <w:rPr>
                <w:color w:val="auto"/>
                <w:sz w:val="24"/>
              </w:rPr>
              <w:t xml:space="preserve"> </w:t>
            </w:r>
          </w:p>
        </w:tc>
      </w:tr>
      <w:tr>
        <w:tblPrEx>
          <w:tblW w:w="10495" w:type="dxa"/>
          <w:tblInd w:w="0" w:type="dxa"/>
          <w:tblCellMar>
            <w:left w:w="110" w:type="dxa"/>
            <w:right w:w="66" w:type="dxa"/>
          </w:tblCellMar>
          <w:tblLook w:val="04A0"/>
        </w:tblPrEx>
        <w:trPr>
          <w:trHeight w:val="550"/>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rPr>
                <w:color w:val="auto"/>
              </w:rPr>
            </w:pPr>
            <w:r w:rsidRPr="00F16B57">
              <w:rPr>
                <w:color w:val="auto"/>
              </w:rPr>
              <w:t xml:space="preserve">2. What does effective inclusion of young people in the planning and delivery of their transition look like? </w:t>
            </w:r>
            <w:r w:rsidRPr="00F16B57">
              <w:rPr>
                <w:color w:val="auto"/>
                <w:sz w:val="24"/>
              </w:rPr>
              <w:t xml:space="preserve"> </w:t>
            </w:r>
          </w:p>
        </w:tc>
      </w:tr>
      <w:tr>
        <w:tblPrEx>
          <w:tblW w:w="10495" w:type="dxa"/>
          <w:tblInd w:w="0" w:type="dxa"/>
          <w:tblCellMar>
            <w:left w:w="110" w:type="dxa"/>
            <w:right w:w="66" w:type="dxa"/>
          </w:tblCellMar>
          <w:tblLook w:val="04A0"/>
        </w:tblPrEx>
        <w:trPr>
          <w:trHeight w:val="54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Capturing their voice from a young age</w:t>
            </w:r>
          </w:p>
          <w:p w:rsidR="00B506EE" w:rsidRPr="00F16B57">
            <w:pPr>
              <w:spacing w:after="0" w:line="259" w:lineRule="auto"/>
              <w:jc w:val="left"/>
              <w:rPr>
                <w:color w:val="auto"/>
              </w:rPr>
            </w:pPr>
            <w:r w:rsidRPr="00F16B57">
              <w:rPr>
                <w:color w:val="auto"/>
              </w:rPr>
              <w:t>Outcome focussed support planning</w:t>
            </w:r>
          </w:p>
          <w:p w:rsidR="00B506EE" w:rsidRPr="00F16B57">
            <w:pPr>
              <w:spacing w:after="0" w:line="259" w:lineRule="auto"/>
              <w:jc w:val="left"/>
              <w:rPr>
                <w:color w:val="auto"/>
              </w:rPr>
            </w:pPr>
            <w:r w:rsidRPr="00F16B57">
              <w:rPr>
                <w:color w:val="auto"/>
              </w:rPr>
              <w:t xml:space="preserve">Creative solutions to meet needs dependent on the persons wishes and aspirations </w:t>
            </w:r>
          </w:p>
        </w:tc>
      </w:tr>
      <w:tr>
        <w:tblPrEx>
          <w:tblW w:w="10495" w:type="dxa"/>
          <w:tblInd w:w="0" w:type="dxa"/>
          <w:tblCellMar>
            <w:left w:w="110" w:type="dxa"/>
            <w:right w:w="66" w:type="dxa"/>
          </w:tblCellMar>
          <w:tblLook w:val="04A0"/>
        </w:tblPrEx>
        <w:trPr>
          <w:trHeight w:val="546"/>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Impact and outcomes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rPr>
                <w:color w:val="auto"/>
              </w:rPr>
            </w:pPr>
            <w:r w:rsidRPr="00F16B57">
              <w:rPr>
                <w:color w:val="auto"/>
              </w:rPr>
              <w:t xml:space="preserve">1. What are the impacts of co-producing transition policies and strategies with children and young people? </w:t>
            </w:r>
          </w:p>
        </w:tc>
      </w:tr>
      <w:tr>
        <w:tblPrEx>
          <w:tblW w:w="10495" w:type="dxa"/>
          <w:tblInd w:w="0" w:type="dxa"/>
          <w:tblCellMar>
            <w:left w:w="110" w:type="dxa"/>
            <w:right w:w="66" w:type="dxa"/>
          </w:tblCellMar>
          <w:tblLook w:val="04A0"/>
        </w:tblPrEx>
        <w:trPr>
          <w:trHeight w:val="600"/>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 </w:t>
            </w:r>
            <w:r w:rsidRPr="00F16B57">
              <w:rPr>
                <w:color w:val="auto"/>
                <w:sz w:val="24"/>
              </w:rPr>
              <w:t>Positive outcomes for children and their families and at a reduced cost</w:t>
            </w:r>
          </w:p>
          <w:p w:rsidR="00B506EE" w:rsidRPr="00F16B57">
            <w:pPr>
              <w:spacing w:after="0" w:line="259" w:lineRule="auto"/>
              <w:jc w:val="left"/>
              <w:rPr>
                <w:color w:val="auto"/>
              </w:rPr>
            </w:pPr>
            <w:r w:rsidRPr="00F16B57">
              <w:rPr>
                <w:color w:val="auto"/>
                <w:sz w:val="24"/>
              </w:rPr>
              <w:t xml:space="preserve"> </w:t>
            </w:r>
          </w:p>
        </w:tc>
      </w:tr>
      <w:tr>
        <w:tblPrEx>
          <w:tblW w:w="10495" w:type="dxa"/>
          <w:tblInd w:w="0" w:type="dxa"/>
          <w:tblCellMar>
            <w:left w:w="110" w:type="dxa"/>
            <w:right w:w="66" w:type="dxa"/>
          </w:tblCellMar>
          <w:tblLook w:val="04A0"/>
        </w:tblPrEx>
        <w:trPr>
          <w:trHeight w:val="54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rPr>
                <w:color w:val="auto"/>
              </w:rPr>
            </w:pPr>
            <w:r w:rsidRPr="00F16B57">
              <w:rPr>
                <w:color w:val="auto"/>
              </w:rPr>
              <w:t xml:space="preserve">2. What does a good transition service look like, and how is an effective transition defined, measured and monitored at both individual and service levels? </w:t>
            </w:r>
            <w:r w:rsidRPr="00F16B57">
              <w:rPr>
                <w:color w:val="auto"/>
                <w:sz w:val="24"/>
              </w:rPr>
              <w:t xml:space="preserve"> </w:t>
            </w:r>
          </w:p>
        </w:tc>
      </w:tr>
      <w:tr>
        <w:tblPrEx>
          <w:tblW w:w="10495" w:type="dxa"/>
          <w:tblInd w:w="0" w:type="dxa"/>
          <w:tblCellMar>
            <w:left w:w="110" w:type="dxa"/>
            <w:right w:w="66" w:type="dxa"/>
          </w:tblCellMar>
          <w:tblLook w:val="04A0"/>
        </w:tblPrEx>
        <w:trPr>
          <w:trHeight w:val="59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A seamless, timely, proactive journey for young people moving into adulthood that is led by the young person with professionals who are contactable and available. </w:t>
            </w:r>
          </w:p>
          <w:p w:rsidR="00B506EE" w:rsidRPr="00F16B57">
            <w:pPr>
              <w:spacing w:after="0" w:line="259" w:lineRule="auto"/>
              <w:jc w:val="left"/>
              <w:rPr>
                <w:color w:val="auto"/>
              </w:rPr>
            </w:pPr>
            <w:r w:rsidRPr="00F16B57">
              <w:rPr>
                <w:color w:val="auto"/>
                <w:sz w:val="24"/>
              </w:rPr>
              <w:t xml:space="preserve"> </w:t>
            </w:r>
          </w:p>
        </w:tc>
      </w:tr>
      <w:tr>
        <w:tblPrEx>
          <w:tblW w:w="10495" w:type="dxa"/>
          <w:tblInd w:w="0" w:type="dxa"/>
          <w:tblCellMar>
            <w:left w:w="110" w:type="dxa"/>
            <w:right w:w="66" w:type="dxa"/>
          </w:tblCellMar>
          <w:tblLook w:val="04A0"/>
        </w:tblPrEx>
        <w:trPr>
          <w:trHeight w:val="550"/>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Appropriateness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1. Are the current guidelines for the involvement of individuals and their </w:t>
            </w:r>
            <w:r w:rsidRPr="00F16B57">
              <w:rPr>
                <w:color w:val="auto"/>
              </w:rPr>
              <w:t>carers</w:t>
            </w:r>
            <w:r w:rsidRPr="00F16B57">
              <w:rPr>
                <w:color w:val="auto"/>
              </w:rPr>
              <w:t xml:space="preserve"> in the transition to adult services appropriate for the needs of young people and services? </w:t>
            </w:r>
          </w:p>
        </w:tc>
      </w:tr>
      <w:tr>
        <w:tblPrEx>
          <w:tblW w:w="10495" w:type="dxa"/>
          <w:tblInd w:w="0" w:type="dxa"/>
          <w:tblCellMar>
            <w:left w:w="110" w:type="dxa"/>
            <w:right w:w="66" w:type="dxa"/>
          </w:tblCellMar>
          <w:tblLook w:val="04A0"/>
        </w:tblPrEx>
        <w:trPr>
          <w:trHeight w:val="59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 </w:t>
            </w:r>
            <w:r w:rsidRPr="00F16B57">
              <w:rPr>
                <w:color w:val="auto"/>
                <w:sz w:val="24"/>
              </w:rPr>
              <w:t>Yes</w:t>
            </w:r>
          </w:p>
          <w:p w:rsidR="00B506EE" w:rsidRPr="00F16B57">
            <w:pPr>
              <w:spacing w:after="0" w:line="259" w:lineRule="auto"/>
              <w:jc w:val="left"/>
              <w:rPr>
                <w:color w:val="auto"/>
              </w:rPr>
            </w:pPr>
            <w:r w:rsidRPr="00F16B57">
              <w:rPr>
                <w:color w:val="auto"/>
                <w:sz w:val="24"/>
              </w:rPr>
              <w:t xml:space="preserve"> </w:t>
            </w:r>
          </w:p>
        </w:tc>
      </w:tr>
      <w:tr>
        <w:tblPrEx>
          <w:tblW w:w="10495" w:type="dxa"/>
          <w:tblInd w:w="0" w:type="dxa"/>
          <w:tblCellMar>
            <w:left w:w="110" w:type="dxa"/>
            <w:right w:w="66" w:type="dxa"/>
          </w:tblCellMar>
          <w:tblLook w:val="04A0"/>
        </w:tblPrEx>
        <w:trPr>
          <w:trHeight w:val="815"/>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Equality and diversity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1. How are underserved or vulnerable patient groups, including those with special educational needs and disabilities involved in their own transition planning</w:t>
            </w:r>
            <w:r>
              <w:fldChar w:fldCharType="begin"/>
            </w:r>
            <w:r>
              <w:instrText xml:space="preserve"> HYPERLINK "https://assets.publishing.service.gov.uk/media/5a7dcb85ed915d2ac884d995/SEND_Code_of_Practice_January_2015.pdf" </w:instrText>
            </w:r>
            <w:r>
              <w:fldChar w:fldCharType="separate"/>
            </w:r>
            <w:r w:rsidRPr="00F16B57">
              <w:rPr>
                <w:color w:val="auto"/>
              </w:rPr>
              <w:t xml:space="preserve">? </w:t>
            </w:r>
            <w:r>
              <w:fldChar w:fldCharType="end"/>
            </w:r>
            <w:r>
              <w:fldChar w:fldCharType="begin"/>
            </w:r>
            <w:r>
              <w:instrText xml:space="preserve"> HYPERLINK "https://assets.publishing.service.gov.uk/media/5a7dcb85ed915d2ac884d995/SEND_Code_of_Practice_January_2015.pdf" </w:instrText>
            </w:r>
            <w:r>
              <w:fldChar w:fldCharType="separate"/>
            </w:r>
            <w:r w:rsidRPr="00F16B57">
              <w:rPr>
                <w:color w:val="auto"/>
                <w:u w:val="single" w:color="467886"/>
              </w:rPr>
              <w:t>SEND Code</w:t>
            </w:r>
            <w:r>
              <w:fldChar w:fldCharType="end"/>
            </w:r>
            <w:r>
              <w:fldChar w:fldCharType="begin"/>
            </w:r>
            <w:r>
              <w:instrText xml:space="preserve"> HYPERLINK "https://assets.publishing.service.gov.uk/media/5a7dcb85ed915d2ac884d995/SEND_Code_of_Practice_January_2015.pdf" </w:instrText>
            </w:r>
            <w:r>
              <w:fldChar w:fldCharType="separate"/>
            </w:r>
            <w:r w:rsidRPr="00F16B57">
              <w:rPr>
                <w:color w:val="auto"/>
              </w:rPr>
              <w:t xml:space="preserve"> </w:t>
            </w:r>
            <w:r>
              <w:fldChar w:fldCharType="end"/>
            </w:r>
            <w:r>
              <w:fldChar w:fldCharType="begin"/>
            </w:r>
            <w:r>
              <w:instrText xml:space="preserve"> HYPERLINK "https://assets.publishing.service.gov.uk/media/5a7dcb85ed915d2ac884d995/SEND_Code_of_Practice_January_2015.pdf" </w:instrText>
            </w:r>
            <w:r>
              <w:fldChar w:fldCharType="separate"/>
            </w:r>
            <w:r w:rsidRPr="00F16B57">
              <w:rPr>
                <w:color w:val="auto"/>
                <w:u w:val="single" w:color="467886"/>
              </w:rPr>
              <w:t xml:space="preserve">of Practice </w:t>
            </w:r>
            <w:r>
              <w:fldChar w:fldCharType="end"/>
            </w:r>
            <w:r>
              <w:fldChar w:fldCharType="begin"/>
            </w:r>
            <w:r>
              <w:instrText xml:space="preserve"> HYPERLINK "https://assets.publishing.service.gov.uk/media/5a7dcb85ed915d2ac884d995/SEND_Code_of_Practice_January_2015.pdf" </w:instrText>
            </w:r>
            <w:r>
              <w:fldChar w:fldCharType="separate"/>
            </w:r>
            <w:r w:rsidRPr="00F16B57">
              <w:rPr>
                <w:color w:val="auto"/>
                <w:u w:val="single" w:color="467886"/>
              </w:rPr>
              <w:t>0</w:t>
            </w:r>
            <w:r>
              <w:fldChar w:fldCharType="end"/>
            </w:r>
            <w:r>
              <w:fldChar w:fldCharType="begin"/>
            </w:r>
            <w:r>
              <w:instrText xml:space="preserve"> HYPERLINK "https://assets.publishing.service.gov.uk/media/5a7dcb85ed915d2ac884d995/SEND_Code_of_Practice_January_2015.pdf" </w:instrText>
            </w:r>
            <w:r>
              <w:fldChar w:fldCharType="separate"/>
            </w:r>
            <w:r w:rsidRPr="00F16B57">
              <w:rPr>
                <w:color w:val="auto"/>
                <w:u w:val="single" w:color="467886"/>
              </w:rPr>
              <w:t>-</w:t>
            </w:r>
            <w:r>
              <w:fldChar w:fldCharType="end"/>
            </w:r>
            <w:r>
              <w:fldChar w:fldCharType="begin"/>
            </w:r>
            <w:r>
              <w:instrText xml:space="preserve"> HYPERLINK "https://assets.publishing.service.gov.uk/media/5a7dcb85ed915d2ac884d995/SEND_Code_of_Practice_January_2015.pdf" </w:instrText>
            </w:r>
            <w:r>
              <w:fldChar w:fldCharType="separate"/>
            </w:r>
            <w:r w:rsidRPr="00F16B57">
              <w:rPr>
                <w:color w:val="auto"/>
                <w:u w:val="single" w:color="467886"/>
              </w:rPr>
              <w:t>25 years</w:t>
            </w:r>
            <w:r>
              <w:fldChar w:fldCharType="end"/>
            </w:r>
            <w:r>
              <w:fldChar w:fldCharType="begin"/>
            </w:r>
            <w:r>
              <w:instrText xml:space="preserve"> HYPERLINK "https://assets.publishing.service.gov.uk/media/5a7dcb85ed915d2ac884d995/SEND_Code_of_Practice_January_2015.pdf" </w:instrText>
            </w:r>
            <w:r>
              <w:fldChar w:fldCharType="separate"/>
            </w:r>
            <w:r w:rsidRPr="00F16B57">
              <w:rPr>
                <w:color w:val="auto"/>
                <w:u w:val="single" w:color="467886"/>
              </w:rPr>
              <w:t xml:space="preserve"> (8.54, 2015)</w:t>
            </w:r>
            <w:r>
              <w:fldChar w:fldCharType="end"/>
            </w:r>
            <w:r>
              <w:fldChar w:fldCharType="begin"/>
            </w:r>
            <w:r>
              <w:instrText xml:space="preserve"> HYPERLINK "https://assets.publishing.service.gov.uk/media/5a7dcb85ed915d2ac884d995/SEND_Code_of_Practice_January_2015.pdf" </w:instrText>
            </w:r>
            <w:r>
              <w:fldChar w:fldCharType="separate"/>
            </w:r>
            <w:r w:rsidRPr="00F16B57">
              <w:rPr>
                <w:color w:val="auto"/>
                <w:sz w:val="24"/>
              </w:rPr>
              <w:t xml:space="preserve"> </w:t>
            </w:r>
            <w:r>
              <w:fldChar w:fldCharType="end"/>
            </w:r>
          </w:p>
        </w:tc>
      </w:tr>
      <w:tr>
        <w:tblPrEx>
          <w:tblW w:w="10495" w:type="dxa"/>
          <w:tblInd w:w="0" w:type="dxa"/>
          <w:tblCellMar>
            <w:left w:w="110" w:type="dxa"/>
            <w:right w:w="66" w:type="dxa"/>
          </w:tblCellMar>
          <w:tblLook w:val="04A0"/>
        </w:tblPrEx>
        <w:trPr>
          <w:trHeight w:val="59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 </w:t>
            </w:r>
            <w:r w:rsidRPr="00F16B57">
              <w:rPr>
                <w:color w:val="auto"/>
                <w:sz w:val="24"/>
              </w:rPr>
              <w:t xml:space="preserve">They are supported to be involved through reasonable adjustments from the start of the transition process. </w:t>
            </w:r>
          </w:p>
          <w:p w:rsidR="00B506EE" w:rsidRPr="00F16B57">
            <w:pPr>
              <w:spacing w:after="0" w:line="259" w:lineRule="auto"/>
              <w:jc w:val="left"/>
              <w:rPr>
                <w:color w:val="auto"/>
              </w:rPr>
            </w:pPr>
            <w:r w:rsidRPr="00F16B57">
              <w:rPr>
                <w:color w:val="auto"/>
                <w:sz w:val="24"/>
              </w:rPr>
              <w:t xml:space="preserve"> </w:t>
            </w:r>
          </w:p>
        </w:tc>
      </w:tr>
      <w:tr>
        <w:tblPrEx>
          <w:tblW w:w="10495" w:type="dxa"/>
          <w:tblInd w:w="0" w:type="dxa"/>
          <w:tblCellMar>
            <w:left w:w="110" w:type="dxa"/>
            <w:right w:w="66" w:type="dxa"/>
          </w:tblCellMar>
          <w:tblLook w:val="04A0"/>
        </w:tblPrEx>
        <w:trPr>
          <w:trHeight w:val="551"/>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rPr>
                <w:color w:val="auto"/>
              </w:rPr>
            </w:pPr>
            <w:r w:rsidRPr="00F16B57">
              <w:rPr>
                <w:color w:val="auto"/>
              </w:rPr>
              <w:t>2. To what extent are underserved or vulnerable service-user groups involved in coproduction of transition policies and strategies?</w:t>
            </w:r>
            <w:r w:rsidRPr="00F16B57">
              <w:rPr>
                <w:color w:val="auto"/>
                <w:sz w:val="24"/>
              </w:rPr>
              <w:t xml:space="preserve"> </w:t>
            </w:r>
          </w:p>
        </w:tc>
      </w:tr>
      <w:tr>
        <w:tblPrEx>
          <w:tblW w:w="10495" w:type="dxa"/>
          <w:tblInd w:w="0" w:type="dxa"/>
          <w:tblCellMar>
            <w:left w:w="110" w:type="dxa"/>
            <w:right w:w="66" w:type="dxa"/>
          </w:tblCellMar>
          <w:tblLook w:val="04A0"/>
        </w:tblPrEx>
        <w:trPr>
          <w:trHeight w:val="59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There have been some good examples of individualised coproduction, for example new supported living schemes, however over all this needs to be strengthened.</w:t>
            </w:r>
          </w:p>
          <w:p w:rsidR="00B506EE" w:rsidRPr="00F16B57">
            <w:pPr>
              <w:spacing w:after="0" w:line="259" w:lineRule="auto"/>
              <w:jc w:val="left"/>
              <w:rPr>
                <w:color w:val="auto"/>
              </w:rPr>
            </w:pPr>
            <w:r w:rsidRPr="00F16B57">
              <w:rPr>
                <w:color w:val="auto"/>
                <w:sz w:val="24"/>
              </w:rPr>
              <w:t xml:space="preserve"> </w:t>
            </w:r>
          </w:p>
        </w:tc>
      </w:tr>
    </w:tbl>
    <w:p w:rsidR="00B506EE" w:rsidRPr="00F16B57">
      <w:pPr>
        <w:spacing w:after="184" w:line="259" w:lineRule="auto"/>
        <w:ind w:left="710"/>
        <w:rPr>
          <w:color w:val="auto"/>
        </w:rPr>
      </w:pPr>
      <w:r w:rsidRPr="00F16B57">
        <w:rPr>
          <w:color w:val="auto"/>
          <w:sz w:val="24"/>
        </w:rPr>
        <w:t xml:space="preserve"> </w:t>
      </w:r>
    </w:p>
    <w:p w:rsidR="00B506EE" w:rsidRPr="00F16B57">
      <w:pPr>
        <w:spacing w:after="0" w:line="259" w:lineRule="auto"/>
        <w:ind w:left="710"/>
        <w:rPr>
          <w:color w:val="auto"/>
        </w:rPr>
      </w:pPr>
      <w:r w:rsidRPr="00F16B57">
        <w:rPr>
          <w:color w:val="auto"/>
          <w:sz w:val="24"/>
        </w:rPr>
        <w:t xml:space="preserve"> </w:t>
      </w:r>
    </w:p>
    <w:tbl>
      <w:tblPr>
        <w:tblStyle w:val="TableGrid"/>
        <w:tblW w:w="10495" w:type="dxa"/>
        <w:tblInd w:w="0" w:type="dxa"/>
        <w:tblCellMar>
          <w:top w:w="3" w:type="dxa"/>
          <w:left w:w="110" w:type="dxa"/>
          <w:right w:w="74" w:type="dxa"/>
        </w:tblCellMar>
        <w:tblLook w:val="04A0"/>
      </w:tblPr>
      <w:tblGrid>
        <w:gridCol w:w="10495"/>
      </w:tblGrid>
      <w:tr>
        <w:tblPrEx>
          <w:tblW w:w="10495" w:type="dxa"/>
          <w:tblInd w:w="0" w:type="dxa"/>
          <w:tblCellMar>
            <w:top w:w="3" w:type="dxa"/>
            <w:left w:w="110" w:type="dxa"/>
            <w:right w:w="74" w:type="dxa"/>
          </w:tblCellMar>
          <w:tblLook w:val="04A0"/>
        </w:tblPrEx>
        <w:trPr>
          <w:trHeight w:val="600"/>
        </w:trPr>
        <w:tc>
          <w:tcPr>
            <w:tcW w:w="10495"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4"/>
              </w:rPr>
              <w:t xml:space="preserve">FOCUS AREA 4 </w:t>
            </w:r>
          </w:p>
          <w:p w:rsidR="00B506EE" w:rsidRPr="00F16B57">
            <w:pPr>
              <w:spacing w:after="0" w:line="259" w:lineRule="auto"/>
              <w:jc w:val="left"/>
              <w:rPr>
                <w:color w:val="auto"/>
              </w:rPr>
            </w:pPr>
            <w:r w:rsidRPr="00F16B57">
              <w:rPr>
                <w:b/>
                <w:color w:val="auto"/>
                <w:sz w:val="24"/>
              </w:rPr>
              <w:t xml:space="preserve">WORKFORCE AND TRAINING </w:t>
            </w:r>
          </w:p>
        </w:tc>
      </w:tr>
      <w:tr>
        <w:tblPrEx>
          <w:tblW w:w="10495" w:type="dxa"/>
          <w:tblInd w:w="0" w:type="dxa"/>
          <w:tblCellMar>
            <w:top w:w="3" w:type="dxa"/>
            <w:left w:w="110" w:type="dxa"/>
            <w:right w:w="74" w:type="dxa"/>
          </w:tblCellMar>
          <w:tblLook w:val="04A0"/>
        </w:tblPrEx>
        <w:trPr>
          <w:trHeight w:val="3661"/>
        </w:trPr>
        <w:tc>
          <w:tcPr>
            <w:tcW w:w="10495" w:type="dxa"/>
            <w:tcBorders>
              <w:top w:val="single" w:sz="4" w:space="0" w:color="000000"/>
              <w:left w:val="single" w:sz="4" w:space="0" w:color="000000"/>
              <w:bottom w:val="single" w:sz="4" w:space="0" w:color="000000"/>
              <w:right w:val="single" w:sz="4" w:space="0" w:color="000000"/>
            </w:tcBorders>
          </w:tcPr>
          <w:p w:rsidR="00B506EE" w:rsidRPr="00F16B57">
            <w:pPr>
              <w:spacing w:after="120" w:line="241" w:lineRule="auto"/>
              <w:ind w:right="91"/>
              <w:rPr>
                <w:color w:val="auto"/>
              </w:rPr>
            </w:pPr>
            <w:r w:rsidRPr="00F16B57">
              <w:rPr>
                <w:b/>
                <w:color w:val="auto"/>
              </w:rPr>
              <w:t>Statement of intent 1</w:t>
            </w:r>
            <w:r w:rsidRPr="00F16B57">
              <w:rPr>
                <w:color w:val="auto"/>
              </w:rPr>
              <w:t xml:space="preserve">: Staff receive training in adolescent development, managing long-term conditions and transitional care, such as the </w:t>
            </w:r>
            <w:r>
              <w:fldChar w:fldCharType="begin"/>
            </w:r>
            <w:r>
              <w:instrText xml:space="preserve"> HYPERLINK "https://url.uk.m.mimecastprotect.com/s/WTvACjZpltjQVXqWTWf0SmqDdm?domain=e-lfh.org.uk/" </w:instrText>
            </w:r>
            <w:r>
              <w:fldChar w:fldCharType="separate"/>
            </w:r>
            <w:r w:rsidRPr="00F16B57">
              <w:rPr>
                <w:color w:val="auto"/>
                <w:u w:val="single" w:color="467886"/>
              </w:rPr>
              <w:t>Adolescent Health Programme e</w:t>
            </w:r>
            <w:r>
              <w:fldChar w:fldCharType="end"/>
            </w:r>
            <w:r>
              <w:fldChar w:fldCharType="begin"/>
            </w:r>
            <w:r>
              <w:instrText xml:space="preserve"> HYPERLINK "https://url.uk.m.mimecastprotect.com/s/WTvACjZpltjQVXqWTWf0SmqDdm?domain=e-lfh.org.uk/" </w:instrText>
            </w:r>
            <w:r>
              <w:fldChar w:fldCharType="separate"/>
            </w:r>
            <w:r w:rsidRPr="00F16B57">
              <w:rPr>
                <w:color w:val="auto"/>
                <w:u w:val="single" w:color="467886"/>
              </w:rPr>
              <w:t>-</w:t>
            </w:r>
            <w:r>
              <w:fldChar w:fldCharType="end"/>
            </w:r>
            <w:r>
              <w:fldChar w:fldCharType="begin"/>
            </w:r>
            <w:r>
              <w:instrText xml:space="preserve"> HYPERLINK "https://url.uk.m.mimecastprotect.com/s/WTvACjZpltjQVXqWTWf0SmqDdm?domain=e-lfh.org.uk/" </w:instrText>
            </w:r>
            <w:r>
              <w:fldChar w:fldCharType="separate"/>
            </w:r>
            <w:r w:rsidRPr="00F16B57">
              <w:rPr>
                <w:color w:val="auto"/>
                <w:u w:val="single" w:color="467886"/>
              </w:rPr>
              <w:t>learning</w:t>
            </w:r>
            <w:r>
              <w:fldChar w:fldCharType="end"/>
            </w:r>
            <w:r>
              <w:fldChar w:fldCharType="begin"/>
            </w:r>
            <w:r>
              <w:instrText xml:space="preserve"> HYPERLINK "https://url.uk.m.mimecastprotect.com/s/WTvACjZpltjQVXqWTWf0SmqDdm?domain=e-lfh.org.uk/" </w:instrText>
            </w:r>
            <w:r>
              <w:fldChar w:fldCharType="separate"/>
            </w:r>
            <w:r w:rsidRPr="00F16B57">
              <w:rPr>
                <w:color w:val="auto"/>
              </w:rPr>
              <w:t>,</w:t>
            </w:r>
            <w:r>
              <w:fldChar w:fldCharType="end"/>
            </w:r>
            <w:r w:rsidRPr="00F16B57">
              <w:rPr>
                <w:color w:val="auto"/>
              </w:rPr>
              <w:t xml:space="preserve"> as a context for understanding the impact of complex and long-term health needs</w:t>
            </w:r>
            <w:r>
              <w:fldChar w:fldCharType="begin"/>
            </w:r>
            <w:r>
              <w:instrText xml:space="preserve"> HYPERLINK "https://www.gov.uk/government/publications/establishing-youth-friendly-health-and-care-services/youre-welcome-establishing-youth-friendly-health-and-care-services" \l "standard-8-supporting-young-peoples-changing-needs" </w:instrText>
            </w:r>
            <w:r>
              <w:fldChar w:fldCharType="separate"/>
            </w:r>
            <w:r w:rsidRPr="00F16B57">
              <w:rPr>
                <w:color w:val="auto"/>
              </w:rPr>
              <w:t xml:space="preserve">. </w:t>
            </w:r>
            <w:r>
              <w:fldChar w:fldCharType="end"/>
            </w:r>
            <w:r>
              <w:fldChar w:fldCharType="begin"/>
            </w:r>
            <w:r>
              <w:instrText xml:space="preserve"> HYPERLINK "https://www.gov.uk/government/publications/establishing-youth-friendly-health-and-care-services/youre-welcome-establishing-youth-friendly-health-and-care-services" \l "standard-8-supporting-young-peoples-changing-needs" </w:instrText>
            </w:r>
            <w:r>
              <w:fldChar w:fldCharType="separate"/>
            </w:r>
            <w:r w:rsidRPr="00F16B57">
              <w:rPr>
                <w:color w:val="auto"/>
                <w:u w:val="single" w:color="467886"/>
              </w:rPr>
              <w:t>OHID You’re Welcome</w:t>
            </w:r>
            <w:r>
              <w:fldChar w:fldCharType="end"/>
            </w:r>
            <w:r>
              <w:fldChar w:fldCharType="begin"/>
            </w:r>
            <w:r>
              <w:instrText xml:space="preserve"> HYPERLINK "https://www.gov.uk/government/publications/establishing-youth-friendly-health-and-care-services/youre-welcome-establishing-youth-friendly-health-and-care-services" \l "standard-8-supporting-young-peoples-changing-needs" </w:instrText>
            </w:r>
            <w:r>
              <w:fldChar w:fldCharType="separate"/>
            </w:r>
            <w:r w:rsidRPr="00F16B57">
              <w:rPr>
                <w:color w:val="auto"/>
              </w:rPr>
              <w:t xml:space="preserve"> </w:t>
            </w:r>
            <w:r>
              <w:fldChar w:fldCharType="end"/>
            </w:r>
            <w:r w:rsidRPr="00F16B57">
              <w:rPr>
                <w:color w:val="auto"/>
              </w:rPr>
              <w:t xml:space="preserve">(4, 2023) </w:t>
            </w:r>
          </w:p>
          <w:p w:rsidR="00B506EE" w:rsidRPr="00F16B57">
            <w:pPr>
              <w:spacing w:after="120" w:line="260" w:lineRule="auto"/>
              <w:jc w:val="left"/>
              <w:rPr>
                <w:color w:val="auto"/>
              </w:rPr>
            </w:pPr>
            <w:r w:rsidRPr="00F16B57">
              <w:rPr>
                <w:b/>
                <w:color w:val="auto"/>
              </w:rPr>
              <w:t>Statement of intent 2</w:t>
            </w:r>
            <w:r w:rsidRPr="00F16B57">
              <w:rPr>
                <w:color w:val="auto"/>
              </w:rPr>
              <w:t xml:space="preserve">: Young people who are moving from </w:t>
            </w:r>
            <w:r w:rsidRPr="00F16B57">
              <w:rPr>
                <w:color w:val="auto"/>
              </w:rPr>
              <w:t>children's</w:t>
            </w:r>
            <w:r w:rsidRPr="00F16B57">
              <w:rPr>
                <w:color w:val="auto"/>
              </w:rPr>
              <w:t xml:space="preserve"> to adults' services have a named worker to coordinate care and support before, during and after transfer. </w:t>
            </w:r>
            <w:r>
              <w:fldChar w:fldCharType="begin"/>
            </w:r>
            <w:r>
              <w:instrText xml:space="preserve"> HYPERLINK "https://www.nice.org.uk/guidance/qs140/chapter/Quality-statement-4-Named-worker" </w:instrText>
            </w:r>
            <w:r>
              <w:fldChar w:fldCharType="separate"/>
            </w:r>
            <w:r w:rsidRPr="00F16B57">
              <w:rPr>
                <w:color w:val="auto"/>
                <w:u w:val="single" w:color="467886"/>
              </w:rPr>
              <w:t>NICE QS140 (4, 2016)</w:t>
            </w:r>
            <w:r>
              <w:fldChar w:fldCharType="end"/>
            </w:r>
            <w:r>
              <w:fldChar w:fldCharType="begin"/>
            </w:r>
            <w:r>
              <w:instrText xml:space="preserve"> HYPERLINK "https://www.nice.org.uk/guidance/qs140/chapter/Quality-statement-4-Named-worker" </w:instrText>
            </w:r>
            <w:r>
              <w:fldChar w:fldCharType="separate"/>
            </w:r>
            <w:r w:rsidRPr="00F16B57">
              <w:rPr>
                <w:b/>
                <w:color w:val="auto"/>
              </w:rPr>
              <w:t xml:space="preserve"> </w:t>
            </w:r>
            <w:r>
              <w:fldChar w:fldCharType="end"/>
            </w:r>
          </w:p>
          <w:p w:rsidR="00B506EE" w:rsidRPr="00F16B57">
            <w:pPr>
              <w:spacing w:after="0" w:line="259" w:lineRule="auto"/>
              <w:ind w:right="41"/>
              <w:jc w:val="left"/>
              <w:rPr>
                <w:color w:val="auto"/>
              </w:rPr>
            </w:pPr>
            <w:r w:rsidRPr="00F16B57">
              <w:rPr>
                <w:b/>
                <w:color w:val="auto"/>
              </w:rPr>
              <w:t>Statement of intent 3:</w:t>
            </w:r>
            <w:r w:rsidRPr="00F16B57">
              <w:rPr>
                <w:color w:val="auto"/>
              </w:rPr>
              <w:t xml:space="preserve"> Each health and social care organisation, in both children's and adults' services supporting young people in transition, should nominate: 1 senior executive to be accountable for developing and publishing transition strategies and policies, 1 senior manager to be accountable for implementing transition strategies and policies. The senior executive should be responsible for championing transitions at a strategic level. The senior manager should be responsible for: liaising with the senior executive; champio</w:t>
            </w:r>
            <w:r w:rsidRPr="00F16B57">
              <w:rPr>
                <w:color w:val="auto"/>
              </w:rPr>
              <w:t xml:space="preserve">ning, implementing, monitoring and reviewing the effectiveness of transition strategies and policies. </w:t>
            </w:r>
          </w:p>
          <w:p w:rsidR="00B506EE" w:rsidRPr="00F16B57">
            <w:pPr>
              <w:spacing w:after="0" w:line="259" w:lineRule="auto"/>
              <w:jc w:val="left"/>
              <w:rPr>
                <w:color w:val="auto"/>
              </w:rPr>
            </w:pPr>
            <w:r>
              <w:fldChar w:fldCharType="begin"/>
            </w:r>
            <w:r>
              <w:instrText xml:space="preserve"> HYPERLINK "https://www.nice.org.uk/guidance/ng43/chapter/Recommendations" \l "supporting-infrastructure" </w:instrText>
            </w:r>
            <w:r>
              <w:fldChar w:fldCharType="separate"/>
            </w:r>
            <w:r w:rsidRPr="00F16B57">
              <w:rPr>
                <w:color w:val="auto"/>
                <w:u w:val="single" w:color="467886"/>
              </w:rPr>
              <w:t>NICE NG43 (1.5.1</w:t>
            </w:r>
            <w:r>
              <w:fldChar w:fldCharType="end"/>
            </w:r>
            <w:r>
              <w:fldChar w:fldCharType="begin"/>
            </w:r>
            <w:r>
              <w:instrText xml:space="preserve"> HYPERLINK "https://www.nice.org.uk/guidance/ng43/chapter/Recommendations" \l "supporting-infrastructure" </w:instrText>
            </w:r>
            <w:r>
              <w:fldChar w:fldCharType="separate"/>
            </w:r>
            <w:r w:rsidRPr="00F16B57">
              <w:rPr>
                <w:color w:val="auto"/>
                <w:u w:val="single" w:color="467886"/>
              </w:rPr>
              <w:t>-</w:t>
            </w:r>
            <w:r>
              <w:fldChar w:fldCharType="end"/>
            </w:r>
            <w:r>
              <w:fldChar w:fldCharType="begin"/>
            </w:r>
            <w:r>
              <w:instrText xml:space="preserve"> HYPERLINK "https://www.nice.org.uk/guidance/ng43/chapter/Recommendations" \l "supporting-infrastructure" </w:instrText>
            </w:r>
            <w:r>
              <w:fldChar w:fldCharType="separate"/>
            </w:r>
            <w:r w:rsidRPr="00F16B57">
              <w:rPr>
                <w:color w:val="auto"/>
                <w:u w:val="single" w:color="467886"/>
              </w:rPr>
              <w:t>3, 2016)</w:t>
            </w:r>
            <w:r>
              <w:fldChar w:fldCharType="end"/>
            </w:r>
            <w:r>
              <w:fldChar w:fldCharType="begin"/>
            </w:r>
            <w:r>
              <w:instrText xml:space="preserve"> HYPERLINK "https://www.nice.org.uk/guidance/ng43/chapter/Recommendations" \l "supporting-infrastructure" </w:instrText>
            </w:r>
            <w:r>
              <w:fldChar w:fldCharType="separate"/>
            </w:r>
            <w:r w:rsidRPr="00F16B57">
              <w:rPr>
                <w:b/>
                <w:color w:val="auto"/>
              </w:rPr>
              <w:t xml:space="preserve"> </w:t>
            </w:r>
            <w:r>
              <w:fldChar w:fldCharType="end"/>
            </w:r>
          </w:p>
        </w:tc>
      </w:tr>
    </w:tbl>
    <w:p w:rsidR="00B506EE" w:rsidRPr="00F16B57">
      <w:pPr>
        <w:spacing w:after="0" w:line="259" w:lineRule="auto"/>
        <w:ind w:left="-731" w:right="11203"/>
        <w:jc w:val="left"/>
        <w:rPr>
          <w:color w:val="auto"/>
        </w:rPr>
      </w:pPr>
    </w:p>
    <w:tbl>
      <w:tblPr>
        <w:tblStyle w:val="TableGrid"/>
        <w:tblW w:w="10495" w:type="dxa"/>
        <w:tblInd w:w="0" w:type="dxa"/>
        <w:tblCellMar>
          <w:left w:w="110" w:type="dxa"/>
          <w:right w:w="70" w:type="dxa"/>
        </w:tblCellMar>
        <w:tblLook w:val="04A0"/>
      </w:tblPr>
      <w:tblGrid>
        <w:gridCol w:w="1986"/>
        <w:gridCol w:w="8509"/>
      </w:tblGrid>
      <w:tr>
        <w:tblPrEx>
          <w:tblW w:w="10495" w:type="dxa"/>
          <w:tblInd w:w="0" w:type="dxa"/>
          <w:tblCellMar>
            <w:left w:w="110" w:type="dxa"/>
            <w:right w:w="70" w:type="dxa"/>
          </w:tblCellMar>
          <w:tblLook w:val="04A0"/>
        </w:tblPrEx>
        <w:trPr>
          <w:trHeight w:val="820"/>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Resourcing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1. Which healthcare professionals form the transition team for young people, and are their roles- including that of the lead healthcare professional- clearly defined? Do staff have sufficient time allocated for their specified roles?  </w:t>
            </w:r>
          </w:p>
        </w:tc>
      </w:tr>
      <w:tr>
        <w:tblPrEx>
          <w:tblW w:w="10495" w:type="dxa"/>
          <w:tblInd w:w="0" w:type="dxa"/>
          <w:tblCellMar>
            <w:left w:w="110" w:type="dxa"/>
            <w:right w:w="70" w:type="dxa"/>
          </w:tblCellMar>
          <w:tblLook w:val="04A0"/>
        </w:tblPrEx>
        <w:trPr>
          <w:trHeight w:val="54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 </w:t>
            </w:r>
            <w:r w:rsidRPr="00F16B57">
              <w:rPr>
                <w:color w:val="auto"/>
              </w:rPr>
              <w:t xml:space="preserve">School nursing, </w:t>
            </w:r>
            <w:r w:rsidRPr="00F16B57">
              <w:rPr>
                <w:color w:val="auto"/>
              </w:rPr>
              <w:t>Childrens</w:t>
            </w:r>
            <w:r w:rsidRPr="00F16B57">
              <w:rPr>
                <w:color w:val="auto"/>
              </w:rPr>
              <w:t xml:space="preserve"> Mental Health, Adult Mental Health, ICB Continuing Health Care and Learning Disability Nurses</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left w:w="110" w:type="dxa"/>
            <w:right w:w="70" w:type="dxa"/>
          </w:tblCellMar>
          <w:tblLook w:val="04A0"/>
        </w:tblPrEx>
        <w:trPr>
          <w:trHeight w:val="54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rPr>
                <w:color w:val="auto"/>
              </w:rPr>
            </w:pPr>
            <w:r w:rsidRPr="00F16B57">
              <w:rPr>
                <w:color w:val="auto"/>
              </w:rPr>
              <w:t xml:space="preserve">2. What is the role of health and social care organisation executives in overseeing the implementation and evaluation of the transfer to adult services? </w:t>
            </w:r>
          </w:p>
        </w:tc>
      </w:tr>
      <w:tr>
        <w:tblPrEx>
          <w:tblW w:w="10495" w:type="dxa"/>
          <w:tblInd w:w="0" w:type="dxa"/>
          <w:tblCellMar>
            <w:left w:w="110" w:type="dxa"/>
            <w:right w:w="70" w:type="dxa"/>
          </w:tblCellMar>
          <w:tblLook w:val="04A0"/>
        </w:tblPrEx>
        <w:trPr>
          <w:trHeight w:val="551"/>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 </w:t>
            </w:r>
            <w:r w:rsidRPr="00F16B57">
              <w:rPr>
                <w:color w:val="auto"/>
              </w:rPr>
              <w:t xml:space="preserve">There is a Preparing for Adulthood board which </w:t>
            </w:r>
            <w:r w:rsidRPr="00F16B57">
              <w:rPr>
                <w:color w:val="auto"/>
              </w:rPr>
              <w:t>childrens</w:t>
            </w:r>
            <w:r w:rsidRPr="00F16B57">
              <w:rPr>
                <w:color w:val="auto"/>
              </w:rPr>
              <w:t xml:space="preserve"> and adults social care </w:t>
            </w:r>
            <w:r w:rsidRPr="00F16B57">
              <w:rPr>
                <w:color w:val="auto"/>
              </w:rPr>
              <w:t>executives</w:t>
            </w:r>
            <w:r w:rsidRPr="00F16B57">
              <w:rPr>
                <w:color w:val="auto"/>
              </w:rPr>
              <w:t xml:space="preserve"> chair. </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left w:w="110" w:type="dxa"/>
            <w:right w:w="70" w:type="dxa"/>
          </w:tblCellMar>
          <w:tblLook w:val="04A0"/>
        </w:tblPrEx>
        <w:trPr>
          <w:trHeight w:val="81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3. Is there any workforce data to demonstrate the required capacity to deliver an effective transition for young people at service level? To what extent is this currently being met? </w:t>
            </w:r>
          </w:p>
        </w:tc>
      </w:tr>
      <w:tr>
        <w:tblPrEx>
          <w:tblW w:w="10495" w:type="dxa"/>
          <w:tblInd w:w="0" w:type="dxa"/>
          <w:tblCellMar>
            <w:left w:w="110" w:type="dxa"/>
            <w:right w:w="70" w:type="dxa"/>
          </w:tblCellMar>
          <w:tblLook w:val="04A0"/>
        </w:tblPrEx>
        <w:trPr>
          <w:trHeight w:val="54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 </w:t>
            </w:r>
            <w:r w:rsidRPr="00F16B57">
              <w:rPr>
                <w:color w:val="auto"/>
              </w:rPr>
              <w:t>No</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left w:w="110" w:type="dxa"/>
            <w:right w:w="70" w:type="dxa"/>
          </w:tblCellMar>
          <w:tblLook w:val="04A0"/>
        </w:tblPrEx>
        <w:trPr>
          <w:trHeight w:val="550"/>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Effectiveness and implementation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1. Are existing training and education in place for staff effective in improving experiences for young people at the point of transition/transfer between services?</w:t>
            </w:r>
            <w:r w:rsidRPr="00F16B57">
              <w:rPr>
                <w:color w:val="auto"/>
                <w:sz w:val="24"/>
              </w:rPr>
              <w:t xml:space="preserve"> </w:t>
            </w:r>
          </w:p>
        </w:tc>
      </w:tr>
      <w:tr>
        <w:tblPrEx>
          <w:tblW w:w="10495" w:type="dxa"/>
          <w:tblInd w:w="0" w:type="dxa"/>
          <w:tblCellMar>
            <w:left w:w="110" w:type="dxa"/>
            <w:right w:w="70" w:type="dxa"/>
          </w:tblCellMar>
          <w:tblLook w:val="04A0"/>
        </w:tblPrEx>
        <w:trPr>
          <w:trHeight w:val="59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This is an area for development as currently this is covered in core adult and children social care training but not specifically around transitions and transfer between services.</w:t>
            </w:r>
          </w:p>
          <w:p w:rsidR="00B506EE" w:rsidRPr="00F16B57">
            <w:pPr>
              <w:spacing w:after="0" w:line="259" w:lineRule="auto"/>
              <w:jc w:val="left"/>
              <w:rPr>
                <w:color w:val="auto"/>
              </w:rPr>
            </w:pPr>
            <w:r w:rsidRPr="00F16B57">
              <w:rPr>
                <w:color w:val="auto"/>
                <w:sz w:val="24"/>
              </w:rPr>
              <w:t xml:space="preserve"> </w:t>
            </w:r>
          </w:p>
        </w:tc>
      </w:tr>
      <w:tr>
        <w:tblPrEx>
          <w:tblW w:w="10495" w:type="dxa"/>
          <w:tblInd w:w="0" w:type="dxa"/>
          <w:tblCellMar>
            <w:left w:w="110" w:type="dxa"/>
            <w:right w:w="70" w:type="dxa"/>
          </w:tblCellMar>
          <w:tblLook w:val="04A0"/>
        </w:tblPrEx>
        <w:trPr>
          <w:trHeight w:val="81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2. How are staff trained to effectively support young people through the transition from child to adult health and social care? What is the standard training offer- is this available to all, and how is this different for staff regularly involved in transitions?</w:t>
            </w:r>
            <w:r w:rsidRPr="00F16B57">
              <w:rPr>
                <w:color w:val="auto"/>
                <w:sz w:val="24"/>
              </w:rPr>
              <w:t xml:space="preserve"> </w:t>
            </w:r>
          </w:p>
        </w:tc>
      </w:tr>
      <w:tr>
        <w:tblPrEx>
          <w:tblW w:w="10495" w:type="dxa"/>
          <w:tblInd w:w="0" w:type="dxa"/>
          <w:tblCellMar>
            <w:left w:w="110" w:type="dxa"/>
            <w:right w:w="70" w:type="dxa"/>
          </w:tblCellMar>
          <w:tblLook w:val="04A0"/>
        </w:tblPrEx>
        <w:trPr>
          <w:trHeight w:val="550"/>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 </w:t>
            </w:r>
            <w:r w:rsidRPr="00F16B57">
              <w:rPr>
                <w:color w:val="auto"/>
              </w:rPr>
              <w:t>This is currently being developed as identified as a gap</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left w:w="110" w:type="dxa"/>
            <w:right w:w="70" w:type="dxa"/>
          </w:tblCellMar>
          <w:tblLook w:val="04A0"/>
        </w:tblPrEx>
        <w:trPr>
          <w:trHeight w:val="54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3. To what extent are executives of health and social care organisations exercising their duty to champion transitions at a strategic level? </w:t>
            </w:r>
          </w:p>
        </w:tc>
      </w:tr>
      <w:tr>
        <w:tblPrEx>
          <w:tblW w:w="10495" w:type="dxa"/>
          <w:tblInd w:w="0" w:type="dxa"/>
          <w:tblCellMar>
            <w:left w:w="110" w:type="dxa"/>
            <w:right w:w="70" w:type="dxa"/>
          </w:tblCellMar>
          <w:tblLook w:val="04A0"/>
        </w:tblPrEx>
        <w:trPr>
          <w:trHeight w:val="54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 </w:t>
            </w:r>
            <w:r w:rsidRPr="00F16B57">
              <w:rPr>
                <w:color w:val="auto"/>
              </w:rPr>
              <w:t>Not known</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left w:w="110" w:type="dxa"/>
            <w:right w:w="70" w:type="dxa"/>
          </w:tblCellMar>
          <w:tblLook w:val="04A0"/>
        </w:tblPrEx>
        <w:trPr>
          <w:trHeight w:val="821"/>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Impact and outcomes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1. What is the impact of training and education for staff on their experience, and young people’s experiences, of transitioning between child to adult services? How is this monitored? </w:t>
            </w:r>
          </w:p>
        </w:tc>
      </w:tr>
      <w:tr>
        <w:tblPrEx>
          <w:tblW w:w="10495" w:type="dxa"/>
          <w:tblInd w:w="0" w:type="dxa"/>
          <w:tblCellMar>
            <w:left w:w="110" w:type="dxa"/>
            <w:right w:w="70" w:type="dxa"/>
          </w:tblCellMar>
          <w:tblLook w:val="04A0"/>
        </w:tblPrEx>
        <w:trPr>
          <w:trHeight w:val="59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 </w:t>
            </w:r>
            <w:r w:rsidRPr="00F16B57">
              <w:rPr>
                <w:color w:val="auto"/>
                <w:sz w:val="24"/>
              </w:rPr>
              <w:t>Audits of case files are carried out but the training is not specifically monitored</w:t>
            </w:r>
          </w:p>
          <w:p w:rsidR="00B506EE" w:rsidRPr="00F16B57">
            <w:pPr>
              <w:spacing w:after="0" w:line="259" w:lineRule="auto"/>
              <w:jc w:val="left"/>
              <w:rPr>
                <w:color w:val="auto"/>
              </w:rPr>
            </w:pPr>
            <w:r w:rsidRPr="00F16B57">
              <w:rPr>
                <w:color w:val="auto"/>
                <w:sz w:val="24"/>
              </w:rPr>
              <w:t xml:space="preserve"> </w:t>
            </w:r>
          </w:p>
        </w:tc>
      </w:tr>
      <w:tr>
        <w:tblPrEx>
          <w:tblW w:w="10495" w:type="dxa"/>
          <w:tblInd w:w="0" w:type="dxa"/>
          <w:tblCellMar>
            <w:left w:w="110" w:type="dxa"/>
            <w:right w:w="70" w:type="dxa"/>
          </w:tblCellMar>
          <w:tblLook w:val="04A0"/>
        </w:tblPrEx>
        <w:trPr>
          <w:trHeight w:val="54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2. Where staff are not equipped with the right skills, what is the impact on the service, and the young people it serves?</w:t>
            </w:r>
            <w:r w:rsidRPr="00F16B57">
              <w:rPr>
                <w:color w:val="auto"/>
                <w:sz w:val="24"/>
              </w:rPr>
              <w:t xml:space="preserve"> </w:t>
            </w:r>
          </w:p>
        </w:tc>
      </w:tr>
      <w:tr>
        <w:tblPrEx>
          <w:tblW w:w="10495" w:type="dxa"/>
          <w:tblInd w:w="0" w:type="dxa"/>
          <w:tblCellMar>
            <w:left w:w="110" w:type="dxa"/>
            <w:right w:w="70" w:type="dxa"/>
          </w:tblCellMar>
          <w:tblLook w:val="04A0"/>
        </w:tblPrEx>
        <w:trPr>
          <w:trHeight w:val="59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sz w:val="24"/>
              </w:rPr>
            </w:pPr>
            <w:r w:rsidRPr="00F16B57">
              <w:rPr>
                <w:color w:val="auto"/>
                <w:sz w:val="24"/>
              </w:rPr>
              <w:t>Failure to meet need, impact on outcomes for young people and their families</w:t>
            </w:r>
          </w:p>
          <w:p w:rsidR="00B506EE" w:rsidRPr="00F16B57">
            <w:pPr>
              <w:spacing w:after="0" w:line="259" w:lineRule="auto"/>
              <w:jc w:val="left"/>
              <w:rPr>
                <w:color w:val="auto"/>
              </w:rPr>
            </w:pPr>
            <w:r w:rsidRPr="00F16B57">
              <w:rPr>
                <w:color w:val="auto"/>
              </w:rPr>
              <w:t>Complaints and demands on management time</w:t>
            </w:r>
          </w:p>
          <w:p w:rsidR="00B506EE" w:rsidRPr="00F16B57">
            <w:pPr>
              <w:spacing w:after="0" w:line="259" w:lineRule="auto"/>
              <w:jc w:val="left"/>
              <w:rPr>
                <w:color w:val="auto"/>
              </w:rPr>
            </w:pPr>
            <w:r w:rsidRPr="00F16B57">
              <w:rPr>
                <w:color w:val="auto"/>
              </w:rPr>
              <w:t>Increased costs</w:t>
            </w:r>
          </w:p>
          <w:p w:rsidR="00B506EE" w:rsidRPr="00F16B57">
            <w:pPr>
              <w:spacing w:after="0" w:line="259" w:lineRule="auto"/>
              <w:jc w:val="left"/>
              <w:rPr>
                <w:color w:val="auto"/>
              </w:rPr>
            </w:pPr>
            <w:r w:rsidRPr="00F16B57">
              <w:rPr>
                <w:color w:val="auto"/>
                <w:sz w:val="24"/>
              </w:rPr>
              <w:t xml:space="preserve"> </w:t>
            </w:r>
          </w:p>
        </w:tc>
      </w:tr>
      <w:tr>
        <w:tblPrEx>
          <w:tblW w:w="10495" w:type="dxa"/>
          <w:tblInd w:w="0" w:type="dxa"/>
          <w:tblCellMar>
            <w:left w:w="110" w:type="dxa"/>
            <w:right w:w="70" w:type="dxa"/>
          </w:tblCellMar>
          <w:tblLook w:val="04A0"/>
        </w:tblPrEx>
        <w:trPr>
          <w:trHeight w:val="820"/>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3. What is the impact of having named staff members responsible for transitions – for example, a named worker for </w:t>
            </w:r>
            <w:r w:rsidRPr="00F16B57">
              <w:rPr>
                <w:color w:val="auto"/>
              </w:rPr>
              <w:t>each individual</w:t>
            </w:r>
            <w:r w:rsidRPr="00F16B57">
              <w:rPr>
                <w:color w:val="auto"/>
              </w:rPr>
              <w:t xml:space="preserve">, a clinical lead and a named executive and senior manager at the organisational level? </w:t>
            </w:r>
          </w:p>
        </w:tc>
      </w:tr>
      <w:tr>
        <w:tblPrEx>
          <w:tblW w:w="10495" w:type="dxa"/>
          <w:tblInd w:w="0" w:type="dxa"/>
          <w:tblCellMar>
            <w:left w:w="110" w:type="dxa"/>
            <w:right w:w="70" w:type="dxa"/>
          </w:tblCellMar>
          <w:tblLook w:val="04A0"/>
        </w:tblPrEx>
        <w:trPr>
          <w:trHeight w:val="596"/>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An allocated worker for each young person improves communication and engagement for young people and their families and helps them to understand a complex system </w:t>
            </w:r>
          </w:p>
          <w:p w:rsidR="00B506EE" w:rsidRPr="00F16B57">
            <w:pPr>
              <w:spacing w:after="0" w:line="259" w:lineRule="auto"/>
              <w:jc w:val="left"/>
              <w:rPr>
                <w:color w:val="auto"/>
              </w:rPr>
            </w:pPr>
            <w:r w:rsidRPr="00F16B57">
              <w:rPr>
                <w:color w:val="auto"/>
                <w:sz w:val="24"/>
              </w:rPr>
              <w:t xml:space="preserve"> </w:t>
            </w:r>
          </w:p>
        </w:tc>
      </w:tr>
      <w:tr>
        <w:tblPrEx>
          <w:tblW w:w="10495" w:type="dxa"/>
          <w:tblInd w:w="0" w:type="dxa"/>
          <w:tblCellMar>
            <w:left w:w="110" w:type="dxa"/>
            <w:right w:w="70" w:type="dxa"/>
          </w:tblCellMar>
          <w:tblLook w:val="04A0"/>
        </w:tblPrEx>
        <w:trPr>
          <w:trHeight w:val="545"/>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Appropriateness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1. Is the level of training and education provided to staff appropriate for the needs of young people at the point of transition? </w:t>
            </w:r>
          </w:p>
        </w:tc>
      </w:tr>
      <w:tr>
        <w:tblPrEx>
          <w:tblW w:w="10495" w:type="dxa"/>
          <w:tblInd w:w="0" w:type="dxa"/>
          <w:tblCellMar>
            <w:left w:w="110" w:type="dxa"/>
            <w:right w:w="70" w:type="dxa"/>
          </w:tblCellMar>
          <w:tblLook w:val="04A0"/>
        </w:tblPrEx>
        <w:trPr>
          <w:trHeight w:val="59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 </w:t>
            </w:r>
          </w:p>
          <w:p w:rsidR="00B506EE" w:rsidRPr="00F16B57">
            <w:pPr>
              <w:spacing w:after="0" w:line="259" w:lineRule="auto"/>
              <w:jc w:val="left"/>
              <w:rPr>
                <w:color w:val="auto"/>
              </w:rPr>
            </w:pPr>
            <w:r w:rsidRPr="00F16B57">
              <w:rPr>
                <w:color w:val="auto"/>
                <w:sz w:val="24"/>
              </w:rPr>
              <w:t xml:space="preserve"> </w:t>
            </w:r>
            <w:r w:rsidRPr="00F16B57">
              <w:rPr>
                <w:color w:val="auto"/>
                <w:sz w:val="24"/>
              </w:rPr>
              <w:t xml:space="preserve">Yes, audits would evidence that staff are equipped with the knowledge and skills to do the work required </w:t>
            </w:r>
          </w:p>
        </w:tc>
      </w:tr>
      <w:tr>
        <w:tblPrEx>
          <w:tblW w:w="10495" w:type="dxa"/>
          <w:tblInd w:w="0" w:type="dxa"/>
          <w:tblCellMar>
            <w:left w:w="110" w:type="dxa"/>
            <w:right w:w="70" w:type="dxa"/>
          </w:tblCellMar>
          <w:tblLook w:val="04A0"/>
        </w:tblPrEx>
        <w:trPr>
          <w:trHeight w:val="550"/>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2. Is there any staff feedback on the utility and suitability of the training provided, or data on the uptake? </w:t>
            </w:r>
          </w:p>
        </w:tc>
      </w:tr>
      <w:tr>
        <w:tblPrEx>
          <w:tblW w:w="10495" w:type="dxa"/>
          <w:tblInd w:w="0" w:type="dxa"/>
          <w:tblCellMar>
            <w:left w:w="110" w:type="dxa"/>
            <w:right w:w="70" w:type="dxa"/>
          </w:tblCellMar>
          <w:tblLook w:val="04A0"/>
        </w:tblPrEx>
        <w:trPr>
          <w:trHeight w:val="300"/>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 </w:t>
            </w:r>
            <w:r w:rsidRPr="00F16B57">
              <w:rPr>
                <w:color w:val="auto"/>
                <w:sz w:val="24"/>
              </w:rPr>
              <w:t xml:space="preserve">Feedback forms are completed after each training session and reviewed by learning and development teams. </w:t>
            </w:r>
          </w:p>
        </w:tc>
      </w:tr>
      <w:tr>
        <w:tblPrEx>
          <w:tblW w:w="10495" w:type="dxa"/>
          <w:tblInd w:w="0" w:type="dxa"/>
          <w:tblCellMar>
            <w:left w:w="110" w:type="dxa"/>
            <w:right w:w="70" w:type="dxa"/>
          </w:tblCellMar>
          <w:tblLook w:val="04A0"/>
        </w:tblPrEx>
        <w:trPr>
          <w:trHeight w:val="305"/>
        </w:trPr>
        <w:tc>
          <w:tcPr>
            <w:tcW w:w="1986" w:type="dxa"/>
            <w:tcBorders>
              <w:top w:val="single" w:sz="4" w:space="0" w:color="000000"/>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 </w:t>
            </w:r>
          </w:p>
        </w:tc>
      </w:tr>
      <w:tr>
        <w:tblPrEx>
          <w:tblW w:w="10495" w:type="dxa"/>
          <w:tblInd w:w="0" w:type="dxa"/>
          <w:tblCellMar>
            <w:left w:w="110" w:type="dxa"/>
            <w:right w:w="70" w:type="dxa"/>
          </w:tblCellMar>
          <w:tblLook w:val="04A0"/>
        </w:tblPrEx>
        <w:trPr>
          <w:trHeight w:val="550"/>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Equality and diversity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rPr>
                <w:color w:val="auto"/>
              </w:rPr>
            </w:pPr>
            <w:r w:rsidRPr="00F16B57">
              <w:rPr>
                <w:color w:val="auto"/>
              </w:rPr>
              <w:t>1. To what extent are staff trained to deliver person-centred care for young people with additional needs, and to support their carers?</w:t>
            </w:r>
            <w:r w:rsidRPr="00F16B57">
              <w:rPr>
                <w:color w:val="auto"/>
                <w:sz w:val="24"/>
              </w:rPr>
              <w:t xml:space="preserve"> </w:t>
            </w:r>
          </w:p>
        </w:tc>
      </w:tr>
      <w:tr>
        <w:tblPrEx>
          <w:tblW w:w="10495" w:type="dxa"/>
          <w:tblInd w:w="0" w:type="dxa"/>
          <w:tblCellMar>
            <w:left w:w="110" w:type="dxa"/>
            <w:right w:w="70" w:type="dxa"/>
          </w:tblCellMar>
          <w:tblLook w:val="04A0"/>
        </w:tblPrEx>
        <w:trPr>
          <w:trHeight w:val="59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Person centred care is central to </w:t>
            </w:r>
            <w:r w:rsidRPr="00F16B57">
              <w:rPr>
                <w:color w:val="auto"/>
                <w:sz w:val="24"/>
              </w:rPr>
              <w:t>all of</w:t>
            </w:r>
            <w:r w:rsidRPr="00F16B57">
              <w:rPr>
                <w:color w:val="auto"/>
                <w:sz w:val="24"/>
              </w:rPr>
              <w:t xml:space="preserve"> the training </w:t>
            </w:r>
            <w:r w:rsidRPr="00F16B57">
              <w:rPr>
                <w:color w:val="auto"/>
                <w:sz w:val="24"/>
              </w:rPr>
              <w:t>delivered,</w:t>
            </w:r>
            <w:r w:rsidRPr="00F16B57">
              <w:rPr>
                <w:color w:val="auto"/>
                <w:sz w:val="24"/>
              </w:rPr>
              <w:t xml:space="preserve"> this is not specific to young people</w:t>
            </w:r>
          </w:p>
        </w:tc>
      </w:tr>
    </w:tbl>
    <w:p w:rsidR="00B506EE" w:rsidRPr="00F16B57">
      <w:pPr>
        <w:spacing w:after="184" w:line="259" w:lineRule="auto"/>
        <w:ind w:left="710"/>
        <w:rPr>
          <w:color w:val="auto"/>
        </w:rPr>
      </w:pPr>
      <w:r w:rsidRPr="00F16B57">
        <w:rPr>
          <w:color w:val="auto"/>
          <w:sz w:val="24"/>
        </w:rPr>
        <w:t xml:space="preserve"> </w:t>
      </w:r>
    </w:p>
    <w:p w:rsidR="00B506EE" w:rsidRPr="00F16B57">
      <w:pPr>
        <w:spacing w:after="0" w:line="259" w:lineRule="auto"/>
        <w:ind w:left="710"/>
        <w:rPr>
          <w:color w:val="auto"/>
        </w:rPr>
      </w:pPr>
      <w:r w:rsidRPr="00F16B57">
        <w:rPr>
          <w:color w:val="auto"/>
          <w:sz w:val="24"/>
        </w:rPr>
        <w:t xml:space="preserve"> </w:t>
      </w:r>
    </w:p>
    <w:tbl>
      <w:tblPr>
        <w:tblStyle w:val="TableGrid"/>
        <w:tblW w:w="10495" w:type="dxa"/>
        <w:tblInd w:w="0" w:type="dxa"/>
        <w:tblCellMar>
          <w:left w:w="110" w:type="dxa"/>
          <w:right w:w="115" w:type="dxa"/>
        </w:tblCellMar>
        <w:tblLook w:val="04A0"/>
      </w:tblPr>
      <w:tblGrid>
        <w:gridCol w:w="1986"/>
        <w:gridCol w:w="8509"/>
      </w:tblGrid>
      <w:tr>
        <w:tblPrEx>
          <w:tblW w:w="10495" w:type="dxa"/>
          <w:tblInd w:w="0" w:type="dxa"/>
          <w:tblCellMar>
            <w:left w:w="110" w:type="dxa"/>
            <w:right w:w="115" w:type="dxa"/>
          </w:tblCellMar>
          <w:tblLook w:val="04A0"/>
        </w:tblPrEx>
        <w:trPr>
          <w:trHeight w:val="600"/>
        </w:trPr>
        <w:tc>
          <w:tcPr>
            <w:tcW w:w="10495" w:type="dxa"/>
            <w:gridSpan w:val="2"/>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4"/>
              </w:rPr>
              <w:t xml:space="preserve">FOCUS AREA 5  </w:t>
            </w:r>
          </w:p>
          <w:p w:rsidR="00B506EE" w:rsidRPr="00F16B57">
            <w:pPr>
              <w:spacing w:after="0" w:line="259" w:lineRule="auto"/>
              <w:jc w:val="left"/>
              <w:rPr>
                <w:color w:val="auto"/>
              </w:rPr>
            </w:pPr>
            <w:r w:rsidRPr="00F16B57">
              <w:rPr>
                <w:b/>
                <w:color w:val="auto"/>
                <w:sz w:val="24"/>
              </w:rPr>
              <w:t xml:space="preserve">ENABLING DEVELOPMENTALLY APPROPRIATE INDEPENDENCE  </w:t>
            </w:r>
          </w:p>
        </w:tc>
      </w:tr>
      <w:tr>
        <w:tblPrEx>
          <w:tblW w:w="10495" w:type="dxa"/>
          <w:tblInd w:w="0" w:type="dxa"/>
          <w:tblCellMar>
            <w:left w:w="110" w:type="dxa"/>
            <w:right w:w="115" w:type="dxa"/>
          </w:tblCellMar>
          <w:tblLook w:val="04A0"/>
        </w:tblPrEx>
        <w:trPr>
          <w:trHeight w:val="2856"/>
        </w:trPr>
        <w:tc>
          <w:tcPr>
            <w:tcW w:w="10495" w:type="dxa"/>
            <w:gridSpan w:val="2"/>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rPr>
              <w:t>Statement of intent 1</w:t>
            </w:r>
            <w:r w:rsidRPr="00F16B57">
              <w:rPr>
                <w:color w:val="auto"/>
              </w:rPr>
              <w:t>: Service managers should ensure there are developmentally appropriate services for children, young people and adults to support transition, for example, age banded clinics.</w:t>
            </w:r>
            <w:r>
              <w:fldChar w:fldCharType="begin"/>
            </w:r>
            <w:r>
              <w:instrText xml:space="preserve"> HYPERLINK "https://www.nice.org.uk/guidance/ng43/chapter/Recommendations" \l "transition-planning" </w:instrText>
            </w:r>
            <w:r>
              <w:fldChar w:fldCharType="separate"/>
            </w:r>
            <w:r w:rsidRPr="00F16B57">
              <w:rPr>
                <w:color w:val="auto"/>
              </w:rPr>
              <w:t xml:space="preserve"> </w:t>
            </w:r>
            <w:r>
              <w:fldChar w:fldCharType="end"/>
            </w:r>
            <w:r>
              <w:fldChar w:fldCharType="begin"/>
            </w:r>
            <w:r>
              <w:instrText xml:space="preserve"> HYPERLINK "https://www.nice.org.uk/guidance/ng43/chapter/Recommendations" \l "transition-planning" </w:instrText>
            </w:r>
            <w:r>
              <w:fldChar w:fldCharType="separate"/>
            </w:r>
            <w:r w:rsidRPr="00F16B57">
              <w:rPr>
                <w:color w:val="auto"/>
                <w:u w:val="single" w:color="467886"/>
              </w:rPr>
              <w:t>NICE</w:t>
            </w:r>
            <w:r>
              <w:fldChar w:fldCharType="end"/>
            </w:r>
            <w:r>
              <w:fldChar w:fldCharType="begin"/>
            </w:r>
            <w:r>
              <w:instrText xml:space="preserve"> HYPERLINK "https://www.nice.org.uk/guidance/ng43/chapter/Recommendations" \l "transition-planning" </w:instrText>
            </w:r>
            <w:r>
              <w:fldChar w:fldCharType="separate"/>
            </w:r>
            <w:r w:rsidRPr="00F16B57">
              <w:rPr>
                <w:color w:val="auto"/>
                <w:u w:val="single" w:color="467886"/>
              </w:rPr>
              <w:t xml:space="preserve"> </w:t>
            </w:r>
            <w:r>
              <w:fldChar w:fldCharType="end"/>
            </w:r>
            <w:r>
              <w:fldChar w:fldCharType="begin"/>
            </w:r>
            <w:r>
              <w:instrText xml:space="preserve"> HYPERLINK "https://www.nice.org.uk/guidance/ng43/chapter/Recommendations" \l "transition-planning" </w:instrText>
            </w:r>
            <w:r>
              <w:fldChar w:fldCharType="separate"/>
            </w:r>
            <w:r w:rsidRPr="00F16B57">
              <w:rPr>
                <w:color w:val="auto"/>
                <w:u w:val="single" w:color="467886"/>
              </w:rPr>
              <w:t>NG43 (1.5.11,</w:t>
            </w:r>
            <w:r>
              <w:fldChar w:fldCharType="end"/>
            </w:r>
            <w:r>
              <w:fldChar w:fldCharType="begin"/>
            </w:r>
            <w:r>
              <w:instrText xml:space="preserve"> HYPERLINK "https://www.nice.org.uk/guidance/ng43/chapter/Recommendations" \l "transition-planning" </w:instrText>
            </w:r>
            <w:r>
              <w:fldChar w:fldCharType="separate"/>
            </w:r>
            <w:r w:rsidRPr="00F16B57">
              <w:rPr>
                <w:color w:val="auto"/>
              </w:rPr>
              <w:t xml:space="preserve"> </w:t>
            </w:r>
            <w:r>
              <w:fldChar w:fldCharType="end"/>
            </w:r>
          </w:p>
          <w:p w:rsidR="00B506EE" w:rsidRPr="00F16B57">
            <w:pPr>
              <w:spacing w:after="121" w:line="259" w:lineRule="auto"/>
              <w:jc w:val="left"/>
              <w:rPr>
                <w:color w:val="auto"/>
              </w:rPr>
            </w:pPr>
            <w:r>
              <w:fldChar w:fldCharType="begin"/>
            </w:r>
            <w:r>
              <w:instrText xml:space="preserve"> HYPERLINK "https://www.nice.org.uk/guidance/ng43/chapter/Recommendations" \l "transition-planning" </w:instrText>
            </w:r>
            <w:r>
              <w:fldChar w:fldCharType="separate"/>
            </w:r>
            <w:r w:rsidRPr="00F16B57">
              <w:rPr>
                <w:color w:val="auto"/>
                <w:u w:val="single" w:color="467886"/>
              </w:rPr>
              <w:t>2016)</w:t>
            </w:r>
            <w:r>
              <w:fldChar w:fldCharType="end"/>
            </w:r>
            <w:r>
              <w:fldChar w:fldCharType="begin"/>
            </w:r>
            <w:r>
              <w:instrText xml:space="preserve"> HYPERLINK "https://www.nice.org.uk/guidance/ng43/chapter/Recommendations" \l "transition-planning" </w:instrText>
            </w:r>
            <w:r>
              <w:fldChar w:fldCharType="separate"/>
            </w:r>
            <w:r w:rsidRPr="00F16B57">
              <w:rPr>
                <w:color w:val="auto"/>
              </w:rPr>
              <w:t xml:space="preserve"> </w:t>
            </w:r>
            <w:r>
              <w:fldChar w:fldCharType="end"/>
            </w:r>
            <w:r w:rsidRPr="00F16B57">
              <w:rPr>
                <w:color w:val="auto"/>
              </w:rPr>
              <w:t xml:space="preserve"> </w:t>
            </w:r>
          </w:p>
          <w:p w:rsidR="00B506EE" w:rsidRPr="00F16B57">
            <w:pPr>
              <w:spacing w:after="123" w:line="257" w:lineRule="auto"/>
              <w:jc w:val="left"/>
              <w:rPr>
                <w:color w:val="auto"/>
              </w:rPr>
            </w:pPr>
            <w:r w:rsidRPr="00F16B57">
              <w:rPr>
                <w:b/>
                <w:color w:val="auto"/>
              </w:rPr>
              <w:t xml:space="preserve">Statement of intent 2: </w:t>
            </w:r>
            <w:r w:rsidRPr="00F16B57">
              <w:rPr>
                <w:color w:val="auto"/>
              </w:rPr>
              <w:t>Use person-centred approaches to ensure that transition support addresses all relevant outcomes, including those related to education and employment, community inclusion, health and wellbeing, including emotional health, independent living and housing options.</w:t>
            </w:r>
            <w:r>
              <w:fldChar w:fldCharType="begin"/>
            </w:r>
            <w:r>
              <w:instrText xml:space="preserve"> HYPERLINK "https://www.nice.org.uk/guidance/ng43/chapter/Recommendations" \l "transition-planning" </w:instrText>
            </w:r>
            <w:r>
              <w:fldChar w:fldCharType="separate"/>
            </w:r>
            <w:r w:rsidRPr="00F16B57">
              <w:rPr>
                <w:color w:val="auto"/>
              </w:rPr>
              <w:t xml:space="preserve"> </w:t>
            </w:r>
            <w:r>
              <w:fldChar w:fldCharType="end"/>
            </w:r>
            <w:r>
              <w:fldChar w:fldCharType="begin"/>
            </w:r>
            <w:r>
              <w:instrText xml:space="preserve"> HYPERLINK "https://www.nice.org.uk/guidance/ng43/chapter/Recommendations" \l "transition-planning" </w:instrText>
            </w:r>
            <w:r>
              <w:fldChar w:fldCharType="separate"/>
            </w:r>
            <w:r w:rsidRPr="00F16B57">
              <w:rPr>
                <w:color w:val="auto"/>
                <w:u w:val="single" w:color="467886"/>
              </w:rPr>
              <w:t>NICE NG43</w:t>
            </w:r>
            <w:r>
              <w:fldChar w:fldCharType="end"/>
            </w:r>
            <w:r>
              <w:fldChar w:fldCharType="begin"/>
            </w:r>
            <w:r>
              <w:instrText xml:space="preserve"> HYPERLINK "https://www.nice.org.uk/guidance/ng43/chapter/Recommendations" \l "transition-planning" </w:instrText>
            </w:r>
            <w:r>
              <w:fldChar w:fldCharType="separate"/>
            </w:r>
            <w:r w:rsidRPr="00F16B57">
              <w:rPr>
                <w:color w:val="auto"/>
                <w:u w:val="single" w:color="467886"/>
              </w:rPr>
              <w:t xml:space="preserve"> </w:t>
            </w:r>
            <w:r>
              <w:fldChar w:fldCharType="end"/>
            </w:r>
            <w:r>
              <w:fldChar w:fldCharType="begin"/>
            </w:r>
            <w:r>
              <w:instrText xml:space="preserve"> HYPERLINK "https://www.nice.org.uk/guidance/ng43/chapter/Recommendations" \l "transition-planning" </w:instrText>
            </w:r>
            <w:r>
              <w:fldChar w:fldCharType="separate"/>
            </w:r>
            <w:r w:rsidRPr="00F16B57">
              <w:rPr>
                <w:color w:val="auto"/>
                <w:u w:val="single" w:color="467886"/>
              </w:rPr>
              <w:t>(1.1.4)</w:t>
            </w:r>
            <w:r>
              <w:fldChar w:fldCharType="end"/>
            </w:r>
            <w:r>
              <w:fldChar w:fldCharType="begin"/>
            </w:r>
            <w:r>
              <w:instrText xml:space="preserve"> HYPERLINK "https://www.nice.org.uk/guidance/ng43/chapter/Recommendations" \l "transition-planning" </w:instrText>
            </w:r>
            <w:r>
              <w:fldChar w:fldCharType="separate"/>
            </w:r>
            <w:r w:rsidRPr="00F16B57">
              <w:rPr>
                <w:color w:val="auto"/>
              </w:rPr>
              <w:t xml:space="preserve"> </w:t>
            </w:r>
            <w:r>
              <w:fldChar w:fldCharType="end"/>
            </w:r>
            <w:r w:rsidRPr="00F16B57">
              <w:rPr>
                <w:color w:val="auto"/>
              </w:rPr>
              <w:t xml:space="preserve"> </w:t>
            </w:r>
          </w:p>
          <w:p w:rsidR="00B506EE" w:rsidRPr="00F16B57">
            <w:pPr>
              <w:spacing w:after="0" w:line="259" w:lineRule="auto"/>
              <w:jc w:val="left"/>
              <w:rPr>
                <w:color w:val="auto"/>
              </w:rPr>
            </w:pPr>
            <w:r w:rsidRPr="00F16B57">
              <w:rPr>
                <w:b/>
                <w:color w:val="auto"/>
              </w:rPr>
              <w:t>Statement of intent 3</w:t>
            </w:r>
            <w:r w:rsidRPr="00F16B57">
              <w:rPr>
                <w:color w:val="auto"/>
              </w:rPr>
              <w:t>: Local authorities are required to maintain a Pathway Plan for every eligible care leaver, setting out how the young person’s health needs- including mental health- will be met</w:t>
            </w:r>
            <w:r>
              <w:fldChar w:fldCharType="begin"/>
            </w:r>
            <w:r>
              <w:instrText xml:space="preserve"> HYPERLINK "https://www.legislation.gov.uk/ukpga/1989/41/contents" </w:instrText>
            </w:r>
            <w:r>
              <w:fldChar w:fldCharType="separate"/>
            </w:r>
            <w:r w:rsidRPr="00F16B57">
              <w:rPr>
                <w:color w:val="auto"/>
              </w:rPr>
              <w:t xml:space="preserve">. </w:t>
            </w:r>
            <w:r>
              <w:fldChar w:fldCharType="end"/>
            </w:r>
            <w:r>
              <w:fldChar w:fldCharType="begin"/>
            </w:r>
            <w:r>
              <w:instrText xml:space="preserve"> HYPERLINK "https://www.legislation.gov.uk/ukpga/1989/41/contents" </w:instrText>
            </w:r>
            <w:r>
              <w:fldChar w:fldCharType="separate"/>
            </w:r>
            <w:r w:rsidRPr="00F16B57">
              <w:rPr>
                <w:color w:val="auto"/>
                <w:u w:val="single" w:color="467886"/>
              </w:rPr>
              <w:t>Children Act</w:t>
            </w:r>
            <w:r>
              <w:fldChar w:fldCharType="end"/>
            </w:r>
            <w:r>
              <w:fldChar w:fldCharType="begin"/>
            </w:r>
            <w:r>
              <w:instrText xml:space="preserve"> HYPERLINK "https://www.legislation.gov.uk/ukpga/1989/41/contents" </w:instrText>
            </w:r>
            <w:r>
              <w:fldChar w:fldCharType="separate"/>
            </w:r>
            <w:r w:rsidRPr="00F16B57">
              <w:rPr>
                <w:color w:val="auto"/>
              </w:rPr>
              <w:t xml:space="preserve"> </w:t>
            </w:r>
            <w:r>
              <w:fldChar w:fldCharType="end"/>
            </w:r>
            <w:r>
              <w:fldChar w:fldCharType="begin"/>
            </w:r>
            <w:r>
              <w:instrText xml:space="preserve"> HYPERLINK "https://www.legislation.gov.uk/ukpga/1989/41/contents" </w:instrText>
            </w:r>
            <w:r>
              <w:fldChar w:fldCharType="separate"/>
            </w:r>
            <w:r w:rsidRPr="00F16B57">
              <w:rPr>
                <w:color w:val="auto"/>
                <w:u w:val="single" w:color="467886"/>
              </w:rPr>
              <w:t>1989</w:t>
            </w:r>
            <w:r>
              <w:fldChar w:fldCharType="end"/>
            </w:r>
            <w:r>
              <w:fldChar w:fldCharType="begin"/>
            </w:r>
            <w:r>
              <w:instrText xml:space="preserve"> HYPERLINK "https://www.legislation.gov.uk/ukpga/1989/41/contents" </w:instrText>
            </w:r>
            <w:r>
              <w:fldChar w:fldCharType="separate"/>
            </w:r>
            <w:r w:rsidRPr="00F16B57">
              <w:rPr>
                <w:color w:val="auto"/>
              </w:rPr>
              <w:t xml:space="preserve"> </w:t>
            </w:r>
            <w:r>
              <w:fldChar w:fldCharType="end"/>
            </w:r>
            <w:r w:rsidRPr="00F16B57">
              <w:rPr>
                <w:color w:val="auto"/>
              </w:rPr>
              <w:t>as amended by th</w:t>
            </w:r>
            <w:r>
              <w:fldChar w:fldCharType="begin"/>
            </w:r>
            <w:r>
              <w:instrText xml:space="preserve"> HYPERLINK "https://www.legislation.gov.uk/ukpga/2000/35/contents" </w:instrText>
            </w:r>
            <w:r>
              <w:fldChar w:fldCharType="separate"/>
            </w:r>
            <w:r w:rsidRPr="00F16B57">
              <w:rPr>
                <w:color w:val="auto"/>
              </w:rPr>
              <w:t xml:space="preserve">e </w:t>
            </w:r>
            <w:r>
              <w:fldChar w:fldCharType="end"/>
            </w:r>
            <w:r>
              <w:fldChar w:fldCharType="begin"/>
            </w:r>
            <w:r>
              <w:instrText xml:space="preserve"> HYPERLINK "https://www.legislation.gov.uk/ukpga/2000/35/contents" </w:instrText>
            </w:r>
            <w:r>
              <w:fldChar w:fldCharType="separate"/>
            </w:r>
            <w:r w:rsidRPr="00F16B57">
              <w:rPr>
                <w:color w:val="auto"/>
                <w:u w:val="single" w:color="467886"/>
              </w:rPr>
              <w:t>Children (Leaving Care) Act 2000</w:t>
            </w:r>
            <w:r>
              <w:fldChar w:fldCharType="end"/>
            </w:r>
            <w:r>
              <w:fldChar w:fldCharType="begin"/>
            </w:r>
            <w:r>
              <w:instrText xml:space="preserve"> HYPERLINK "https://www.legislation.gov.uk/ukpga/2000/35/contents" </w:instrText>
            </w:r>
            <w:r>
              <w:fldChar w:fldCharType="separate"/>
            </w:r>
            <w:r w:rsidRPr="00F16B57">
              <w:rPr>
                <w:color w:val="auto"/>
              </w:rPr>
              <w:t>.</w:t>
            </w:r>
            <w:r>
              <w:fldChar w:fldCharType="end"/>
            </w:r>
            <w:r w:rsidRPr="00F16B57">
              <w:rPr>
                <w:color w:val="auto"/>
              </w:rPr>
              <w:t xml:space="preserve"> </w:t>
            </w:r>
          </w:p>
        </w:tc>
      </w:tr>
      <w:tr>
        <w:tblPrEx>
          <w:tblW w:w="10495" w:type="dxa"/>
          <w:tblInd w:w="0" w:type="dxa"/>
          <w:tblCellMar>
            <w:left w:w="110" w:type="dxa"/>
            <w:right w:w="115" w:type="dxa"/>
          </w:tblCellMar>
          <w:tblLook w:val="04A0"/>
        </w:tblPrEx>
        <w:trPr>
          <w:trHeight w:val="550"/>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Resourcing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1. Are services sufficiently resourced to offer developmentally appropriate provisions, such as age-banded services, and how is this monitored? </w:t>
            </w:r>
          </w:p>
        </w:tc>
      </w:tr>
      <w:tr>
        <w:tblPrEx>
          <w:tblW w:w="10495" w:type="dxa"/>
          <w:tblInd w:w="0" w:type="dxa"/>
          <w:tblCellMar>
            <w:left w:w="110" w:type="dxa"/>
            <w:right w:w="115" w:type="dxa"/>
          </w:tblCellMar>
          <w:tblLook w:val="04A0"/>
        </w:tblPrEx>
        <w:trPr>
          <w:trHeight w:val="54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 </w:t>
            </w:r>
            <w:r w:rsidRPr="00F16B57">
              <w:rPr>
                <w:color w:val="auto"/>
              </w:rPr>
              <w:t xml:space="preserve">There are no specific age banded services. </w:t>
            </w:r>
            <w:r w:rsidRPr="00F16B57">
              <w:rPr>
                <w:color w:val="auto"/>
              </w:rPr>
              <w:t>However</w:t>
            </w:r>
            <w:r w:rsidRPr="00F16B57">
              <w:rPr>
                <w:color w:val="auto"/>
              </w:rPr>
              <w:t xml:space="preserve"> when providing a service to an individual, we look at the age appropriateness of the young person and ensure we consider the age appropriateness of that service and other young people within it. </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left w:w="110" w:type="dxa"/>
            <w:right w:w="115" w:type="dxa"/>
          </w:tblCellMar>
          <w:tblLook w:val="04A0"/>
        </w:tblPrEx>
        <w:trPr>
          <w:trHeight w:val="571"/>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2. Are services sufficiently resourced to assess need and provide support for the </w:t>
            </w:r>
            <w:r w:rsidRPr="00F16B57">
              <w:rPr>
                <w:color w:val="auto"/>
              </w:rPr>
              <w:t>crosssector</w:t>
            </w:r>
            <w:r w:rsidRPr="00F16B57">
              <w:rPr>
                <w:color w:val="auto"/>
              </w:rPr>
              <w:t xml:space="preserve"> outcomes listed i</w:t>
            </w:r>
            <w:r>
              <w:fldChar w:fldCharType="begin"/>
            </w:r>
            <w:r>
              <w:instrText xml:space="preserve"> HYPERLINK "https://www.nice.org.uk/guidance/ng43/chapter/Recommendations" \l "transition-planning" </w:instrText>
            </w:r>
            <w:r>
              <w:fldChar w:fldCharType="separate"/>
            </w:r>
            <w:r w:rsidRPr="00F16B57">
              <w:rPr>
                <w:color w:val="auto"/>
              </w:rPr>
              <w:t xml:space="preserve">n </w:t>
            </w:r>
            <w:r>
              <w:fldChar w:fldCharType="end"/>
            </w:r>
            <w:r>
              <w:fldChar w:fldCharType="begin"/>
            </w:r>
            <w:r>
              <w:instrText xml:space="preserve"> HYPERLINK "https://www.nice.org.uk/guidance/ng43/chapter/Recommendations" \l "transition-planning" </w:instrText>
            </w:r>
            <w:r>
              <w:fldChar w:fldCharType="separate"/>
            </w:r>
            <w:r w:rsidRPr="00F16B57">
              <w:rPr>
                <w:color w:val="auto"/>
                <w:u w:val="single" w:color="467886"/>
              </w:rPr>
              <w:t>NICE NG43</w:t>
            </w:r>
            <w:r>
              <w:fldChar w:fldCharType="end"/>
            </w:r>
            <w:r>
              <w:fldChar w:fldCharType="begin"/>
            </w:r>
            <w:r>
              <w:instrText xml:space="preserve"> HYPERLINK "https://www.nice.org.uk/guidance/ng43/chapter/Recommendations" \l "transition-planning" </w:instrText>
            </w:r>
            <w:r>
              <w:fldChar w:fldCharType="separate"/>
            </w:r>
            <w:r w:rsidRPr="00F16B57">
              <w:rPr>
                <w:color w:val="auto"/>
                <w:u w:val="single" w:color="467886"/>
              </w:rPr>
              <w:t xml:space="preserve"> </w:t>
            </w:r>
            <w:r>
              <w:fldChar w:fldCharType="end"/>
            </w:r>
            <w:r>
              <w:fldChar w:fldCharType="begin"/>
            </w:r>
            <w:r>
              <w:instrText xml:space="preserve"> HYPERLINK "https://www.nice.org.uk/guidance/ng43/chapter/Recommendations" \l "transition-planning" </w:instrText>
            </w:r>
            <w:r>
              <w:fldChar w:fldCharType="separate"/>
            </w:r>
            <w:r w:rsidRPr="00F16B57">
              <w:rPr>
                <w:color w:val="auto"/>
                <w:u w:val="single" w:color="467886"/>
              </w:rPr>
              <w:t>(1.1.4)</w:t>
            </w:r>
            <w:r>
              <w:fldChar w:fldCharType="end"/>
            </w:r>
            <w:r>
              <w:fldChar w:fldCharType="begin"/>
            </w:r>
            <w:r>
              <w:instrText xml:space="preserve"> HYPERLINK "https://www.nice.org.uk/guidance/ng43/chapter/Recommendations" \l "transition-planning" </w:instrText>
            </w:r>
            <w:r>
              <w:fldChar w:fldCharType="separate"/>
            </w:r>
            <w:r w:rsidRPr="00F16B57">
              <w:rPr>
                <w:color w:val="auto"/>
                <w:sz w:val="24"/>
              </w:rPr>
              <w:t>?</w:t>
            </w:r>
            <w:r>
              <w:fldChar w:fldCharType="end"/>
            </w:r>
            <w:r w:rsidRPr="00F16B57">
              <w:rPr>
                <w:color w:val="auto"/>
              </w:rPr>
              <w:t xml:space="preserve"> </w:t>
            </w:r>
          </w:p>
        </w:tc>
      </w:tr>
      <w:tr>
        <w:tblPrEx>
          <w:tblW w:w="10495" w:type="dxa"/>
          <w:tblInd w:w="0" w:type="dxa"/>
          <w:tblCellMar>
            <w:left w:w="110" w:type="dxa"/>
            <w:right w:w="115" w:type="dxa"/>
          </w:tblCellMar>
          <w:tblLook w:val="04A0"/>
        </w:tblPrEx>
        <w:trPr>
          <w:trHeight w:val="550"/>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 </w:t>
            </w:r>
            <w:r w:rsidRPr="00F16B57">
              <w:rPr>
                <w:color w:val="auto"/>
              </w:rPr>
              <w:t xml:space="preserve">Where young people are allocated the </w:t>
            </w:r>
            <w:r w:rsidRPr="00F16B57">
              <w:rPr>
                <w:color w:val="auto"/>
              </w:rPr>
              <w:t>cross sector</w:t>
            </w:r>
            <w:r w:rsidRPr="00F16B57">
              <w:rPr>
                <w:color w:val="auto"/>
              </w:rPr>
              <w:t xml:space="preserve"> outcomes are met, however additional resource would help with more timely allocations for young people and their families and lead to better outcomes as more time could be spent engaging with young people and their families. </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left w:w="110" w:type="dxa"/>
            <w:right w:w="115" w:type="dxa"/>
          </w:tblCellMar>
          <w:tblLook w:val="04A0"/>
        </w:tblPrEx>
        <w:trPr>
          <w:trHeight w:val="815"/>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Effectiveness and implementation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1. What methods of delivering person-centred transition support have been effective in improving outcomes across the areas listed in statement of intent 2? Are there any methods that have been ineffective and have been discontinued as a result? </w:t>
            </w:r>
          </w:p>
        </w:tc>
      </w:tr>
      <w:tr>
        <w:tblPrEx>
          <w:tblW w:w="10495" w:type="dxa"/>
          <w:tblInd w:w="0" w:type="dxa"/>
          <w:tblCellMar>
            <w:left w:w="110" w:type="dxa"/>
            <w:right w:w="115" w:type="dxa"/>
          </w:tblCellMar>
          <w:tblLook w:val="04A0"/>
        </w:tblPrEx>
        <w:trPr>
          <w:trHeight w:val="59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sz w:val="24"/>
              </w:rPr>
            </w:pPr>
            <w:r w:rsidRPr="00F16B57">
              <w:rPr>
                <w:color w:val="auto"/>
                <w:sz w:val="24"/>
              </w:rPr>
              <w:t xml:space="preserve">Joint work and visits by the children and adult worker have been effective. </w:t>
            </w:r>
          </w:p>
          <w:p w:rsidR="00B506EE" w:rsidRPr="00F16B57">
            <w:pPr>
              <w:spacing w:after="0" w:line="259" w:lineRule="auto"/>
              <w:jc w:val="left"/>
              <w:rPr>
                <w:color w:val="auto"/>
                <w:sz w:val="24"/>
              </w:rPr>
            </w:pPr>
            <w:r w:rsidRPr="00F16B57">
              <w:rPr>
                <w:color w:val="auto"/>
                <w:sz w:val="24"/>
              </w:rPr>
              <w:t>Regular MDT and early planning across agencies and the IT systems that communicate with each other have been effective</w:t>
            </w:r>
          </w:p>
          <w:p w:rsidR="00B506EE" w:rsidRPr="00F16B57">
            <w:pPr>
              <w:spacing w:after="0" w:line="259" w:lineRule="auto"/>
              <w:jc w:val="left"/>
              <w:rPr>
                <w:color w:val="auto"/>
              </w:rPr>
            </w:pPr>
            <w:r w:rsidRPr="00F16B57">
              <w:rPr>
                <w:color w:val="auto"/>
              </w:rPr>
              <w:t>Regular communication has helped build positive relationships across the agencies that has been effective in ensuring family and young person engagement</w:t>
            </w:r>
          </w:p>
          <w:p w:rsidR="00B506EE" w:rsidRPr="00F16B57">
            <w:pPr>
              <w:spacing w:after="0" w:line="259" w:lineRule="auto"/>
              <w:jc w:val="left"/>
              <w:rPr>
                <w:color w:val="auto"/>
              </w:rPr>
            </w:pPr>
            <w:r w:rsidRPr="00F16B57">
              <w:rPr>
                <w:color w:val="auto"/>
              </w:rPr>
              <w:t>Establishing a transitions lead for each agency has been effective</w:t>
            </w:r>
          </w:p>
          <w:p w:rsidR="00B506EE" w:rsidRPr="00F16B57">
            <w:pPr>
              <w:spacing w:after="0" w:line="259" w:lineRule="auto"/>
              <w:jc w:val="left"/>
              <w:rPr>
                <w:color w:val="auto"/>
              </w:rPr>
            </w:pPr>
            <w:r w:rsidRPr="00F16B57">
              <w:rPr>
                <w:color w:val="auto"/>
                <w:sz w:val="24"/>
              </w:rPr>
              <w:t xml:space="preserve"> </w:t>
            </w:r>
          </w:p>
        </w:tc>
      </w:tr>
      <w:tr>
        <w:tblPrEx>
          <w:tblW w:w="10495" w:type="dxa"/>
          <w:tblInd w:w="0" w:type="dxa"/>
          <w:tblCellMar>
            <w:left w:w="110" w:type="dxa"/>
            <w:right w:w="115" w:type="dxa"/>
          </w:tblCellMar>
          <w:tblLook w:val="04A0"/>
        </w:tblPrEx>
        <w:trPr>
          <w:trHeight w:val="108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2. What methods of service design and delivery have been effective in ensuring that transition provision is developmentally appropriate, including being responsive to young people’s developmental stage, maturity and readiness for independence? Are there any </w:t>
            </w:r>
            <w:r w:rsidRPr="00F16B57">
              <w:rPr>
                <w:color w:val="auto"/>
              </w:rPr>
              <w:t>particular methods</w:t>
            </w:r>
            <w:r w:rsidRPr="00F16B57">
              <w:rPr>
                <w:color w:val="auto"/>
              </w:rPr>
              <w:t xml:space="preserve"> of service design which have been ineffective and discontinued? </w:t>
            </w:r>
          </w:p>
        </w:tc>
      </w:tr>
      <w:tr>
        <w:tblPrEx>
          <w:tblW w:w="10495" w:type="dxa"/>
          <w:tblInd w:w="0" w:type="dxa"/>
          <w:tblCellMar>
            <w:left w:w="110" w:type="dxa"/>
            <w:right w:w="115" w:type="dxa"/>
          </w:tblCellMar>
          <w:tblLook w:val="04A0"/>
        </w:tblPrEx>
        <w:trPr>
          <w:trHeight w:val="546"/>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 </w:t>
            </w:r>
            <w:r w:rsidRPr="00F16B57">
              <w:rPr>
                <w:color w:val="auto"/>
              </w:rPr>
              <w:t xml:space="preserve">Creation of the MDT has been key to ensuring transition provision is responsive at the right age for the young person </w:t>
            </w:r>
          </w:p>
          <w:p w:rsidR="00B506EE" w:rsidRPr="00F16B57">
            <w:pPr>
              <w:spacing w:after="0" w:line="259" w:lineRule="auto"/>
              <w:jc w:val="left"/>
              <w:rPr>
                <w:color w:val="auto"/>
              </w:rPr>
            </w:pPr>
            <w:r w:rsidRPr="00F16B57">
              <w:rPr>
                <w:color w:val="auto"/>
              </w:rPr>
              <w:t>Working with schools to support with early identification and work with the sexual health clinics to deliver training has supported with developmentally appropriate responses</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left w:w="110" w:type="dxa"/>
            <w:right w:w="115" w:type="dxa"/>
          </w:tblCellMar>
          <w:tblLook w:val="04A0"/>
        </w:tblPrEx>
        <w:trPr>
          <w:trHeight w:val="820"/>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3. To what extent are local authorities fulfilling their duty to provide ‘Pathway Plans’ for children in care as they approach adulthood, in accordance with the </w:t>
            </w:r>
            <w:r>
              <w:fldChar w:fldCharType="begin"/>
            </w:r>
            <w:r>
              <w:instrText xml:space="preserve"> HYPERLINK "https://www.legislation.gov.uk/uksi/2010/2571/made" </w:instrText>
            </w:r>
            <w:r>
              <w:fldChar w:fldCharType="separate"/>
            </w:r>
            <w:r w:rsidRPr="00F16B57">
              <w:rPr>
                <w:color w:val="auto"/>
                <w:u w:val="single" w:color="467886"/>
              </w:rPr>
              <w:t>Care Leavers</w:t>
            </w:r>
            <w:r>
              <w:fldChar w:fldCharType="end"/>
            </w:r>
            <w:r>
              <w:fldChar w:fldCharType="begin"/>
            </w:r>
            <w:r>
              <w:instrText xml:space="preserve"> HYPERLINK "https://www.legislation.gov.uk/uksi/2010/2571/made" </w:instrText>
            </w:r>
            <w:r>
              <w:fldChar w:fldCharType="separate"/>
            </w:r>
            <w:r w:rsidRPr="00F16B57">
              <w:rPr>
                <w:color w:val="auto"/>
              </w:rPr>
              <w:t xml:space="preserve"> </w:t>
            </w:r>
            <w:r>
              <w:fldChar w:fldCharType="end"/>
            </w:r>
            <w:r>
              <w:fldChar w:fldCharType="begin"/>
            </w:r>
            <w:r>
              <w:instrText xml:space="preserve"> HYPERLINK "https://www.legislation.gov.uk/uksi/2010/2571/made" </w:instrText>
            </w:r>
            <w:r>
              <w:fldChar w:fldCharType="separate"/>
            </w:r>
            <w:r w:rsidRPr="00F16B57">
              <w:rPr>
                <w:color w:val="auto"/>
                <w:u w:val="single" w:color="467886"/>
              </w:rPr>
              <w:t>(England) Regulations 2010</w:t>
            </w:r>
            <w:r>
              <w:fldChar w:fldCharType="end"/>
            </w:r>
            <w:r>
              <w:fldChar w:fldCharType="begin"/>
            </w:r>
            <w:r>
              <w:instrText xml:space="preserve"> HYPERLINK "https://www.legislation.gov.uk/uksi/2010/2571/made" </w:instrText>
            </w:r>
            <w:r>
              <w:fldChar w:fldCharType="separate"/>
            </w:r>
            <w:r w:rsidRPr="00F16B57">
              <w:rPr>
                <w:color w:val="auto"/>
              </w:rPr>
              <w:t>?</w:t>
            </w:r>
            <w:r>
              <w:fldChar w:fldCharType="end"/>
            </w:r>
            <w:r w:rsidRPr="00F16B57">
              <w:rPr>
                <w:color w:val="auto"/>
              </w:rPr>
              <w:t xml:space="preserve"> How is this monitored? </w:t>
            </w:r>
          </w:p>
        </w:tc>
      </w:tr>
      <w:tr>
        <w:tblPrEx>
          <w:tblW w:w="10495" w:type="dxa"/>
          <w:tblInd w:w="0" w:type="dxa"/>
          <w:tblCellMar>
            <w:left w:w="110" w:type="dxa"/>
            <w:right w:w="115" w:type="dxa"/>
          </w:tblCellMar>
          <w:tblLook w:val="04A0"/>
        </w:tblPrEx>
        <w:trPr>
          <w:trHeight w:val="54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 </w:t>
            </w:r>
            <w:r w:rsidRPr="00F16B57">
              <w:rPr>
                <w:color w:val="auto"/>
              </w:rPr>
              <w:t xml:space="preserve">This is mainly met and monitored regularly </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left w:w="110" w:type="dxa"/>
            <w:right w:w="115" w:type="dxa"/>
          </w:tblCellMar>
          <w:tblLook w:val="04A0"/>
        </w:tblPrEx>
        <w:trPr>
          <w:trHeight w:val="545"/>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Impact and outcomes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rPr>
                <w:color w:val="auto"/>
              </w:rPr>
            </w:pPr>
            <w:r w:rsidRPr="00F16B57">
              <w:rPr>
                <w:color w:val="auto"/>
              </w:rPr>
              <w:t xml:space="preserve">1. What evidence is there that developmentally appropriate transition support improves safety and independence-related outcomes after entry to adult services? </w:t>
            </w:r>
          </w:p>
        </w:tc>
      </w:tr>
      <w:tr>
        <w:tblPrEx>
          <w:tblW w:w="10495" w:type="dxa"/>
          <w:tblInd w:w="0" w:type="dxa"/>
          <w:tblCellMar>
            <w:left w:w="110" w:type="dxa"/>
            <w:right w:w="115" w:type="dxa"/>
          </w:tblCellMar>
          <w:tblLook w:val="04A0"/>
        </w:tblPrEx>
        <w:trPr>
          <w:trHeight w:val="30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 </w:t>
            </w:r>
          </w:p>
        </w:tc>
      </w:tr>
      <w:tr>
        <w:tblPrEx>
          <w:tblW w:w="10495" w:type="dxa"/>
          <w:tblInd w:w="0" w:type="dxa"/>
          <w:tblCellMar>
            <w:left w:w="110" w:type="dxa"/>
            <w:right w:w="115" w:type="dxa"/>
          </w:tblCellMar>
          <w:tblLook w:val="04A0"/>
        </w:tblPrEx>
        <w:trPr>
          <w:trHeight w:val="305"/>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 </w:t>
            </w:r>
          </w:p>
        </w:tc>
      </w:tr>
      <w:tr>
        <w:tblPrEx>
          <w:tblW w:w="10495" w:type="dxa"/>
          <w:tblInd w:w="0" w:type="dxa"/>
          <w:tblCellMar>
            <w:left w:w="110" w:type="dxa"/>
            <w:right w:w="115" w:type="dxa"/>
          </w:tblCellMar>
          <w:tblLook w:val="04A0"/>
        </w:tblPrEx>
        <w:trPr>
          <w:trHeight w:val="81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2. Across education and employment, community inclusion, health and wellbeing, independent living and housing options, are there areas which require more or better guidance to enable effective transition? </w:t>
            </w:r>
            <w:r w:rsidRPr="00F16B57">
              <w:rPr>
                <w:color w:val="auto"/>
                <w:sz w:val="24"/>
              </w:rPr>
              <w:t xml:space="preserve"> </w:t>
            </w:r>
          </w:p>
        </w:tc>
      </w:tr>
      <w:tr>
        <w:tblPrEx>
          <w:tblW w:w="10495" w:type="dxa"/>
          <w:tblInd w:w="0" w:type="dxa"/>
          <w:tblCellMar>
            <w:left w:w="110" w:type="dxa"/>
            <w:right w:w="115" w:type="dxa"/>
          </w:tblCellMar>
          <w:tblLook w:val="04A0"/>
        </w:tblPrEx>
        <w:trPr>
          <w:trHeight w:val="550"/>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 </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left w:w="110" w:type="dxa"/>
            <w:right w:w="115" w:type="dxa"/>
          </w:tblCellMar>
          <w:tblLook w:val="04A0"/>
        </w:tblPrEx>
        <w:trPr>
          <w:trHeight w:val="816"/>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3. What evidence is there that the use of ‘Pathway Plans’ improves care leavers' access to appropriate health and mental health support and contributes to better outcomes in adult life? </w:t>
            </w:r>
            <w:r w:rsidRPr="00F16B57">
              <w:rPr>
                <w:color w:val="auto"/>
                <w:sz w:val="24"/>
              </w:rPr>
              <w:t xml:space="preserve"> </w:t>
            </w:r>
          </w:p>
        </w:tc>
      </w:tr>
      <w:tr>
        <w:tblPrEx>
          <w:tblW w:w="10495" w:type="dxa"/>
          <w:tblInd w:w="0" w:type="dxa"/>
          <w:tblCellMar>
            <w:left w:w="110" w:type="dxa"/>
            <w:right w:w="115" w:type="dxa"/>
          </w:tblCellMar>
          <w:tblLook w:val="04A0"/>
        </w:tblPrEx>
        <w:trPr>
          <w:trHeight w:val="59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 </w:t>
            </w:r>
            <w:r w:rsidRPr="00F16B57">
              <w:rPr>
                <w:color w:val="auto"/>
                <w:sz w:val="24"/>
              </w:rPr>
              <w:t>The pathway plans can make a difference when completed well</w:t>
            </w:r>
          </w:p>
          <w:p w:rsidR="00B506EE" w:rsidRPr="00F16B57">
            <w:pPr>
              <w:spacing w:after="0" w:line="259" w:lineRule="auto"/>
              <w:jc w:val="left"/>
              <w:rPr>
                <w:color w:val="auto"/>
              </w:rPr>
            </w:pPr>
            <w:r w:rsidRPr="00F16B57">
              <w:rPr>
                <w:color w:val="auto"/>
                <w:sz w:val="24"/>
              </w:rPr>
              <w:t xml:space="preserve"> </w:t>
            </w:r>
          </w:p>
        </w:tc>
      </w:tr>
      <w:tr>
        <w:tblPrEx>
          <w:tblW w:w="10495" w:type="dxa"/>
          <w:tblInd w:w="0" w:type="dxa"/>
          <w:tblCellMar>
            <w:left w:w="110" w:type="dxa"/>
            <w:right w:w="115" w:type="dxa"/>
          </w:tblCellMar>
          <w:tblLook w:val="04A0"/>
        </w:tblPrEx>
        <w:trPr>
          <w:trHeight w:val="280"/>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4. What are the consequences when transition support is absent or inconsistent?</w:t>
            </w:r>
            <w:r w:rsidRPr="00F16B57">
              <w:rPr>
                <w:color w:val="auto"/>
                <w:sz w:val="24"/>
              </w:rPr>
              <w:t xml:space="preserve"> </w:t>
            </w:r>
          </w:p>
        </w:tc>
      </w:tr>
      <w:tr>
        <w:tblPrEx>
          <w:tblW w:w="10495" w:type="dxa"/>
          <w:tblInd w:w="0" w:type="dxa"/>
          <w:tblCellMar>
            <w:left w:w="110" w:type="dxa"/>
            <w:right w:w="115" w:type="dxa"/>
          </w:tblCellMar>
          <w:tblLook w:val="04A0"/>
        </w:tblPrEx>
        <w:trPr>
          <w:trHeight w:val="54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 </w:t>
            </w:r>
            <w:r w:rsidRPr="00F16B57">
              <w:rPr>
                <w:color w:val="auto"/>
              </w:rPr>
              <w:t>Increased risk to young person as they move into adulthood, including unmet need, carer breakdown and hospital admission.</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left w:w="110" w:type="dxa"/>
            <w:right w:w="115" w:type="dxa"/>
          </w:tblCellMar>
          <w:tblLook w:val="04A0"/>
        </w:tblPrEx>
        <w:trPr>
          <w:trHeight w:val="815"/>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Appropriateness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1. How far are current approaches to promoting independence tailored to </w:t>
            </w:r>
          </w:p>
          <w:p w:rsidR="00B506EE" w:rsidRPr="00F16B57">
            <w:pPr>
              <w:spacing w:after="0" w:line="259" w:lineRule="auto"/>
              <w:jc w:val="left"/>
              <w:rPr>
                <w:color w:val="auto"/>
              </w:rPr>
            </w:pPr>
            <w:r w:rsidRPr="00F16B57">
              <w:rPr>
                <w:color w:val="auto"/>
              </w:rPr>
              <w:t xml:space="preserve">developmental stage and individual circumstances, compared to standard age-based assumptions? </w:t>
            </w:r>
          </w:p>
        </w:tc>
      </w:tr>
      <w:tr>
        <w:tblPrEx>
          <w:tblW w:w="10495" w:type="dxa"/>
          <w:tblInd w:w="0" w:type="dxa"/>
          <w:tblCellMar>
            <w:left w:w="110" w:type="dxa"/>
            <w:right w:w="115" w:type="dxa"/>
          </w:tblCellMar>
          <w:tblLook w:val="04A0"/>
        </w:tblPrEx>
        <w:trPr>
          <w:trHeight w:val="59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sz w:val="24"/>
              </w:rPr>
            </w:pPr>
            <w:r w:rsidRPr="00F16B57">
              <w:rPr>
                <w:color w:val="auto"/>
                <w:sz w:val="24"/>
              </w:rPr>
              <w:t xml:space="preserve">Sex education can be poor in this </w:t>
            </w:r>
            <w:r w:rsidRPr="00F16B57">
              <w:rPr>
                <w:color w:val="auto"/>
                <w:sz w:val="24"/>
              </w:rPr>
              <w:t>area,</w:t>
            </w:r>
            <w:r w:rsidRPr="00F16B57">
              <w:rPr>
                <w:color w:val="auto"/>
                <w:sz w:val="24"/>
              </w:rPr>
              <w:t xml:space="preserve"> other areas are tailored to meet the individual circumstances. </w:t>
            </w:r>
          </w:p>
          <w:p w:rsidR="00B506EE" w:rsidRPr="00F16B57">
            <w:pPr>
              <w:spacing w:after="0" w:line="259" w:lineRule="auto"/>
              <w:jc w:val="left"/>
              <w:rPr>
                <w:color w:val="auto"/>
              </w:rPr>
            </w:pPr>
            <w:r w:rsidRPr="00F16B57">
              <w:rPr>
                <w:color w:val="auto"/>
              </w:rPr>
              <w:t xml:space="preserve">Reasonable adjustments are made throughout the </w:t>
            </w:r>
            <w:r w:rsidRPr="00F16B57">
              <w:rPr>
                <w:color w:val="auto"/>
              </w:rPr>
              <w:t>persons</w:t>
            </w:r>
            <w:r w:rsidRPr="00F16B57">
              <w:rPr>
                <w:color w:val="auto"/>
              </w:rPr>
              <w:t xml:space="preserve"> support</w:t>
            </w:r>
          </w:p>
          <w:p w:rsidR="00B506EE" w:rsidRPr="00F16B57">
            <w:pPr>
              <w:spacing w:after="0" w:line="259" w:lineRule="auto"/>
              <w:jc w:val="left"/>
              <w:rPr>
                <w:color w:val="auto"/>
              </w:rPr>
            </w:pPr>
            <w:r w:rsidRPr="00F16B57">
              <w:rPr>
                <w:color w:val="auto"/>
                <w:sz w:val="24"/>
              </w:rPr>
              <w:t xml:space="preserve"> </w:t>
            </w:r>
          </w:p>
        </w:tc>
      </w:tr>
      <w:tr>
        <w:tblPrEx>
          <w:tblW w:w="10495" w:type="dxa"/>
          <w:tblInd w:w="0" w:type="dxa"/>
          <w:tblCellMar>
            <w:left w:w="110" w:type="dxa"/>
            <w:right w:w="115" w:type="dxa"/>
          </w:tblCellMar>
          <w:tblLook w:val="04A0"/>
        </w:tblPrEx>
        <w:trPr>
          <w:trHeight w:val="550"/>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2. How is the model of independence appropriately adapted for young people who will continue to require substantial support in adult life? </w:t>
            </w:r>
          </w:p>
        </w:tc>
      </w:tr>
      <w:tr>
        <w:tblPrEx>
          <w:tblW w:w="10495" w:type="dxa"/>
          <w:tblInd w:w="0" w:type="dxa"/>
          <w:tblCellMar>
            <w:left w:w="110" w:type="dxa"/>
            <w:right w:w="115" w:type="dxa"/>
          </w:tblCellMar>
          <w:tblLook w:val="04A0"/>
        </w:tblPrEx>
        <w:trPr>
          <w:trHeight w:val="54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 </w:t>
            </w:r>
            <w:r w:rsidRPr="00F16B57">
              <w:rPr>
                <w:color w:val="auto"/>
              </w:rPr>
              <w:t>Outcome focused commissioning and tailored to the individual</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left w:w="110" w:type="dxa"/>
            <w:right w:w="115" w:type="dxa"/>
          </w:tblCellMar>
          <w:tblLook w:val="04A0"/>
        </w:tblPrEx>
        <w:trPr>
          <w:trHeight w:val="550"/>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Equality and diversity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1. How far do services adapt support for independence to the differing needs and circumstances of distinct groups of young people?  </w:t>
            </w:r>
          </w:p>
        </w:tc>
      </w:tr>
      <w:tr>
        <w:tblPrEx>
          <w:tblW w:w="10495" w:type="dxa"/>
          <w:tblInd w:w="0" w:type="dxa"/>
          <w:tblCellMar>
            <w:left w:w="110" w:type="dxa"/>
            <w:right w:w="115" w:type="dxa"/>
          </w:tblCellMar>
          <w:tblLook w:val="04A0"/>
        </w:tblPrEx>
        <w:trPr>
          <w:trHeight w:val="59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 </w:t>
            </w:r>
            <w:r w:rsidRPr="00F16B57">
              <w:rPr>
                <w:color w:val="auto"/>
                <w:sz w:val="24"/>
              </w:rPr>
              <w:t>Services do adapt well based on the profile of the group of the young people they are working with</w:t>
            </w:r>
          </w:p>
          <w:p w:rsidR="00B506EE" w:rsidRPr="00F16B57">
            <w:pPr>
              <w:spacing w:after="0" w:line="259" w:lineRule="auto"/>
              <w:jc w:val="left"/>
              <w:rPr>
                <w:color w:val="auto"/>
              </w:rPr>
            </w:pPr>
            <w:r w:rsidRPr="00F16B57">
              <w:rPr>
                <w:color w:val="auto"/>
                <w:sz w:val="24"/>
              </w:rPr>
              <w:t xml:space="preserve"> </w:t>
            </w:r>
          </w:p>
        </w:tc>
      </w:tr>
      <w:tr>
        <w:tblPrEx>
          <w:tblW w:w="10495" w:type="dxa"/>
          <w:tblInd w:w="0" w:type="dxa"/>
          <w:tblCellMar>
            <w:left w:w="110" w:type="dxa"/>
            <w:right w:w="115" w:type="dxa"/>
          </w:tblCellMar>
          <w:tblLook w:val="04A0"/>
        </w:tblPrEx>
        <w:trPr>
          <w:trHeight w:val="546"/>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2. What evidence is there that some groups are less likely to receive appropriate or sufficiently ambitious support for independence, and why? </w:t>
            </w:r>
          </w:p>
        </w:tc>
      </w:tr>
      <w:tr>
        <w:tblPrEx>
          <w:tblW w:w="10495" w:type="dxa"/>
          <w:tblInd w:w="0" w:type="dxa"/>
          <w:tblCellMar>
            <w:left w:w="110" w:type="dxa"/>
            <w:right w:w="115" w:type="dxa"/>
          </w:tblCellMar>
          <w:tblLook w:val="04A0"/>
        </w:tblPrEx>
        <w:trPr>
          <w:trHeight w:val="59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 </w:t>
            </w:r>
            <w:r w:rsidRPr="00F16B57">
              <w:rPr>
                <w:color w:val="auto"/>
                <w:sz w:val="24"/>
              </w:rPr>
              <w:t>We have no evidence to support this</w:t>
            </w:r>
          </w:p>
          <w:p w:rsidR="00B506EE" w:rsidRPr="00F16B57">
            <w:pPr>
              <w:spacing w:after="0" w:line="259" w:lineRule="auto"/>
              <w:jc w:val="left"/>
              <w:rPr>
                <w:color w:val="auto"/>
              </w:rPr>
            </w:pPr>
            <w:r w:rsidRPr="00F16B57">
              <w:rPr>
                <w:color w:val="auto"/>
                <w:sz w:val="24"/>
              </w:rPr>
              <w:t xml:space="preserve"> </w:t>
            </w:r>
          </w:p>
        </w:tc>
      </w:tr>
    </w:tbl>
    <w:p w:rsidR="00B506EE" w:rsidRPr="00F16B57">
      <w:pPr>
        <w:spacing w:after="184" w:line="259" w:lineRule="auto"/>
        <w:ind w:left="710"/>
        <w:rPr>
          <w:color w:val="auto"/>
        </w:rPr>
      </w:pPr>
      <w:r w:rsidRPr="00F16B57">
        <w:rPr>
          <w:color w:val="auto"/>
          <w:sz w:val="24"/>
        </w:rPr>
        <w:t xml:space="preserve"> </w:t>
      </w:r>
    </w:p>
    <w:p w:rsidR="00B506EE" w:rsidRPr="00F16B57">
      <w:pPr>
        <w:spacing w:after="0" w:line="259" w:lineRule="auto"/>
        <w:ind w:left="710"/>
        <w:rPr>
          <w:color w:val="auto"/>
        </w:rPr>
      </w:pPr>
      <w:r w:rsidRPr="00F16B57">
        <w:rPr>
          <w:color w:val="auto"/>
          <w:sz w:val="24"/>
        </w:rPr>
        <w:t xml:space="preserve"> </w:t>
      </w:r>
    </w:p>
    <w:tbl>
      <w:tblPr>
        <w:tblStyle w:val="TableGrid"/>
        <w:tblW w:w="10495" w:type="dxa"/>
        <w:tblInd w:w="0" w:type="dxa"/>
        <w:tblCellMar>
          <w:left w:w="110" w:type="dxa"/>
          <w:right w:w="73" w:type="dxa"/>
        </w:tblCellMar>
        <w:tblLook w:val="04A0"/>
      </w:tblPr>
      <w:tblGrid>
        <w:gridCol w:w="1986"/>
        <w:gridCol w:w="8509"/>
      </w:tblGrid>
      <w:tr>
        <w:tblPrEx>
          <w:tblW w:w="10495" w:type="dxa"/>
          <w:tblInd w:w="0" w:type="dxa"/>
          <w:tblCellMar>
            <w:left w:w="110" w:type="dxa"/>
            <w:right w:w="73" w:type="dxa"/>
          </w:tblCellMar>
          <w:tblLook w:val="04A0"/>
        </w:tblPrEx>
        <w:trPr>
          <w:trHeight w:val="595"/>
        </w:trPr>
        <w:tc>
          <w:tcPr>
            <w:tcW w:w="10495" w:type="dxa"/>
            <w:gridSpan w:val="2"/>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4"/>
              </w:rPr>
              <w:t xml:space="preserve">FOCUS AREA 6  </w:t>
            </w:r>
          </w:p>
          <w:p w:rsidR="00B506EE" w:rsidRPr="00F16B57">
            <w:pPr>
              <w:spacing w:after="0" w:line="259" w:lineRule="auto"/>
              <w:jc w:val="left"/>
              <w:rPr>
                <w:color w:val="auto"/>
              </w:rPr>
            </w:pPr>
            <w:r w:rsidRPr="00F16B57">
              <w:rPr>
                <w:b/>
                <w:color w:val="auto"/>
                <w:sz w:val="24"/>
              </w:rPr>
              <w:t xml:space="preserve">PROMOTING EQUITY ACROSS THE TRANSITION </w:t>
            </w:r>
          </w:p>
        </w:tc>
      </w:tr>
      <w:tr>
        <w:tblPrEx>
          <w:tblW w:w="10495" w:type="dxa"/>
          <w:tblInd w:w="0" w:type="dxa"/>
          <w:tblCellMar>
            <w:left w:w="110" w:type="dxa"/>
            <w:right w:w="73" w:type="dxa"/>
          </w:tblCellMar>
          <w:tblLook w:val="04A0"/>
        </w:tblPrEx>
        <w:trPr>
          <w:trHeight w:val="2636"/>
        </w:trPr>
        <w:tc>
          <w:tcPr>
            <w:tcW w:w="10495" w:type="dxa"/>
            <w:gridSpan w:val="2"/>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rPr>
              <w:t>Statement of intent 1</w:t>
            </w:r>
            <w:r w:rsidRPr="00F16B57">
              <w:rPr>
                <w:color w:val="auto"/>
              </w:rPr>
              <w:t>: The service provides publicity material specifically on transition to adult services that is accessible for everyone such as in different languages or for young people with or without disabilities. This is youth-</w:t>
            </w:r>
            <w:r w:rsidRPr="00F16B57">
              <w:rPr>
                <w:color w:val="auto"/>
              </w:rPr>
              <w:t>friendly, and</w:t>
            </w:r>
            <w:r w:rsidRPr="00F16B57">
              <w:rPr>
                <w:color w:val="auto"/>
              </w:rPr>
              <w:t xml:space="preserve"> uses age-appropriate language and images for the age and ability of the young person. </w:t>
            </w:r>
          </w:p>
          <w:p w:rsidR="00B506EE" w:rsidRPr="00F16B57">
            <w:pPr>
              <w:spacing w:after="120" w:line="259" w:lineRule="auto"/>
              <w:jc w:val="left"/>
              <w:rPr>
                <w:color w:val="auto"/>
              </w:rPr>
            </w:pPr>
            <w:r>
              <w:fldChar w:fldCharType="begin"/>
            </w:r>
            <w:r>
              <w:instrText xml:space="preserve"> HYPERLINK "https://www.gov.uk/government/publications/establishing-youth-friendly-health-and-care-services/youre-welcome-establishing-youth-friendly-health-and-care-services" \l "standard-8-supporting-young-peoples-changing-needs" </w:instrText>
            </w:r>
            <w:r>
              <w:fldChar w:fldCharType="separate"/>
            </w:r>
            <w:r w:rsidRPr="00F16B57">
              <w:rPr>
                <w:color w:val="auto"/>
                <w:u w:val="single" w:color="467886"/>
              </w:rPr>
              <w:t>OHID You’re Welcome (8, 2023)</w:t>
            </w:r>
            <w:r>
              <w:fldChar w:fldCharType="end"/>
            </w:r>
            <w:r>
              <w:fldChar w:fldCharType="begin"/>
            </w:r>
            <w:r>
              <w:instrText xml:space="preserve"> HYPERLINK "https://www.gov.uk/government/publications/establishing-youth-friendly-health-and-care-services/youre-welcome-establishing-youth-friendly-health-and-care-services" \l "standard-8-supporting-young-peoples-changing-needs" </w:instrText>
            </w:r>
            <w:r>
              <w:fldChar w:fldCharType="separate"/>
            </w:r>
            <w:r w:rsidRPr="00F16B57">
              <w:rPr>
                <w:color w:val="auto"/>
              </w:rPr>
              <w:t xml:space="preserve"> </w:t>
            </w:r>
            <w:r>
              <w:fldChar w:fldCharType="end"/>
            </w:r>
          </w:p>
          <w:p w:rsidR="00B506EE" w:rsidRPr="00F16B57">
            <w:pPr>
              <w:spacing w:after="0" w:line="259" w:lineRule="auto"/>
              <w:jc w:val="left"/>
              <w:rPr>
                <w:color w:val="auto"/>
              </w:rPr>
            </w:pPr>
            <w:r w:rsidRPr="00F16B57">
              <w:rPr>
                <w:b/>
                <w:color w:val="auto"/>
              </w:rPr>
              <w:t>Statement of intent 2:</w:t>
            </w:r>
            <w:r w:rsidRPr="00F16B57">
              <w:rPr>
                <w:color w:val="auto"/>
              </w:rPr>
              <w:t xml:space="preserve"> Service managers should ensure a range of tools is available, and used, to help young people communicate effectively with practitioners. These may include, for example: ways to produce a written record of how a young person communicates, for example, communication passports or 1</w:t>
            </w:r>
            <w:r w:rsidRPr="00F16B57">
              <w:rPr>
                <w:rFonts w:ascii="Cambria Math" w:eastAsia="Cambria Math" w:hAnsi="Cambria Math" w:cs="Cambria Math"/>
                <w:color w:val="auto"/>
              </w:rPr>
              <w:t>‑</w:t>
            </w:r>
            <w:r w:rsidRPr="00F16B57">
              <w:rPr>
                <w:color w:val="auto"/>
              </w:rPr>
              <w:t xml:space="preserve">page profiles; ways to help the young person communicate, for example, communication boards and digital communication tools. </w:t>
            </w:r>
            <w:r>
              <w:fldChar w:fldCharType="begin"/>
            </w:r>
            <w:r>
              <w:instrText xml:space="preserve"> HYPERLINK "https://www.nice.org.uk/guidance/ng43/chapter/Recommendations" \l "support-before-transfer" </w:instrText>
            </w:r>
            <w:r>
              <w:fldChar w:fldCharType="separate"/>
            </w:r>
            <w:r w:rsidRPr="00F16B57">
              <w:rPr>
                <w:color w:val="auto"/>
                <w:u w:val="single" w:color="467886"/>
              </w:rPr>
              <w:t>NICE NG43 (1.2.12, 2016)</w:t>
            </w:r>
            <w:r>
              <w:fldChar w:fldCharType="end"/>
            </w:r>
            <w:r>
              <w:fldChar w:fldCharType="begin"/>
            </w:r>
            <w:r>
              <w:instrText xml:space="preserve"> HYPERLINK "https://www.nice.org.uk/guidance/ng43/chapter/Recommendations" \l "support-before-transfer" </w:instrText>
            </w:r>
            <w:r>
              <w:fldChar w:fldCharType="separate"/>
            </w:r>
            <w:r w:rsidRPr="00F16B57">
              <w:rPr>
                <w:color w:val="auto"/>
              </w:rPr>
              <w:t xml:space="preserve"> </w:t>
            </w:r>
            <w:r>
              <w:fldChar w:fldCharType="end"/>
            </w:r>
            <w:r w:rsidRPr="00F16B57">
              <w:rPr>
                <w:color w:val="auto"/>
              </w:rPr>
              <w:t xml:space="preserve">  </w:t>
            </w:r>
          </w:p>
        </w:tc>
      </w:tr>
      <w:tr>
        <w:tblPrEx>
          <w:tblW w:w="10495" w:type="dxa"/>
          <w:tblInd w:w="0" w:type="dxa"/>
          <w:tblCellMar>
            <w:left w:w="110" w:type="dxa"/>
            <w:right w:w="73" w:type="dxa"/>
          </w:tblCellMar>
          <w:tblLook w:val="04A0"/>
        </w:tblPrEx>
        <w:trPr>
          <w:trHeight w:val="550"/>
        </w:trPr>
        <w:tc>
          <w:tcPr>
            <w:tcW w:w="1986"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Resourcing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1. Do services have the capacity and funding to deliver on these statements of intent for young people with additional needs? </w:t>
            </w:r>
          </w:p>
        </w:tc>
      </w:tr>
      <w:tr>
        <w:tblPrEx>
          <w:tblW w:w="10495" w:type="dxa"/>
          <w:tblInd w:w="0" w:type="dxa"/>
          <w:tblCellMar>
            <w:left w:w="110" w:type="dxa"/>
            <w:right w:w="73" w:type="dxa"/>
          </w:tblCellMar>
          <w:tblLook w:val="04A0"/>
        </w:tblPrEx>
        <w:trPr>
          <w:trHeight w:val="550"/>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 </w:t>
            </w:r>
            <w:r w:rsidRPr="00F16B57">
              <w:rPr>
                <w:color w:val="auto"/>
              </w:rPr>
              <w:t>This is available through our local offer, for new information budgets can be difficult to ensure access to all young people and their families</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left w:w="110" w:type="dxa"/>
            <w:right w:w="73" w:type="dxa"/>
          </w:tblCellMar>
          <w:tblLook w:val="04A0"/>
        </w:tblPrEx>
        <w:trPr>
          <w:trHeight w:val="54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rPr>
                <w:color w:val="auto"/>
              </w:rPr>
            </w:pPr>
            <w:r w:rsidRPr="00F16B57">
              <w:rPr>
                <w:color w:val="auto"/>
              </w:rPr>
              <w:t xml:space="preserve">2. Do all staff involved in transition services receive training that is culturally competent based on local population needs? </w:t>
            </w:r>
          </w:p>
        </w:tc>
      </w:tr>
      <w:tr>
        <w:tblPrEx>
          <w:tblW w:w="10495" w:type="dxa"/>
          <w:tblInd w:w="0" w:type="dxa"/>
          <w:tblCellMar>
            <w:left w:w="110" w:type="dxa"/>
            <w:right w:w="73" w:type="dxa"/>
          </w:tblCellMar>
          <w:tblLook w:val="04A0"/>
        </w:tblPrEx>
        <w:trPr>
          <w:trHeight w:val="550"/>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 </w:t>
            </w:r>
            <w:r w:rsidRPr="00F16B57">
              <w:rPr>
                <w:color w:val="auto"/>
              </w:rPr>
              <w:t>Yes</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left w:w="110" w:type="dxa"/>
            <w:right w:w="73" w:type="dxa"/>
          </w:tblCellMar>
          <w:tblLook w:val="04A0"/>
        </w:tblPrEx>
        <w:trPr>
          <w:trHeight w:val="545"/>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Effectiveness and implementation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1. How effective are services in addressing the specific needs of young people as individuals?</w:t>
            </w:r>
            <w:r w:rsidRPr="00F16B57">
              <w:rPr>
                <w:color w:val="auto"/>
                <w:sz w:val="24"/>
              </w:rPr>
              <w:t xml:space="preserve"> </w:t>
            </w:r>
          </w:p>
        </w:tc>
      </w:tr>
      <w:tr>
        <w:tblPrEx>
          <w:tblW w:w="10495" w:type="dxa"/>
          <w:tblInd w:w="0" w:type="dxa"/>
          <w:tblCellMar>
            <w:left w:w="110" w:type="dxa"/>
            <w:right w:w="73" w:type="dxa"/>
          </w:tblCellMar>
          <w:tblLook w:val="04A0"/>
        </w:tblPrEx>
        <w:trPr>
          <w:trHeight w:val="596"/>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 </w:t>
            </w:r>
            <w:r w:rsidRPr="00F16B57">
              <w:rPr>
                <w:color w:val="auto"/>
                <w:sz w:val="24"/>
              </w:rPr>
              <w:t>Good</w:t>
            </w:r>
          </w:p>
          <w:p w:rsidR="00B506EE" w:rsidRPr="00F16B57">
            <w:pPr>
              <w:spacing w:after="0" w:line="259" w:lineRule="auto"/>
              <w:jc w:val="left"/>
              <w:rPr>
                <w:color w:val="auto"/>
              </w:rPr>
            </w:pPr>
            <w:r w:rsidRPr="00F16B57">
              <w:rPr>
                <w:color w:val="auto"/>
                <w:sz w:val="24"/>
              </w:rPr>
              <w:t xml:space="preserve"> </w:t>
            </w:r>
          </w:p>
        </w:tc>
      </w:tr>
      <w:tr>
        <w:tblPrEx>
          <w:tblW w:w="10495" w:type="dxa"/>
          <w:tblInd w:w="0" w:type="dxa"/>
          <w:tblCellMar>
            <w:left w:w="110" w:type="dxa"/>
            <w:right w:w="73" w:type="dxa"/>
          </w:tblCellMar>
          <w:tblLook w:val="04A0"/>
        </w:tblPrEx>
        <w:trPr>
          <w:trHeight w:val="550"/>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2. To what extent are services providing the right tools to ensure that all young people can communicate their needs?</w:t>
            </w:r>
            <w:r w:rsidRPr="00F16B57">
              <w:rPr>
                <w:color w:val="auto"/>
                <w:sz w:val="24"/>
              </w:rPr>
              <w:t xml:space="preserve"> </w:t>
            </w:r>
          </w:p>
        </w:tc>
      </w:tr>
      <w:tr>
        <w:tblPrEx>
          <w:tblW w:w="10495" w:type="dxa"/>
          <w:tblInd w:w="0" w:type="dxa"/>
          <w:tblCellMar>
            <w:left w:w="110" w:type="dxa"/>
            <w:right w:w="73" w:type="dxa"/>
          </w:tblCellMar>
          <w:tblLook w:val="04A0"/>
        </w:tblPrEx>
        <w:trPr>
          <w:trHeight w:val="54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 </w:t>
            </w:r>
            <w:r w:rsidRPr="00F16B57">
              <w:rPr>
                <w:color w:val="auto"/>
              </w:rPr>
              <w:t>Good</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left w:w="110" w:type="dxa"/>
            <w:right w:w="73" w:type="dxa"/>
          </w:tblCellMar>
          <w:tblLook w:val="04A0"/>
        </w:tblPrEx>
        <w:trPr>
          <w:trHeight w:val="81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3. To what extent is data recorded and monitored for effectiveness and quality of the transition for individuals from underserved patient groups, or with protected characteristics? </w:t>
            </w:r>
          </w:p>
        </w:tc>
      </w:tr>
      <w:tr>
        <w:tblPrEx>
          <w:tblW w:w="10495" w:type="dxa"/>
          <w:tblInd w:w="0" w:type="dxa"/>
          <w:tblCellMar>
            <w:left w:w="110" w:type="dxa"/>
            <w:right w:w="73" w:type="dxa"/>
          </w:tblCellMar>
          <w:tblLook w:val="04A0"/>
        </w:tblPrEx>
        <w:trPr>
          <w:trHeight w:val="550"/>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 </w:t>
            </w:r>
            <w:r w:rsidRPr="00F16B57">
              <w:rPr>
                <w:color w:val="auto"/>
              </w:rPr>
              <w:t>Not specific to those with protected characteristics but data is captured for all</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left w:w="110" w:type="dxa"/>
            <w:right w:w="73" w:type="dxa"/>
          </w:tblCellMar>
          <w:tblLook w:val="04A0"/>
        </w:tblPrEx>
        <w:trPr>
          <w:trHeight w:val="545"/>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Impact and outcomes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1. What is the impact of the provision, or lack of provision, of person-centred care for individuals with additional needs? </w:t>
            </w:r>
          </w:p>
        </w:tc>
      </w:tr>
      <w:tr>
        <w:tblPrEx>
          <w:tblW w:w="10495" w:type="dxa"/>
          <w:tblInd w:w="0" w:type="dxa"/>
          <w:tblCellMar>
            <w:left w:w="110" w:type="dxa"/>
            <w:right w:w="73" w:type="dxa"/>
          </w:tblCellMar>
          <w:tblLook w:val="04A0"/>
        </w:tblPrEx>
        <w:trPr>
          <w:trHeight w:val="59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 </w:t>
            </w:r>
            <w:r w:rsidRPr="00F16B57">
              <w:rPr>
                <w:color w:val="auto"/>
                <w:sz w:val="24"/>
              </w:rPr>
              <w:t>Positive outcomes for young people and their families, increased independence and reduced complaints, less restrictive and less costly services in their local area</w:t>
            </w:r>
          </w:p>
          <w:p w:rsidR="00B506EE" w:rsidRPr="00F16B57">
            <w:pPr>
              <w:spacing w:after="0" w:line="259" w:lineRule="auto"/>
              <w:jc w:val="left"/>
              <w:rPr>
                <w:color w:val="auto"/>
              </w:rPr>
            </w:pPr>
            <w:r w:rsidRPr="00F16B57">
              <w:rPr>
                <w:color w:val="auto"/>
                <w:sz w:val="24"/>
              </w:rPr>
              <w:t xml:space="preserve"> </w:t>
            </w:r>
          </w:p>
        </w:tc>
      </w:tr>
      <w:tr>
        <w:tblPrEx>
          <w:tblW w:w="10495" w:type="dxa"/>
          <w:tblInd w:w="0" w:type="dxa"/>
          <w:tblCellMar>
            <w:left w:w="110" w:type="dxa"/>
            <w:right w:w="73" w:type="dxa"/>
          </w:tblCellMar>
          <w:tblLook w:val="04A0"/>
        </w:tblPrEx>
        <w:trPr>
          <w:trHeight w:val="550"/>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rPr>
                <w:color w:val="auto"/>
              </w:rPr>
            </w:pPr>
            <w:r w:rsidRPr="00F16B57">
              <w:rPr>
                <w:color w:val="auto"/>
              </w:rPr>
              <w:t xml:space="preserve">2. What is the impact of comprehensive data collection and usage for young people with additional needs and/or protected characteristics? </w:t>
            </w:r>
            <w:r w:rsidRPr="00F16B57">
              <w:rPr>
                <w:color w:val="auto"/>
                <w:sz w:val="24"/>
              </w:rPr>
              <w:t xml:space="preserve"> </w:t>
            </w:r>
          </w:p>
        </w:tc>
      </w:tr>
      <w:tr>
        <w:tblPrEx>
          <w:tblW w:w="10495" w:type="dxa"/>
          <w:tblInd w:w="0" w:type="dxa"/>
          <w:tblCellMar>
            <w:left w:w="110" w:type="dxa"/>
            <w:right w:w="73" w:type="dxa"/>
          </w:tblCellMar>
          <w:tblLook w:val="04A0"/>
        </w:tblPrEx>
        <w:trPr>
          <w:trHeight w:val="59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 </w:t>
            </w:r>
          </w:p>
          <w:p w:rsidR="00B506EE" w:rsidRPr="00F16B57">
            <w:pPr>
              <w:spacing w:after="0" w:line="259" w:lineRule="auto"/>
              <w:jc w:val="left"/>
              <w:rPr>
                <w:color w:val="auto"/>
              </w:rPr>
            </w:pPr>
            <w:r w:rsidRPr="00F16B57">
              <w:rPr>
                <w:color w:val="auto"/>
                <w:sz w:val="24"/>
              </w:rPr>
              <w:t xml:space="preserve"> </w:t>
            </w:r>
            <w:r w:rsidRPr="00F16B57">
              <w:rPr>
                <w:color w:val="auto"/>
                <w:sz w:val="24"/>
              </w:rPr>
              <w:t>Would support with service efficiency, appropriate budgets and staffing.</w:t>
            </w:r>
          </w:p>
        </w:tc>
      </w:tr>
      <w:tr>
        <w:tblPrEx>
          <w:tblW w:w="10495" w:type="dxa"/>
          <w:tblInd w:w="0" w:type="dxa"/>
          <w:tblCellMar>
            <w:left w:w="110" w:type="dxa"/>
            <w:right w:w="73" w:type="dxa"/>
          </w:tblCellMar>
          <w:tblLook w:val="04A0"/>
        </w:tblPrEx>
        <w:trPr>
          <w:trHeight w:val="546"/>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Appropriateness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1. How appropriately are health and social care services providing tailored care to individuals with additional needs? </w:t>
            </w:r>
          </w:p>
        </w:tc>
      </w:tr>
      <w:tr>
        <w:tblPrEx>
          <w:tblW w:w="10495" w:type="dxa"/>
          <w:tblInd w:w="0" w:type="dxa"/>
          <w:tblCellMar>
            <w:left w:w="110" w:type="dxa"/>
            <w:right w:w="73" w:type="dxa"/>
          </w:tblCellMar>
          <w:tblLook w:val="04A0"/>
        </w:tblPrEx>
        <w:trPr>
          <w:trHeight w:val="600"/>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 </w:t>
            </w:r>
            <w:r w:rsidRPr="00F16B57">
              <w:rPr>
                <w:color w:val="auto"/>
                <w:sz w:val="24"/>
              </w:rPr>
              <w:t>Very well</w:t>
            </w:r>
          </w:p>
          <w:p w:rsidR="00B506EE" w:rsidRPr="00F16B57">
            <w:pPr>
              <w:spacing w:after="0" w:line="259" w:lineRule="auto"/>
              <w:jc w:val="left"/>
              <w:rPr>
                <w:color w:val="auto"/>
              </w:rPr>
            </w:pPr>
            <w:r w:rsidRPr="00F16B57">
              <w:rPr>
                <w:color w:val="auto"/>
                <w:sz w:val="24"/>
              </w:rPr>
              <w:t xml:space="preserve"> </w:t>
            </w:r>
          </w:p>
        </w:tc>
      </w:tr>
      <w:tr>
        <w:tblPrEx>
          <w:tblW w:w="10495" w:type="dxa"/>
          <w:tblInd w:w="0" w:type="dxa"/>
          <w:tblCellMar>
            <w:left w:w="110" w:type="dxa"/>
            <w:right w:w="73" w:type="dxa"/>
          </w:tblCellMar>
          <w:tblLook w:val="04A0"/>
        </w:tblPrEx>
        <w:trPr>
          <w:trHeight w:val="54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2. To what extent are services able to accommodate different communication needs for individuals with communication difficulties? </w:t>
            </w:r>
          </w:p>
        </w:tc>
      </w:tr>
      <w:tr>
        <w:tblPrEx>
          <w:tblW w:w="10495" w:type="dxa"/>
          <w:tblInd w:w="0" w:type="dxa"/>
          <w:tblCellMar>
            <w:left w:w="110" w:type="dxa"/>
            <w:right w:w="73" w:type="dxa"/>
          </w:tblCellMar>
          <w:tblLook w:val="04A0"/>
        </w:tblPrEx>
        <w:trPr>
          <w:trHeight w:val="545"/>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 </w:t>
            </w:r>
            <w:r w:rsidRPr="00F16B57">
              <w:rPr>
                <w:color w:val="auto"/>
              </w:rPr>
              <w:t>Very well, we work closely with speech and language therapists and other professionals as required</w:t>
            </w:r>
          </w:p>
          <w:p w:rsidR="00B506EE" w:rsidRPr="00F16B57">
            <w:pPr>
              <w:spacing w:after="0" w:line="259" w:lineRule="auto"/>
              <w:jc w:val="left"/>
              <w:rPr>
                <w:color w:val="auto"/>
              </w:rPr>
            </w:pPr>
            <w:r w:rsidRPr="00F16B57">
              <w:rPr>
                <w:color w:val="auto"/>
              </w:rPr>
              <w:t xml:space="preserve"> </w:t>
            </w:r>
          </w:p>
        </w:tc>
      </w:tr>
      <w:tr>
        <w:tblPrEx>
          <w:tblW w:w="10495" w:type="dxa"/>
          <w:tblInd w:w="0" w:type="dxa"/>
          <w:tblCellMar>
            <w:left w:w="110" w:type="dxa"/>
            <w:right w:w="73" w:type="dxa"/>
          </w:tblCellMar>
          <w:tblLook w:val="04A0"/>
        </w:tblPrEx>
        <w:trPr>
          <w:trHeight w:val="550"/>
        </w:trPr>
        <w:tc>
          <w:tcPr>
            <w:tcW w:w="1986" w:type="dxa"/>
            <w:vMerge w:val="restart"/>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b/>
                <w:color w:val="auto"/>
                <w:sz w:val="20"/>
              </w:rPr>
              <w:t xml:space="preserve">Equality and diversity </w:t>
            </w: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1. How are underserved or vulnerable patient groups considered in the planning, strategy and delivery of transition services?</w:t>
            </w:r>
            <w:r w:rsidRPr="00F16B57">
              <w:rPr>
                <w:color w:val="auto"/>
                <w:sz w:val="24"/>
              </w:rPr>
              <w:t xml:space="preserve"> </w:t>
            </w:r>
          </w:p>
        </w:tc>
      </w:tr>
      <w:tr>
        <w:tblPrEx>
          <w:tblW w:w="10495" w:type="dxa"/>
          <w:tblInd w:w="0" w:type="dxa"/>
          <w:tblCellMar>
            <w:left w:w="110" w:type="dxa"/>
            <w:right w:w="73" w:type="dxa"/>
          </w:tblCellMar>
          <w:tblLook w:val="04A0"/>
        </w:tblPrEx>
        <w:trPr>
          <w:trHeight w:val="595"/>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sz w:val="24"/>
              </w:rPr>
            </w:pPr>
            <w:r w:rsidRPr="00F16B57">
              <w:rPr>
                <w:color w:val="auto"/>
                <w:sz w:val="24"/>
              </w:rPr>
              <w:t xml:space="preserve"> </w:t>
            </w:r>
            <w:r w:rsidRPr="00F16B57">
              <w:rPr>
                <w:color w:val="auto"/>
                <w:sz w:val="24"/>
              </w:rPr>
              <w:t>There is a forum held to hear the voices and views of young people and their parent carers</w:t>
            </w:r>
          </w:p>
          <w:p w:rsidR="00B506EE" w:rsidRPr="00F16B57">
            <w:pPr>
              <w:spacing w:after="0" w:line="259" w:lineRule="auto"/>
              <w:jc w:val="left"/>
              <w:rPr>
                <w:color w:val="auto"/>
              </w:rPr>
            </w:pPr>
            <w:r w:rsidRPr="00F16B57">
              <w:rPr>
                <w:color w:val="auto"/>
              </w:rPr>
              <w:t xml:space="preserve">The MDT would look at demographics of young people coming through to be able to alert commissioning colleagues early that specific services will need to be commissioned to meet need </w:t>
            </w:r>
          </w:p>
          <w:p w:rsidR="00B506EE" w:rsidRPr="00F16B57">
            <w:pPr>
              <w:spacing w:after="0" w:line="259" w:lineRule="auto"/>
              <w:jc w:val="left"/>
              <w:rPr>
                <w:color w:val="auto"/>
              </w:rPr>
            </w:pPr>
            <w:r w:rsidRPr="00F16B57">
              <w:rPr>
                <w:color w:val="auto"/>
                <w:sz w:val="24"/>
              </w:rPr>
              <w:t xml:space="preserve"> </w:t>
            </w:r>
          </w:p>
        </w:tc>
      </w:tr>
      <w:tr>
        <w:tblPrEx>
          <w:tblW w:w="10495" w:type="dxa"/>
          <w:tblInd w:w="0" w:type="dxa"/>
          <w:tblCellMar>
            <w:left w:w="110" w:type="dxa"/>
            <w:right w:w="73" w:type="dxa"/>
          </w:tblCellMar>
          <w:tblLook w:val="04A0"/>
        </w:tblPrEx>
        <w:trPr>
          <w:trHeight w:val="546"/>
        </w:trPr>
        <w:tc>
          <w:tcPr>
            <w:tcW w:w="0" w:type="auto"/>
            <w:vMerge/>
            <w:tcBorders>
              <w:top w:val="nil"/>
              <w:left w:val="single" w:sz="4" w:space="0" w:color="000000"/>
              <w:bottom w:val="nil"/>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rPr>
              <w:t xml:space="preserve">2. What extra data is captured for young people with additional needs, specifically those at the intersection of different protected characteristics? </w:t>
            </w:r>
          </w:p>
        </w:tc>
      </w:tr>
      <w:tr>
        <w:tblPrEx>
          <w:tblW w:w="10495" w:type="dxa"/>
          <w:tblInd w:w="0" w:type="dxa"/>
          <w:tblCellMar>
            <w:left w:w="110" w:type="dxa"/>
            <w:right w:w="73" w:type="dxa"/>
          </w:tblCellMar>
          <w:tblLook w:val="04A0"/>
        </w:tblPrEx>
        <w:trPr>
          <w:trHeight w:val="600"/>
        </w:trPr>
        <w:tc>
          <w:tcPr>
            <w:tcW w:w="0" w:type="auto"/>
            <w:vMerge/>
            <w:tcBorders>
              <w:top w:val="nil"/>
              <w:left w:val="single" w:sz="4" w:space="0" w:color="000000"/>
              <w:bottom w:val="single" w:sz="4" w:space="0" w:color="000000"/>
              <w:right w:val="single" w:sz="4" w:space="0" w:color="000000"/>
            </w:tcBorders>
          </w:tcPr>
          <w:p w:rsidR="00B506EE" w:rsidRPr="00F16B57">
            <w:pPr>
              <w:spacing w:after="160" w:line="259" w:lineRule="auto"/>
              <w:jc w:val="left"/>
              <w:rPr>
                <w:color w:val="auto"/>
              </w:rPr>
            </w:pPr>
          </w:p>
        </w:tc>
        <w:tc>
          <w:tcPr>
            <w:tcW w:w="8509" w:type="dxa"/>
            <w:tcBorders>
              <w:top w:val="single" w:sz="4" w:space="0" w:color="000000"/>
              <w:left w:val="single" w:sz="4" w:space="0" w:color="000000"/>
              <w:bottom w:val="single" w:sz="4" w:space="0" w:color="000000"/>
              <w:right w:val="single" w:sz="4" w:space="0" w:color="000000"/>
            </w:tcBorders>
          </w:tcPr>
          <w:p w:rsidR="00B506EE" w:rsidRPr="00F16B57">
            <w:pPr>
              <w:spacing w:after="0" w:line="259" w:lineRule="auto"/>
              <w:jc w:val="left"/>
              <w:rPr>
                <w:color w:val="auto"/>
              </w:rPr>
            </w:pPr>
            <w:r w:rsidRPr="00F16B57">
              <w:rPr>
                <w:color w:val="auto"/>
                <w:sz w:val="24"/>
              </w:rPr>
              <w:t xml:space="preserve"> </w:t>
            </w:r>
          </w:p>
          <w:p w:rsidR="00B506EE" w:rsidRPr="00F16B57">
            <w:pPr>
              <w:spacing w:after="0" w:line="259" w:lineRule="auto"/>
              <w:jc w:val="left"/>
              <w:rPr>
                <w:color w:val="auto"/>
              </w:rPr>
            </w:pPr>
            <w:r w:rsidRPr="00F16B57">
              <w:rPr>
                <w:color w:val="auto"/>
                <w:sz w:val="24"/>
              </w:rPr>
              <w:t xml:space="preserve"> </w:t>
            </w:r>
            <w:r w:rsidRPr="00F16B57">
              <w:rPr>
                <w:color w:val="auto"/>
                <w:sz w:val="24"/>
              </w:rPr>
              <w:t>All data is collected, not specific to those with protected characteristics</w:t>
            </w:r>
          </w:p>
        </w:tc>
      </w:tr>
    </w:tbl>
    <w:p w:rsidR="00B506EE">
      <w:pPr>
        <w:spacing w:after="0" w:line="259" w:lineRule="auto"/>
        <w:ind w:left="710"/>
        <w:rPr>
          <w:color w:val="auto"/>
          <w:sz w:val="24"/>
        </w:rPr>
      </w:pPr>
      <w:r w:rsidRPr="00F16B57">
        <w:rPr>
          <w:color w:val="auto"/>
          <w:sz w:val="24"/>
        </w:rPr>
        <w:t xml:space="preserve"> </w:t>
      </w:r>
    </w:p>
    <w:p w:rsidR="00F16B57">
      <w:pPr>
        <w:spacing w:after="0" w:line="259" w:lineRule="auto"/>
        <w:ind w:left="710"/>
        <w:rPr>
          <w:color w:val="auto"/>
          <w:sz w:val="24"/>
        </w:rPr>
      </w:pPr>
    </w:p>
    <w:p w:rsidR="00F16B57" w:rsidRPr="00F16B57">
      <w:pPr>
        <w:spacing w:after="0" w:line="259" w:lineRule="auto"/>
        <w:ind w:left="710"/>
        <w:rPr>
          <w:i/>
          <w:iCs/>
          <w:color w:val="auto"/>
        </w:rPr>
      </w:pPr>
      <w:r w:rsidRPr="00F16B57">
        <w:rPr>
          <w:i/>
          <w:iCs/>
          <w:color w:val="auto"/>
          <w:sz w:val="24"/>
        </w:rPr>
        <w:t>May 2026</w:t>
      </w:r>
    </w:p>
    <w:sectPr>
      <w:headerReference w:type="even" r:id="rId4"/>
      <w:headerReference w:type="default" r:id="rId5"/>
      <w:footerReference w:type="even" r:id="rId6"/>
      <w:footerReference w:type="default" r:id="rId7"/>
      <w:headerReference w:type="first" r:id="rId8"/>
      <w:footerReference w:type="first" r:id="rId9"/>
      <w:pgSz w:w="11905" w:h="16840"/>
      <w:pgMar w:top="1803" w:right="702" w:bottom="1541" w:left="731" w:header="710"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6EE" w:rsidRPr="00F16B57" w:rsidP="00F16B57">
    <w:pPr>
      <w:pStyle w:val="Footer"/>
    </w:pPr>
    <w:r w:rsidRPr="00F16B57">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6EE" w:rsidRPr="00F16B57" w:rsidP="00F16B57">
    <w:pPr>
      <w:pStyle w:val="Footer"/>
    </w:pPr>
    <w:r w:rsidRPr="00F16B57">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6EE" w:rsidRPr="00F16B57" w:rsidP="00F16B57">
    <w:pPr>
      <w:pStyle w:val="Footer"/>
    </w:pPr>
    <w:r w:rsidRPr="00F16B57">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6EE" w:rsidRPr="00F16B57" w:rsidP="00F16B57">
    <w:pPr>
      <w:pStyle w:val="Header"/>
    </w:pPr>
    <w:r w:rsidRPr="00F16B57">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6EE" w:rsidRPr="00F16B57" w:rsidP="00F16B57">
    <w:pPr>
      <w:pStyle w:val="Header"/>
    </w:pPr>
    <w:r w:rsidRPr="00F16B57">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6EE" w:rsidRPr="00F16B57" w:rsidP="00F16B57">
    <w:pPr>
      <w:pStyle w:val="Header"/>
    </w:pPr>
    <w:r w:rsidRPr="00F16B57">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78"/>
      <w:jc w:val="both"/>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semiHidden/>
    <w:unhideWhenUsed/>
    <w:rsid w:val="00F16B5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16B57"/>
    <w:rPr>
      <w:rFonts w:ascii="Calibri" w:eastAsia="Calibri" w:hAnsi="Calibri" w:cs="Calibri"/>
      <w:color w:val="000000"/>
      <w:sz w:val="22"/>
    </w:rPr>
  </w:style>
  <w:style w:type="paragraph" w:styleId="Footer">
    <w:name w:val="footer"/>
    <w:basedOn w:val="Normal"/>
    <w:link w:val="FooterChar"/>
    <w:uiPriority w:val="99"/>
    <w:semiHidden/>
    <w:unhideWhenUsed/>
    <w:rsid w:val="00F16B5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16B57"/>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TRN0037</dc:title>
  <cp:revision>0</cp:revision>
</cp:coreProperties>
</file>