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1143C" w:rsidRPr="0051143C" w:rsidP="0051143C">
      <w:pPr>
        <w:pStyle w:val="Title"/>
        <w:jc w:val="center"/>
        <w:rPr>
          <w:rFonts w:asciiTheme="majorHAnsi" w:hAnsiTheme="majorHAnsi" w:cstheme="majorHAnsi"/>
          <w:sz w:val="44"/>
          <w:szCs w:val="44"/>
        </w:rPr>
      </w:pPr>
      <w:r w:rsidRPr="0051143C">
        <w:rPr>
          <w:rFonts w:asciiTheme="majorHAnsi" w:hAnsiTheme="majorHAnsi" w:cstheme="majorHAnsi"/>
          <w:sz w:val="44"/>
          <w:szCs w:val="44"/>
        </w:rPr>
        <w:t xml:space="preserve">Written Evidence submitted by </w:t>
      </w:r>
      <w:r w:rsidRPr="00C47E56" w:rsidR="00C47E56">
        <w:rPr>
          <w:rFonts w:asciiTheme="majorHAnsi" w:hAnsiTheme="majorHAnsi" w:cstheme="majorHAnsi"/>
          <w:sz w:val="44"/>
          <w:szCs w:val="44"/>
        </w:rPr>
        <w:t>South Yorkshire Digital Health Hub, the Association for Young People's Health, and the Children and Young People's Empowerment Project</w:t>
      </w:r>
      <w:r w:rsidRPr="0051143C">
        <w:rPr>
          <w:rFonts w:asciiTheme="majorHAnsi" w:hAnsiTheme="majorHAnsi" w:cstheme="majorHAnsi"/>
          <w:sz w:val="44"/>
          <w:szCs w:val="44"/>
        </w:rPr>
        <w:t xml:space="preserve"> (TRN003</w:t>
      </w:r>
      <w:r w:rsidRPr="0051143C">
        <w:rPr>
          <w:rFonts w:asciiTheme="majorHAnsi" w:hAnsiTheme="majorHAnsi" w:cstheme="majorHAnsi"/>
          <w:sz w:val="44"/>
          <w:szCs w:val="44"/>
        </w:rPr>
        <w:t>6</w:t>
      </w:r>
      <w:r w:rsidRPr="0051143C">
        <w:rPr>
          <w:rFonts w:asciiTheme="majorHAnsi" w:hAnsiTheme="majorHAnsi" w:cstheme="majorHAnsi"/>
          <w:sz w:val="44"/>
          <w:szCs w:val="44"/>
        </w:rPr>
        <w:t>)</w:t>
      </w:r>
    </w:p>
    <w:p w:rsidR="0051143C" w:rsidRPr="0051143C">
      <w:pPr>
        <w:pStyle w:val="Title"/>
        <w:rPr>
          <w:rFonts w:asciiTheme="majorHAnsi" w:hAnsiTheme="majorHAnsi" w:cstheme="majorHAnsi"/>
        </w:rPr>
      </w:pPr>
    </w:p>
    <w:p w:rsidR="0037496E" w:rsidRPr="0051143C">
      <w:pPr>
        <w:pBdr>
          <w:bottom w:val="single" w:sz="6" w:space="1" w:color="000000"/>
        </w:pBdr>
        <w:rPr>
          <w:rFonts w:asciiTheme="majorHAnsi" w:hAnsiTheme="majorHAnsi" w:cstheme="majorHAnsi"/>
        </w:rPr>
      </w:pPr>
    </w:p>
    <w:p w:rsidR="0037496E" w:rsidRPr="0051143C" w:rsidP="00595A71">
      <w:pPr>
        <w:pStyle w:val="Heading1"/>
        <w:rPr>
          <w:rFonts w:asciiTheme="majorHAnsi" w:hAnsiTheme="majorHAnsi" w:cstheme="majorHAnsi"/>
          <w:color w:val="auto"/>
        </w:rPr>
      </w:pPr>
      <w:bookmarkStart w:id="0" w:name="_heading=h.p04z9rdy4vj" w:colFirst="0" w:colLast="0"/>
      <w:bookmarkEnd w:id="0"/>
      <w:r w:rsidRPr="0051143C">
        <w:rPr>
          <w:rFonts w:asciiTheme="majorHAnsi" w:hAnsiTheme="majorHAnsi" w:cstheme="majorHAnsi"/>
          <w:color w:val="auto"/>
        </w:rPr>
        <w:t>Introduction</w:t>
      </w:r>
    </w:p>
    <w:p w:rsidR="0037496E" w:rsidRPr="0051143C">
      <w:pPr>
        <w:rPr>
          <w:rFonts w:asciiTheme="majorHAnsi" w:hAnsiTheme="majorHAnsi" w:cstheme="majorHAnsi"/>
        </w:rPr>
      </w:pPr>
      <w:r w:rsidRPr="0051143C">
        <w:rPr>
          <w:rFonts w:asciiTheme="majorHAnsi" w:hAnsiTheme="majorHAnsi" w:cstheme="majorHAnsi"/>
        </w:rPr>
        <w:t>This written evidence submission is made by the South Yorkshire Digital Health Hub, (</w:t>
      </w:r>
      <w:r>
        <w:fldChar w:fldCharType="begin"/>
      </w:r>
      <w:r>
        <w:instrText xml:space="preserve"> HYPERLINK "https://sheffield.ac.uk/sydhh" </w:instrText>
      </w:r>
      <w:r>
        <w:fldChar w:fldCharType="separate"/>
      </w:r>
      <w:r w:rsidRPr="0051143C">
        <w:rPr>
          <w:rFonts w:asciiTheme="majorHAnsi" w:hAnsiTheme="majorHAnsi" w:cstheme="majorHAnsi"/>
          <w:u w:val="single"/>
        </w:rPr>
        <w:t>SYDHH</w:t>
      </w:r>
      <w:r>
        <w:fldChar w:fldCharType="end"/>
      </w:r>
      <w:r w:rsidRPr="0051143C">
        <w:rPr>
          <w:rFonts w:asciiTheme="majorHAnsi" w:hAnsiTheme="majorHAnsi" w:cstheme="majorHAnsi"/>
        </w:rPr>
        <w:t>) in partnership with the Association for Young People’s Health (</w:t>
      </w:r>
      <w:r>
        <w:fldChar w:fldCharType="begin"/>
      </w:r>
      <w:r>
        <w:instrText xml:space="preserve"> HYPERLINK "https://ayph.org.uk/" </w:instrText>
      </w:r>
      <w:r>
        <w:fldChar w:fldCharType="separate"/>
      </w:r>
      <w:r w:rsidRPr="0051143C">
        <w:rPr>
          <w:rFonts w:asciiTheme="majorHAnsi" w:hAnsiTheme="majorHAnsi" w:cstheme="majorHAnsi"/>
          <w:u w:val="single"/>
        </w:rPr>
        <w:t>AYPH</w:t>
      </w:r>
      <w:r>
        <w:fldChar w:fldCharType="end"/>
      </w:r>
      <w:r w:rsidRPr="0051143C">
        <w:rPr>
          <w:rFonts w:asciiTheme="majorHAnsi" w:hAnsiTheme="majorHAnsi" w:cstheme="majorHAnsi"/>
        </w:rPr>
        <w:t>) and the Children and Young People's Empowerment Project (</w:t>
      </w:r>
      <w:r>
        <w:fldChar w:fldCharType="begin"/>
      </w:r>
      <w:r>
        <w:instrText xml:space="preserve"> HYPERLINK "https://chilypep.org.uk/" </w:instrText>
      </w:r>
      <w:r>
        <w:fldChar w:fldCharType="separate"/>
      </w:r>
      <w:r w:rsidRPr="0051143C">
        <w:rPr>
          <w:rFonts w:asciiTheme="majorHAnsi" w:hAnsiTheme="majorHAnsi" w:cstheme="majorHAnsi"/>
          <w:u w:val="single"/>
        </w:rPr>
        <w:t>Chilypep</w:t>
      </w:r>
      <w:r>
        <w:fldChar w:fldCharType="end"/>
      </w:r>
      <w:r w:rsidRPr="0051143C">
        <w:rPr>
          <w:rFonts w:asciiTheme="majorHAnsi" w:hAnsiTheme="majorHAnsi" w:cstheme="majorHAnsi"/>
        </w:rPr>
        <w:t xml:space="preserve">). </w:t>
      </w:r>
    </w:p>
    <w:p w:rsidR="0037496E" w:rsidRPr="0051143C">
      <w:pPr>
        <w:rPr>
          <w:rFonts w:asciiTheme="majorHAnsi" w:hAnsiTheme="majorHAnsi" w:cstheme="majorHAnsi"/>
        </w:rPr>
      </w:pPr>
      <w:r w:rsidRPr="0051143C">
        <w:rPr>
          <w:rFonts w:asciiTheme="majorHAnsi" w:hAnsiTheme="majorHAnsi" w:cstheme="majorHAnsi"/>
        </w:rPr>
        <w:t>The SYDHH is a collaborative initiative between Sheffield Hallam University, the University of Sheffield, and industrial and health partners in the South Yorkshire region. The SYDHH is one of five Digital Health Hubs in England funded by the Engineering and Physical Sciences Research Council (EPSRC) and UK Research and Innovation (UKRI) [EP/X03075X/1] whose purpose is to promote knowledge and skills sharing across healthcare, academia and business, to drive innovation in Digital Health. A core aspect of the</w:t>
      </w:r>
      <w:r w:rsidRPr="0051143C">
        <w:rPr>
          <w:rFonts w:asciiTheme="majorHAnsi" w:hAnsiTheme="majorHAnsi" w:cstheme="majorHAnsi"/>
        </w:rPr>
        <w:t xml:space="preserve"> SYDHH’s work is involving patients, members of the public and communities in its activities. </w:t>
      </w:r>
    </w:p>
    <w:p w:rsidR="0037496E" w:rsidRPr="0051143C">
      <w:pPr>
        <w:rPr>
          <w:rFonts w:asciiTheme="majorHAnsi" w:hAnsiTheme="majorHAnsi" w:cstheme="majorHAnsi"/>
        </w:rPr>
      </w:pPr>
      <w:r w:rsidRPr="0051143C">
        <w:rPr>
          <w:rFonts w:asciiTheme="majorHAnsi" w:hAnsiTheme="majorHAnsi" w:cstheme="majorHAnsi"/>
        </w:rPr>
        <w:t xml:space="preserve">The evidence presented here is drawn from the Young Adults’ Charter </w:t>
      </w:r>
      <w:r w:rsidRPr="0051143C">
        <w:rPr>
          <w:rFonts w:asciiTheme="majorHAnsi" w:hAnsiTheme="majorHAnsi" w:cstheme="majorHAnsi"/>
        </w:rPr>
        <w:t xml:space="preserve">for Digital Health: 10 Principles for Digital Health Innovation, </w:t>
      </w:r>
      <w:r w:rsidRPr="0051143C">
        <w:rPr>
          <w:rFonts w:asciiTheme="majorHAnsi" w:hAnsiTheme="majorHAnsi" w:cstheme="majorHAnsi"/>
        </w:rPr>
        <w:t>published by the South Yorkshire Digital Health Hub (2025). This Charter was created through a Citizens’ Jury–style deliberative engagement with a diverse group of twelve young adults aged 18–25 living with long-term health conditions in South Yorkshire</w:t>
      </w:r>
      <w:r>
        <w:rPr>
          <w:rFonts w:asciiTheme="majorHAnsi" w:hAnsiTheme="majorHAnsi" w:cstheme="majorHAnsi"/>
          <w:vertAlign w:val="superscript"/>
        </w:rPr>
        <w:footnoteReference w:id="2"/>
      </w:r>
      <w:r w:rsidRPr="0051143C">
        <w:rPr>
          <w:rFonts w:asciiTheme="majorHAnsi" w:hAnsiTheme="majorHAnsi" w:cstheme="majorHAnsi"/>
        </w:rPr>
        <w:t>. Participants took part in a structured programme of facilitated workshops, supported to consider evidence, reflect collectively, and develop considered views.</w:t>
      </w:r>
    </w:p>
    <w:p w:rsidR="0037496E" w:rsidRPr="0051143C">
      <w:pPr>
        <w:rPr>
          <w:rFonts w:asciiTheme="majorHAnsi" w:hAnsiTheme="majorHAnsi" w:cstheme="majorHAnsi"/>
        </w:rPr>
      </w:pPr>
      <w:r w:rsidRPr="0051143C">
        <w:rPr>
          <w:rFonts w:asciiTheme="majorHAnsi" w:hAnsiTheme="majorHAnsi" w:cstheme="majorHAnsi"/>
        </w:rPr>
        <w:t>The Charter was created in response to the underrepresentation of young adults in both health and digital health technology research, despite young adults reporting challenges and poor experiences of healthcare in the UK (Hargreaves et al., 2012, 2015). A range of digital health technologies are already used within health and social care services and pathways, as well as supporting preventative behaviours and self-management in young adults' lives. As the NHS 10-year Health Plan calls for further and faster</w:t>
      </w:r>
      <w:r w:rsidRPr="0051143C">
        <w:rPr>
          <w:rFonts w:asciiTheme="majorHAnsi" w:hAnsiTheme="majorHAnsi" w:cstheme="majorHAnsi"/>
        </w:rPr>
        <w:t xml:space="preserve"> shifts from analogue to digital, </w:t>
      </w:r>
      <w:r w:rsidRPr="0051143C">
        <w:rPr>
          <w:rFonts w:asciiTheme="majorHAnsi" w:hAnsiTheme="majorHAnsi" w:cstheme="majorHAnsi"/>
        </w:rPr>
        <w:t>ensuring access to the right digital health technologies at the right time for young adults is critical to improving the transition from child to adult services.</w:t>
      </w:r>
    </w:p>
    <w:p w:rsidR="0037496E" w:rsidRPr="0051143C">
      <w:pPr>
        <w:rPr>
          <w:rFonts w:asciiTheme="majorHAnsi" w:hAnsiTheme="majorHAnsi" w:cstheme="majorHAnsi"/>
        </w:rPr>
      </w:pPr>
      <w:r w:rsidRPr="0051143C">
        <w:rPr>
          <w:rFonts w:asciiTheme="majorHAnsi" w:hAnsiTheme="majorHAnsi" w:cstheme="majorHAnsi"/>
        </w:rPr>
        <w:t xml:space="preserve">This evidence offers insights </w:t>
      </w:r>
      <w:r w:rsidRPr="0051143C">
        <w:rPr>
          <w:rFonts w:asciiTheme="majorHAnsi" w:hAnsiTheme="majorHAnsi" w:cstheme="majorHAnsi"/>
          <w:i/>
          <w:iCs/>
        </w:rPr>
        <w:t xml:space="preserve">from </w:t>
      </w:r>
      <w:r w:rsidRPr="0051143C">
        <w:rPr>
          <w:rFonts w:asciiTheme="majorHAnsi" w:hAnsiTheme="majorHAnsi" w:cstheme="majorHAnsi"/>
        </w:rPr>
        <w:t xml:space="preserve">young adults </w:t>
      </w:r>
      <w:r w:rsidRPr="0051143C">
        <w:rPr>
          <w:rFonts w:asciiTheme="majorHAnsi" w:hAnsiTheme="majorHAnsi" w:cstheme="majorHAnsi"/>
          <w:i/>
          <w:iCs/>
        </w:rPr>
        <w:t xml:space="preserve">into </w:t>
      </w:r>
      <w:r w:rsidRPr="0051143C">
        <w:rPr>
          <w:rFonts w:asciiTheme="majorHAnsi" w:hAnsiTheme="majorHAnsi" w:cstheme="majorHAnsi"/>
        </w:rPr>
        <w:t xml:space="preserve">young adults as a unique and underrepresented demographic, underscoring the need for developmentally appropriate support for young adults through the transition to adult health and social support services. </w:t>
      </w:r>
    </w:p>
    <w:p w:rsidR="0037496E" w:rsidRPr="0051143C">
      <w:pPr>
        <w:rPr>
          <w:rFonts w:asciiTheme="majorHAnsi" w:hAnsiTheme="majorHAnsi" w:cstheme="majorHAnsi"/>
        </w:rPr>
      </w:pPr>
      <w:r w:rsidRPr="0051143C">
        <w:rPr>
          <w:rFonts w:asciiTheme="majorHAnsi" w:hAnsiTheme="majorHAnsi" w:cstheme="majorHAnsi"/>
        </w:rPr>
        <w:t>In submitting this work as evidence we aim to amplify the voices of young adults within decision making that impacts their lives and draw attention to the impact of digital health technologies within health and social care transitions.</w:t>
      </w:r>
    </w:p>
    <w:p w:rsidR="0037496E" w:rsidRPr="0051143C" w:rsidP="00595A71">
      <w:pPr>
        <w:pStyle w:val="Heading1"/>
        <w:rPr>
          <w:rFonts w:asciiTheme="majorHAnsi" w:hAnsiTheme="majorHAnsi" w:cstheme="majorHAnsi"/>
          <w:color w:val="auto"/>
        </w:rPr>
      </w:pPr>
      <w:bookmarkStart w:id="1" w:name="_heading=h.42palt5nk0ma" w:colFirst="0" w:colLast="0"/>
      <w:bookmarkEnd w:id="1"/>
      <w:r w:rsidRPr="0051143C">
        <w:rPr>
          <w:rFonts w:asciiTheme="majorHAnsi" w:hAnsiTheme="majorHAnsi" w:cstheme="majorHAnsi"/>
          <w:color w:val="auto"/>
        </w:rPr>
        <w:t>Focus Area 2: Effectiveness of the transition process and cross-service coordination</w:t>
      </w:r>
    </w:p>
    <w:p w:rsidR="0037496E" w:rsidRPr="0051143C">
      <w:pPr>
        <w:rPr>
          <w:rFonts w:asciiTheme="majorHAnsi" w:hAnsiTheme="majorHAnsi" w:cstheme="majorHAnsi"/>
          <w:b/>
          <w:bCs/>
        </w:rPr>
      </w:pPr>
      <w:r w:rsidRPr="0051143C">
        <w:rPr>
          <w:rFonts w:asciiTheme="majorHAnsi" w:hAnsiTheme="majorHAnsi" w:cstheme="majorHAnsi"/>
          <w:b/>
          <w:bCs/>
        </w:rPr>
        <w:t>[Appropriateness, Question 1] Are current guidelines and guidance in this area appropriate for children and young people, and for the health and social care professionals involved?</w:t>
      </w:r>
    </w:p>
    <w:p w:rsidR="0037496E" w:rsidRPr="0051143C">
      <w:pPr>
        <w:pBdr>
          <w:top w:val="nil"/>
          <w:left w:val="nil"/>
          <w:bottom w:val="nil"/>
          <w:right w:val="nil"/>
          <w:between w:val="nil"/>
        </w:pBdr>
        <w:spacing w:after="0"/>
        <w:rPr>
          <w:rFonts w:asciiTheme="majorHAnsi" w:hAnsiTheme="majorHAnsi" w:cstheme="majorHAnsi"/>
          <w:b/>
          <w:bCs/>
        </w:rPr>
      </w:pPr>
      <w:r w:rsidRPr="0051143C">
        <w:rPr>
          <w:rFonts w:asciiTheme="majorHAnsi" w:hAnsiTheme="majorHAnsi" w:cstheme="majorHAnsi"/>
        </w:rPr>
        <w:t xml:space="preserve">Young adults highlight weaknesses in service connection and coordination when moving between geographic regions (e.g., for </w:t>
      </w:r>
      <w:r w:rsidRPr="0051143C">
        <w:rPr>
          <w:rFonts w:asciiTheme="majorHAnsi" w:hAnsiTheme="majorHAnsi" w:cstheme="majorHAnsi"/>
        </w:rPr>
        <w:t xml:space="preserve">training </w:t>
      </w:r>
      <w:r w:rsidRPr="0051143C">
        <w:rPr>
          <w:rFonts w:asciiTheme="majorHAnsi" w:hAnsiTheme="majorHAnsi" w:cstheme="majorHAnsi"/>
        </w:rPr>
        <w:t>or</w:t>
      </w:r>
      <w:r w:rsidRPr="0051143C">
        <w:rPr>
          <w:rFonts w:asciiTheme="majorHAnsi" w:hAnsiTheme="majorHAnsi" w:cstheme="majorHAnsi"/>
        </w:rPr>
        <w:t xml:space="preserve"> employment</w:t>
      </w:r>
      <w:r w:rsidRPr="0051143C">
        <w:rPr>
          <w:rFonts w:asciiTheme="majorHAnsi" w:hAnsiTheme="majorHAnsi" w:cstheme="majorHAnsi"/>
        </w:rPr>
        <w:t xml:space="preserve">). </w:t>
      </w:r>
      <w:r w:rsidRPr="0051143C">
        <w:rPr>
          <w:rFonts w:asciiTheme="majorHAnsi" w:hAnsiTheme="majorHAnsi" w:cstheme="majorHAnsi"/>
        </w:rPr>
        <w:t>Young adults report experiencing</w:t>
      </w:r>
      <w:r w:rsidRPr="0051143C">
        <w:rPr>
          <w:rFonts w:asciiTheme="majorHAnsi" w:hAnsiTheme="majorHAnsi" w:cstheme="majorHAnsi"/>
        </w:rPr>
        <w:t xml:space="preserve"> time consuming, bureaucratic, and fractured service</w:t>
      </w:r>
      <w:r w:rsidRPr="0051143C">
        <w:rPr>
          <w:rFonts w:asciiTheme="majorHAnsi" w:hAnsiTheme="majorHAnsi" w:cstheme="majorHAnsi"/>
        </w:rPr>
        <w:t>s when moving between geographic regions in the UK.</w:t>
      </w:r>
      <w:r w:rsidRPr="0051143C">
        <w:rPr>
          <w:rFonts w:asciiTheme="majorHAnsi" w:hAnsiTheme="majorHAnsi" w:cstheme="majorHAnsi"/>
        </w:rPr>
        <w:t xml:space="preserve"> Their experiences underscore the need for national coordination </w:t>
      </w:r>
      <w:r w:rsidRPr="0051143C">
        <w:rPr>
          <w:rFonts w:asciiTheme="majorHAnsi" w:hAnsiTheme="majorHAnsi" w:cstheme="majorHAnsi"/>
        </w:rPr>
        <w:t>of services</w:t>
      </w:r>
      <w:r w:rsidRPr="0051143C">
        <w:rPr>
          <w:rFonts w:asciiTheme="majorHAnsi" w:hAnsiTheme="majorHAnsi" w:cstheme="majorHAnsi"/>
        </w:rPr>
        <w:t xml:space="preserve">, as well as the need for national-level data sharing to support smoother transitions into new regional support networks: </w:t>
      </w:r>
    </w:p>
    <w:p w:rsidR="0037496E" w:rsidRPr="0051143C">
      <w:pPr>
        <w:pBdr>
          <w:top w:val="nil"/>
          <w:left w:val="nil"/>
          <w:bottom w:val="nil"/>
          <w:right w:val="nil"/>
          <w:between w:val="nil"/>
        </w:pBdr>
        <w:spacing w:after="0"/>
        <w:ind w:left="720"/>
        <w:rPr>
          <w:rFonts w:asciiTheme="majorHAnsi" w:hAnsiTheme="majorHAnsi" w:cstheme="majorHAnsi"/>
          <w:i/>
          <w:iCs/>
        </w:rPr>
      </w:pPr>
      <w:r w:rsidRPr="0051143C">
        <w:rPr>
          <w:rFonts w:asciiTheme="majorHAnsi" w:hAnsiTheme="majorHAnsi" w:cstheme="majorHAnsi"/>
          <w:i/>
          <w:iCs/>
        </w:rPr>
        <w:t>“It needs to be national not regional. Some places have more, let’s say, Digital Health tech, some places have more of that available than others… it’s a postcode lottery and it shouldn’t be. You should be able to get equitable, fair, and fairly similar treatment throughout the country”</w:t>
      </w:r>
      <w:r w:rsidRPr="0051143C">
        <w:rPr>
          <w:rFonts w:asciiTheme="majorHAnsi" w:hAnsiTheme="majorHAnsi" w:cstheme="majorHAnsi"/>
          <w:i/>
          <w:iCs/>
        </w:rPr>
        <w:t xml:space="preserve"> </w:t>
      </w:r>
      <w:r w:rsidRPr="0051143C">
        <w:rPr>
          <w:rFonts w:asciiTheme="majorHAnsi" w:hAnsiTheme="majorHAnsi" w:cstheme="majorHAnsi"/>
        </w:rPr>
        <w:t>[Young Adult Participant]</w:t>
      </w:r>
      <w:r w:rsidRPr="0051143C">
        <w:rPr>
          <w:rFonts w:asciiTheme="majorHAnsi" w:hAnsiTheme="majorHAnsi" w:cstheme="majorHAnsi"/>
          <w:i/>
          <w:iCs/>
        </w:rPr>
        <w:br/>
      </w:r>
    </w:p>
    <w:p w:rsidR="0037496E" w:rsidRPr="0051143C">
      <w:pPr>
        <w:pBdr>
          <w:top w:val="nil"/>
          <w:left w:val="nil"/>
          <w:bottom w:val="nil"/>
          <w:right w:val="nil"/>
          <w:between w:val="nil"/>
        </w:pBdr>
        <w:spacing w:after="0"/>
        <w:rPr>
          <w:rFonts w:asciiTheme="majorHAnsi" w:hAnsiTheme="majorHAnsi" w:cstheme="majorHAnsi"/>
        </w:rPr>
      </w:pPr>
      <w:r w:rsidRPr="0051143C">
        <w:rPr>
          <w:rFonts w:asciiTheme="majorHAnsi" w:hAnsiTheme="majorHAnsi" w:cstheme="majorHAnsi"/>
        </w:rPr>
        <w:t>Guidelines should consider how commissioning and health data sharing may differ across regions, providing guidance to support young adults (and those supporting them) to navigate services within new regions. This is especially tru</w:t>
      </w:r>
      <w:r w:rsidRPr="0051143C">
        <w:rPr>
          <w:rFonts w:asciiTheme="majorHAnsi" w:hAnsiTheme="majorHAnsi" w:cstheme="majorHAnsi"/>
        </w:rPr>
        <w:t>e for digital tools and services, as commissioning changes may impact available means of independent health management</w:t>
      </w:r>
      <w:r w:rsidRPr="0051143C">
        <w:rPr>
          <w:rFonts w:asciiTheme="majorHAnsi" w:hAnsiTheme="majorHAnsi" w:cstheme="majorHAnsi"/>
        </w:rPr>
        <w:t xml:space="preserve">:   </w:t>
      </w:r>
    </w:p>
    <w:p w:rsidR="0037496E" w:rsidRPr="0051143C">
      <w:pPr>
        <w:pBdr>
          <w:top w:val="nil"/>
          <w:left w:val="nil"/>
          <w:bottom w:val="nil"/>
          <w:right w:val="nil"/>
          <w:between w:val="nil"/>
        </w:pBdr>
        <w:ind w:left="720"/>
        <w:rPr>
          <w:rFonts w:asciiTheme="majorHAnsi" w:hAnsiTheme="majorHAnsi" w:cstheme="majorHAnsi"/>
        </w:rPr>
      </w:pPr>
      <w:r w:rsidRPr="0051143C">
        <w:rPr>
          <w:rFonts w:asciiTheme="majorHAnsi" w:hAnsiTheme="majorHAnsi" w:cstheme="majorHAnsi"/>
          <w:i/>
          <w:iCs/>
        </w:rPr>
        <w:t xml:space="preserve">“There have been a few times where I’ve gone to order my prescription and it’s come up on the app that your pharmacy is no longer using this service, it’s gone to a different one… So it passes hands but it doesn’t let you know that until you go on to order your prescription that you’re running out of” </w:t>
      </w:r>
      <w:r w:rsidRPr="0051143C">
        <w:rPr>
          <w:rFonts w:asciiTheme="majorHAnsi" w:hAnsiTheme="majorHAnsi" w:cstheme="majorHAnsi"/>
        </w:rPr>
        <w:t>[Young Adult Participant]</w:t>
      </w:r>
    </w:p>
    <w:p w:rsidR="0037496E" w:rsidRPr="0051143C">
      <w:pPr>
        <w:rPr>
          <w:rFonts w:asciiTheme="majorHAnsi" w:hAnsiTheme="majorHAnsi" w:cstheme="majorHAnsi"/>
        </w:rPr>
      </w:pPr>
      <w:r w:rsidRPr="0051143C">
        <w:rPr>
          <w:rFonts w:asciiTheme="majorHAnsi" w:hAnsiTheme="majorHAnsi" w:cstheme="majorHAnsi"/>
        </w:rPr>
        <w:t xml:space="preserve">Guidelines and guidance should consider how geographic movement related to independence may impact young adults and provide appropriate information, training, and support for those beginning to navigate adult health and social care services.  </w:t>
      </w:r>
    </w:p>
    <w:p w:rsidR="0037496E" w:rsidRPr="0051143C" w:rsidP="00595A71">
      <w:pPr>
        <w:pStyle w:val="Heading1"/>
        <w:rPr>
          <w:rFonts w:asciiTheme="majorHAnsi" w:hAnsiTheme="majorHAnsi" w:cstheme="majorHAnsi"/>
          <w:color w:val="auto"/>
        </w:rPr>
      </w:pPr>
      <w:bookmarkStart w:id="2" w:name="_heading=h.3i71mkxl5uh6" w:colFirst="0" w:colLast="0"/>
      <w:bookmarkEnd w:id="2"/>
      <w:r w:rsidRPr="0051143C">
        <w:rPr>
          <w:rFonts w:asciiTheme="majorHAnsi" w:hAnsiTheme="majorHAnsi" w:cstheme="majorHAnsi"/>
          <w:color w:val="auto"/>
        </w:rPr>
        <w:t>Focus Area 3: Meaningful involvement of children, young people and carers</w:t>
      </w:r>
    </w:p>
    <w:p w:rsidR="0037496E" w:rsidRPr="0051143C">
      <w:pPr>
        <w:rPr>
          <w:rFonts w:asciiTheme="majorHAnsi" w:hAnsiTheme="majorHAnsi" w:cstheme="majorHAnsi"/>
          <w:b/>
          <w:bCs/>
        </w:rPr>
      </w:pPr>
      <w:r w:rsidRPr="0051143C">
        <w:rPr>
          <w:rFonts w:asciiTheme="majorHAnsi" w:hAnsiTheme="majorHAnsi" w:cstheme="majorHAnsi"/>
          <w:b/>
          <w:bCs/>
        </w:rPr>
        <w:t>[Equality and diversity, Question 2] To what extent are underserved or vulnerable service-user groups involved in coproduction of transition policies and strategies?</w:t>
      </w:r>
    </w:p>
    <w:p w:rsidR="0037496E" w:rsidRPr="0051143C">
      <w:pPr>
        <w:pBdr>
          <w:top w:val="nil"/>
          <w:left w:val="nil"/>
          <w:bottom w:val="nil"/>
          <w:right w:val="nil"/>
          <w:between w:val="nil"/>
        </w:pBdr>
        <w:spacing w:after="0"/>
        <w:rPr>
          <w:rFonts w:asciiTheme="majorHAnsi" w:hAnsiTheme="majorHAnsi" w:cstheme="majorHAnsi"/>
        </w:rPr>
      </w:pPr>
      <w:r w:rsidRPr="0051143C">
        <w:rPr>
          <w:rFonts w:asciiTheme="majorHAnsi" w:hAnsiTheme="majorHAnsi" w:cstheme="majorHAnsi"/>
        </w:rPr>
        <w:t>Young adults are an underserved, underrepresented, and underheard demographic within</w:t>
      </w:r>
      <w:r w:rsidRPr="0051143C">
        <w:rPr>
          <w:rFonts w:asciiTheme="majorHAnsi" w:hAnsiTheme="majorHAnsi" w:cstheme="majorHAnsi"/>
        </w:rPr>
        <w:t xml:space="preserve"> health and social care transition guidance</w:t>
      </w:r>
      <w:r w:rsidRPr="0051143C">
        <w:rPr>
          <w:rFonts w:asciiTheme="majorHAnsi" w:hAnsiTheme="majorHAnsi" w:cstheme="majorHAnsi"/>
        </w:rPr>
        <w:t>. Young adults should be recognised as a distinct group with distinct and evolving needs and experiences that re</w:t>
      </w:r>
      <w:r w:rsidRPr="0051143C">
        <w:rPr>
          <w:rFonts w:asciiTheme="majorHAnsi" w:hAnsiTheme="majorHAnsi" w:cstheme="majorHAnsi"/>
        </w:rPr>
        <w:t>quire support within the transition to adult services</w:t>
      </w:r>
      <w:r w:rsidRPr="0051143C">
        <w:rPr>
          <w:rFonts w:asciiTheme="majorHAnsi" w:hAnsiTheme="majorHAnsi" w:cstheme="majorHAnsi"/>
        </w:rPr>
        <w:t xml:space="preserve">. Further efforts are needed to invite and include young adults within service design, delivery, and evaluation related to transition to support the creation of </w:t>
      </w:r>
      <w:r w:rsidRPr="0051143C">
        <w:rPr>
          <w:rFonts w:asciiTheme="majorHAnsi" w:hAnsiTheme="majorHAnsi" w:cstheme="majorHAnsi"/>
        </w:rPr>
        <w:t>tools and services</w:t>
      </w:r>
      <w:r w:rsidRPr="0051143C">
        <w:rPr>
          <w:rFonts w:asciiTheme="majorHAnsi" w:hAnsiTheme="majorHAnsi" w:cstheme="majorHAnsi"/>
        </w:rPr>
        <w:t xml:space="preserve"> appropriate to their needs</w:t>
      </w:r>
      <w:r w:rsidRPr="0051143C">
        <w:rPr>
          <w:rFonts w:asciiTheme="majorHAnsi" w:hAnsiTheme="majorHAnsi" w:cstheme="majorHAnsi"/>
        </w:rPr>
        <w:t>:</w:t>
      </w:r>
    </w:p>
    <w:p w:rsidR="0037496E" w:rsidRPr="0051143C">
      <w:pPr>
        <w:pBdr>
          <w:top w:val="nil"/>
          <w:left w:val="nil"/>
          <w:bottom w:val="nil"/>
          <w:right w:val="nil"/>
          <w:between w:val="nil"/>
        </w:pBdr>
        <w:spacing w:after="0"/>
        <w:ind w:left="720"/>
        <w:rPr>
          <w:rFonts w:asciiTheme="majorHAnsi" w:hAnsiTheme="majorHAnsi" w:cstheme="majorHAnsi"/>
          <w:i/>
          <w:iCs/>
        </w:rPr>
      </w:pPr>
      <w:r w:rsidRPr="0051143C">
        <w:rPr>
          <w:rFonts w:asciiTheme="majorHAnsi" w:hAnsiTheme="majorHAnsi" w:cstheme="majorHAnsi"/>
          <w:i/>
          <w:iCs/>
        </w:rPr>
        <w:t xml:space="preserve">“I don’t think young adults are part of a demographic that they [the Government] consider when they make decisions… I think young adults as a whole slip under the radar quite a lot and I guess people who make large decisions like that, they’ve not even given a second thought as to how it will affect such a big population of young adults” </w:t>
      </w:r>
      <w:r w:rsidRPr="0051143C">
        <w:rPr>
          <w:rFonts w:asciiTheme="majorHAnsi" w:hAnsiTheme="majorHAnsi" w:cstheme="majorHAnsi"/>
        </w:rPr>
        <w:t>[Youn</w:t>
      </w:r>
      <w:r w:rsidRPr="0051143C">
        <w:rPr>
          <w:rFonts w:asciiTheme="majorHAnsi" w:hAnsiTheme="majorHAnsi" w:cstheme="majorHAnsi"/>
        </w:rPr>
        <w:t>g Adult Participant</w:t>
      </w:r>
      <w:r w:rsidRPr="0051143C">
        <w:rPr>
          <w:rFonts w:asciiTheme="majorHAnsi" w:hAnsiTheme="majorHAnsi" w:cstheme="majorHAnsi"/>
        </w:rPr>
        <w:t>]</w:t>
      </w:r>
      <w:r w:rsidRPr="0051143C">
        <w:rPr>
          <w:rFonts w:asciiTheme="majorHAnsi" w:hAnsiTheme="majorHAnsi" w:cstheme="majorHAnsi"/>
          <w:i/>
          <w:iCs/>
        </w:rPr>
        <w:br/>
      </w:r>
    </w:p>
    <w:p w:rsidR="0037496E" w:rsidRPr="0051143C">
      <w:pPr>
        <w:rPr>
          <w:rFonts w:asciiTheme="majorHAnsi" w:hAnsiTheme="majorHAnsi" w:cstheme="majorHAnsi"/>
        </w:rPr>
      </w:pPr>
      <w:r w:rsidRPr="0051143C">
        <w:rPr>
          <w:rFonts w:asciiTheme="majorHAnsi" w:hAnsiTheme="majorHAnsi" w:cstheme="majorHAnsi"/>
        </w:rPr>
        <w:t xml:space="preserve">Some young adults managing long-term health conditions reported acting as carers (formally and/or informally) for others in their lives. Guidance should consider how young adult carers living with long-term health conditions might be supported within their own transition to adult services. </w:t>
      </w:r>
    </w:p>
    <w:p w:rsidR="0037496E" w:rsidRPr="0051143C">
      <w:pPr>
        <w:pBdr>
          <w:top w:val="nil"/>
          <w:left w:val="nil"/>
          <w:bottom w:val="nil"/>
          <w:right w:val="nil"/>
          <w:between w:val="nil"/>
        </w:pBdr>
        <w:spacing w:after="0"/>
        <w:rPr>
          <w:rFonts w:asciiTheme="majorHAnsi" w:hAnsiTheme="majorHAnsi" w:cstheme="majorHAnsi"/>
        </w:rPr>
      </w:pPr>
      <w:r w:rsidRPr="0051143C">
        <w:rPr>
          <w:rFonts w:asciiTheme="majorHAnsi" w:hAnsiTheme="majorHAnsi" w:cstheme="majorHAnsi"/>
        </w:rPr>
        <w:t>A</w:t>
      </w:r>
      <w:r w:rsidRPr="0051143C">
        <w:rPr>
          <w:rFonts w:asciiTheme="majorHAnsi" w:hAnsiTheme="majorHAnsi" w:cstheme="majorHAnsi"/>
        </w:rPr>
        <w:t xml:space="preserve">dditional resourcing and support may be needed to enable </w:t>
      </w:r>
      <w:r w:rsidRPr="0051143C">
        <w:rPr>
          <w:rFonts w:asciiTheme="majorHAnsi" w:hAnsiTheme="majorHAnsi" w:cstheme="majorHAnsi"/>
        </w:rPr>
        <w:t>young adults to participate in coproduction. This may</w:t>
      </w:r>
      <w:r w:rsidRPr="0051143C">
        <w:rPr>
          <w:rFonts w:asciiTheme="majorHAnsi" w:hAnsiTheme="majorHAnsi" w:cstheme="majorHAnsi"/>
        </w:rPr>
        <w:t xml:space="preserve"> includ</w:t>
      </w:r>
      <w:r w:rsidRPr="0051143C">
        <w:rPr>
          <w:rFonts w:asciiTheme="majorHAnsi" w:hAnsiTheme="majorHAnsi" w:cstheme="majorHAnsi"/>
        </w:rPr>
        <w:t>e</w:t>
      </w:r>
      <w:r w:rsidRPr="0051143C">
        <w:rPr>
          <w:rFonts w:asciiTheme="majorHAnsi" w:hAnsiTheme="majorHAnsi" w:cstheme="majorHAnsi"/>
        </w:rPr>
        <w:t xml:space="preserve"> removing organisational barriers to attend (e.g., sending reminders, recruiting through varied trusted organisations, such as community groups); providing online and in-person participation options; providing </w:t>
      </w:r>
      <w:r w:rsidRPr="0051143C">
        <w:rPr>
          <w:rFonts w:asciiTheme="majorHAnsi" w:hAnsiTheme="majorHAnsi" w:cstheme="majorHAnsi"/>
        </w:rPr>
        <w:t>appropriate</w:t>
      </w:r>
      <w:r w:rsidRPr="0051143C">
        <w:rPr>
          <w:rFonts w:asciiTheme="majorHAnsi" w:hAnsiTheme="majorHAnsi" w:cstheme="majorHAnsi"/>
        </w:rPr>
        <w:t xml:space="preserve"> remuneration;</w:t>
      </w:r>
      <w:r w:rsidRPr="0051143C">
        <w:rPr>
          <w:rFonts w:asciiTheme="majorHAnsi" w:hAnsiTheme="majorHAnsi" w:cstheme="majorHAnsi"/>
        </w:rPr>
        <w:t xml:space="preserve"> </w:t>
      </w:r>
      <w:r w:rsidRPr="0051143C">
        <w:rPr>
          <w:rFonts w:asciiTheme="majorHAnsi" w:hAnsiTheme="majorHAnsi" w:cstheme="majorHAnsi"/>
        </w:rPr>
        <w:t>and creating opportunities to connect and reflect collectively with other young adults.</w:t>
      </w:r>
    </w:p>
    <w:p w:rsidR="0037496E" w:rsidRPr="0051143C" w:rsidP="00595A71">
      <w:pPr>
        <w:pStyle w:val="Heading1"/>
        <w:rPr>
          <w:rFonts w:asciiTheme="majorHAnsi" w:hAnsiTheme="majorHAnsi" w:cstheme="majorHAnsi"/>
          <w:color w:val="auto"/>
        </w:rPr>
      </w:pPr>
      <w:bookmarkStart w:id="3" w:name="_heading=h.tmwbcef0ozbf" w:colFirst="0" w:colLast="0"/>
      <w:bookmarkEnd w:id="3"/>
      <w:r w:rsidRPr="0051143C">
        <w:rPr>
          <w:rFonts w:asciiTheme="majorHAnsi" w:hAnsiTheme="majorHAnsi" w:cstheme="majorHAnsi"/>
          <w:color w:val="auto"/>
        </w:rPr>
        <w:t>Focus Area 4: Workforce and training</w:t>
      </w:r>
    </w:p>
    <w:p w:rsidR="0037496E" w:rsidRPr="0051143C">
      <w:pPr>
        <w:rPr>
          <w:rFonts w:asciiTheme="majorHAnsi" w:hAnsiTheme="majorHAnsi" w:cstheme="majorHAnsi"/>
          <w:b/>
          <w:bCs/>
        </w:rPr>
      </w:pPr>
      <w:r w:rsidRPr="0051143C">
        <w:rPr>
          <w:rFonts w:asciiTheme="majorHAnsi" w:hAnsiTheme="majorHAnsi" w:cstheme="majorHAnsi"/>
          <w:b/>
          <w:bCs/>
        </w:rPr>
        <w:t>[Appropriateness, Question 1] Is the level of training and education provided to staff appropriate for the needs of young people at the point of transition?</w:t>
      </w:r>
    </w:p>
    <w:p w:rsidR="0037496E" w:rsidRPr="0051143C">
      <w:pPr>
        <w:pBdr>
          <w:top w:val="nil"/>
          <w:left w:val="nil"/>
          <w:bottom w:val="nil"/>
          <w:right w:val="nil"/>
          <w:between w:val="nil"/>
        </w:pBdr>
        <w:spacing w:after="0"/>
        <w:rPr>
          <w:rFonts w:asciiTheme="majorHAnsi" w:hAnsiTheme="majorHAnsi" w:cstheme="majorHAnsi"/>
          <w:b/>
          <w:bCs/>
        </w:rPr>
      </w:pPr>
      <w:r w:rsidRPr="0051143C">
        <w:rPr>
          <w:rFonts w:asciiTheme="majorHAnsi" w:hAnsiTheme="majorHAnsi" w:cstheme="majorHAnsi"/>
        </w:rPr>
        <w:t xml:space="preserve">Young adults identified the need for greater support and training to be given to healthcare professionals around digital health technologies used to support health management </w:t>
      </w:r>
      <w:r w:rsidRPr="0051143C">
        <w:rPr>
          <w:rFonts w:asciiTheme="majorHAnsi" w:hAnsiTheme="majorHAnsi" w:cstheme="majorHAnsi"/>
        </w:rPr>
        <w:t>independence</w:t>
      </w:r>
      <w:r w:rsidRPr="0051143C">
        <w:rPr>
          <w:rFonts w:asciiTheme="majorHAnsi" w:hAnsiTheme="majorHAnsi" w:cstheme="majorHAnsi"/>
        </w:rPr>
        <w:t xml:space="preserve">. This was </w:t>
      </w:r>
      <w:r w:rsidRPr="0051143C">
        <w:rPr>
          <w:rFonts w:asciiTheme="majorHAnsi" w:hAnsiTheme="majorHAnsi" w:cstheme="majorHAnsi"/>
        </w:rPr>
        <w:t xml:space="preserve">noted </w:t>
      </w:r>
      <w:r w:rsidRPr="0051143C">
        <w:rPr>
          <w:rFonts w:asciiTheme="majorHAnsi" w:hAnsiTheme="majorHAnsi" w:cstheme="majorHAnsi"/>
        </w:rPr>
        <w:t xml:space="preserve">as a key area in which appropriate support may be further developed: </w:t>
      </w:r>
    </w:p>
    <w:p w:rsidR="0037496E" w:rsidRPr="0051143C">
      <w:pPr>
        <w:pBdr>
          <w:top w:val="nil"/>
          <w:left w:val="nil"/>
          <w:bottom w:val="nil"/>
          <w:right w:val="nil"/>
          <w:between w:val="nil"/>
        </w:pBdr>
        <w:ind w:left="720"/>
        <w:rPr>
          <w:rFonts w:asciiTheme="majorHAnsi" w:hAnsiTheme="majorHAnsi" w:cstheme="majorHAnsi"/>
          <w:i/>
          <w:iCs/>
        </w:rPr>
      </w:pPr>
      <w:r w:rsidRPr="0051143C">
        <w:rPr>
          <w:rFonts w:asciiTheme="majorHAnsi" w:hAnsiTheme="majorHAnsi" w:cstheme="majorHAnsi"/>
          <w:i/>
          <w:iCs/>
        </w:rPr>
        <w:t xml:space="preserve">“Making sure that professionals have the same level of trust and give the same credit to Digital Health tech as young people do. It’s obviously a massive part of young people’s management of their conditions, their lifestyle, everything – and sometimes there is a bit of friction with professionals and the information that’s gathered. It can </w:t>
      </w:r>
      <w:r w:rsidRPr="0051143C">
        <w:rPr>
          <w:rFonts w:asciiTheme="majorHAnsi" w:hAnsiTheme="majorHAnsi" w:cstheme="majorHAnsi"/>
          <w:i/>
          <w:iCs/>
        </w:rPr>
        <w:t xml:space="preserve">be a bit of a battle to get them to trust that and take it on board” </w:t>
      </w:r>
      <w:r w:rsidRPr="0051143C">
        <w:rPr>
          <w:rFonts w:asciiTheme="majorHAnsi" w:hAnsiTheme="majorHAnsi" w:cstheme="majorHAnsi"/>
          <w:i/>
          <w:iCs/>
        </w:rPr>
        <w:t xml:space="preserve"> </w:t>
      </w:r>
      <w:r w:rsidRPr="0051143C">
        <w:rPr>
          <w:rFonts w:asciiTheme="majorHAnsi" w:hAnsiTheme="majorHAnsi" w:cstheme="majorHAnsi"/>
        </w:rPr>
        <w:t>[Young Adult Participant]</w:t>
      </w:r>
    </w:p>
    <w:p w:rsidR="0037496E" w:rsidRPr="0051143C">
      <w:pPr>
        <w:spacing w:after="0"/>
        <w:rPr>
          <w:rFonts w:asciiTheme="majorHAnsi" w:hAnsiTheme="majorHAnsi" w:cstheme="majorHAnsi"/>
        </w:rPr>
      </w:pPr>
      <w:r w:rsidRPr="0051143C">
        <w:rPr>
          <w:rFonts w:asciiTheme="majorHAnsi" w:hAnsiTheme="majorHAnsi" w:cstheme="majorHAnsi"/>
        </w:rPr>
        <w:t xml:space="preserve">Digital literacy and proficiency were highlighted by young adults as age-based assumptions. While digital tools were voiced by some as useful means to manage ones’ health, young adults desired clear, accessible training from trusted healthcare professionals on how to select and use digital tools without the assumption of digital proficiency: </w:t>
      </w:r>
    </w:p>
    <w:p w:rsidR="0037496E" w:rsidRPr="0051143C">
      <w:pPr>
        <w:spacing w:after="0"/>
        <w:ind w:left="720"/>
        <w:rPr>
          <w:rFonts w:asciiTheme="majorHAnsi" w:hAnsiTheme="majorHAnsi" w:cstheme="majorHAnsi"/>
          <w:i/>
          <w:iCs/>
        </w:rPr>
      </w:pPr>
      <w:r w:rsidRPr="0051143C">
        <w:rPr>
          <w:rFonts w:asciiTheme="majorHAnsi" w:hAnsiTheme="majorHAnsi" w:cstheme="majorHAnsi"/>
          <w:i/>
          <w:iCs/>
        </w:rPr>
        <w:t xml:space="preserve">“Ensuring technology that’s rolled out has adequate training alongside it to actually be able to use that tech safely and effectively. Because young adults can’t just be assumed that they’ll know how to use what’s given to them or what’s on offer” </w:t>
      </w:r>
      <w:r w:rsidRPr="0051143C">
        <w:rPr>
          <w:rFonts w:asciiTheme="majorHAnsi" w:hAnsiTheme="majorHAnsi" w:cstheme="majorHAnsi"/>
        </w:rPr>
        <w:t>[Young Adult Participant]</w:t>
      </w:r>
    </w:p>
    <w:p w:rsidR="0037496E" w:rsidRPr="0051143C">
      <w:pPr>
        <w:spacing w:after="0"/>
        <w:rPr>
          <w:rFonts w:asciiTheme="majorHAnsi" w:hAnsiTheme="majorHAnsi" w:cstheme="majorHAnsi"/>
        </w:rPr>
      </w:pPr>
    </w:p>
    <w:p w:rsidR="0037496E" w:rsidRPr="0051143C">
      <w:pPr>
        <w:spacing w:after="0"/>
        <w:rPr>
          <w:rFonts w:asciiTheme="majorHAnsi" w:hAnsiTheme="majorHAnsi" w:cstheme="majorHAnsi"/>
        </w:rPr>
      </w:pPr>
      <w:r w:rsidRPr="0051143C">
        <w:rPr>
          <w:rFonts w:asciiTheme="majorHAnsi" w:hAnsiTheme="majorHAnsi" w:cstheme="majorHAnsi"/>
        </w:rPr>
        <w:t>Supporting additional training in digital health technologies would also recognise the ‘dual burden’ faced by young adults, in which they are expected to manage their own condition while also helping parents, carers, or relatives navigate digital health technologies:</w:t>
      </w:r>
    </w:p>
    <w:p w:rsidR="0037496E" w:rsidRPr="0051143C">
      <w:pPr>
        <w:spacing w:after="0"/>
        <w:ind w:left="720"/>
        <w:rPr>
          <w:rFonts w:asciiTheme="majorHAnsi" w:hAnsiTheme="majorHAnsi" w:cstheme="majorHAnsi"/>
          <w:i/>
          <w:iCs/>
        </w:rPr>
      </w:pPr>
      <w:r w:rsidRPr="0051143C">
        <w:rPr>
          <w:rFonts w:asciiTheme="majorHAnsi" w:hAnsiTheme="majorHAnsi" w:cstheme="majorHAnsi"/>
          <w:i/>
          <w:iCs/>
        </w:rPr>
        <w:t xml:space="preserve">“You also end up being the designated teacher of how to teach people how to use it [digital health technology]… which I think is quite a big part of being a young adult. Being that teacher and being able to advocate for digital tech”  </w:t>
      </w:r>
      <w:r w:rsidRPr="0051143C">
        <w:rPr>
          <w:rFonts w:asciiTheme="majorHAnsi" w:hAnsiTheme="majorHAnsi" w:cstheme="majorHAnsi"/>
        </w:rPr>
        <w:t>[Young Adult Participant]</w:t>
      </w:r>
    </w:p>
    <w:p w:rsidR="0037496E" w:rsidRPr="0051143C">
      <w:pPr>
        <w:spacing w:after="0"/>
        <w:rPr>
          <w:rFonts w:asciiTheme="majorHAnsi" w:hAnsiTheme="majorHAnsi" w:cstheme="majorHAnsi"/>
          <w:i/>
          <w:iCs/>
        </w:rPr>
      </w:pPr>
    </w:p>
    <w:p w:rsidR="0037496E" w:rsidRPr="0051143C">
      <w:pPr>
        <w:spacing w:after="0"/>
        <w:rPr>
          <w:rFonts w:asciiTheme="majorHAnsi" w:hAnsiTheme="majorHAnsi" w:cstheme="majorHAnsi"/>
        </w:rPr>
      </w:pPr>
      <w:r w:rsidRPr="0051143C">
        <w:rPr>
          <w:rFonts w:asciiTheme="majorHAnsi" w:hAnsiTheme="majorHAnsi" w:cstheme="majorHAnsi"/>
        </w:rPr>
        <w:t xml:space="preserve">Additional training is needed to enable healthcare professionals to support young adults to select and use digital health technologies effectively for their health, recognising the dual burden young adults experience under the assumption of digital proficiency. </w:t>
      </w:r>
    </w:p>
    <w:p w:rsidR="0037496E" w:rsidRPr="0051143C" w:rsidP="00595A71">
      <w:pPr>
        <w:pStyle w:val="Heading1"/>
        <w:rPr>
          <w:rFonts w:asciiTheme="majorHAnsi" w:hAnsiTheme="majorHAnsi" w:cstheme="majorHAnsi"/>
          <w:color w:val="auto"/>
        </w:rPr>
      </w:pPr>
      <w:bookmarkStart w:id="4" w:name="_heading=h.sbvu1y1j7444" w:colFirst="0" w:colLast="0"/>
      <w:bookmarkEnd w:id="4"/>
      <w:r w:rsidRPr="0051143C">
        <w:rPr>
          <w:rFonts w:asciiTheme="majorHAnsi" w:hAnsiTheme="majorHAnsi" w:cstheme="majorHAnsi"/>
          <w:color w:val="auto"/>
        </w:rPr>
        <w:t>Focus Area 5: Enabling developmentally appropriate independence</w:t>
      </w:r>
    </w:p>
    <w:p w:rsidR="0037496E" w:rsidRPr="0051143C">
      <w:pPr>
        <w:rPr>
          <w:rFonts w:asciiTheme="majorHAnsi" w:hAnsiTheme="majorHAnsi" w:cstheme="majorHAnsi"/>
          <w:b/>
          <w:bCs/>
        </w:rPr>
      </w:pPr>
      <w:r w:rsidRPr="0051143C">
        <w:rPr>
          <w:rFonts w:asciiTheme="majorHAnsi" w:hAnsiTheme="majorHAnsi" w:cstheme="majorHAnsi"/>
          <w:b/>
          <w:bCs/>
        </w:rPr>
        <w:t>[Appropriateness, Question 1] How far are current approaches to promoting independence tailored to developmental stage and individual circumstances, compared to standard age-based assumptions?</w:t>
      </w:r>
    </w:p>
    <w:p w:rsidR="0037496E" w:rsidRPr="0051143C">
      <w:pPr>
        <w:pBdr>
          <w:top w:val="nil"/>
          <w:left w:val="nil"/>
          <w:bottom w:val="nil"/>
          <w:right w:val="nil"/>
          <w:between w:val="nil"/>
        </w:pBdr>
        <w:spacing w:after="0"/>
        <w:rPr>
          <w:rFonts w:asciiTheme="majorHAnsi" w:hAnsiTheme="majorHAnsi" w:cstheme="majorHAnsi"/>
          <w:b/>
          <w:bCs/>
        </w:rPr>
      </w:pPr>
      <w:r w:rsidRPr="0051143C">
        <w:rPr>
          <w:rFonts w:asciiTheme="majorHAnsi" w:hAnsiTheme="majorHAnsi" w:cstheme="majorHAnsi"/>
        </w:rPr>
        <w:t xml:space="preserve">Young adults </w:t>
      </w:r>
      <w:r w:rsidRPr="0051143C">
        <w:rPr>
          <w:rFonts w:asciiTheme="majorHAnsi" w:hAnsiTheme="majorHAnsi" w:cstheme="majorHAnsi"/>
        </w:rPr>
        <w:t>should</w:t>
      </w:r>
      <w:r w:rsidRPr="0051143C">
        <w:rPr>
          <w:rFonts w:asciiTheme="majorHAnsi" w:hAnsiTheme="majorHAnsi" w:cstheme="majorHAnsi"/>
        </w:rPr>
        <w:t xml:space="preserve"> be recognised as a distinct group with unique needs and concerns </w:t>
      </w:r>
      <w:r w:rsidRPr="0051143C">
        <w:rPr>
          <w:rFonts w:asciiTheme="majorHAnsi" w:hAnsiTheme="majorHAnsi" w:cstheme="majorHAnsi"/>
        </w:rPr>
        <w:t>in the transition from child to adult health and social care services</w:t>
      </w:r>
      <w:r w:rsidRPr="0051143C">
        <w:rPr>
          <w:rFonts w:asciiTheme="majorHAnsi" w:hAnsiTheme="majorHAnsi" w:cstheme="majorHAnsi"/>
        </w:rPr>
        <w:t xml:space="preserve">. Further </w:t>
      </w:r>
      <w:r w:rsidRPr="0051143C">
        <w:rPr>
          <w:rFonts w:asciiTheme="majorHAnsi" w:hAnsiTheme="majorHAnsi" w:cstheme="majorHAnsi"/>
        </w:rPr>
        <w:t xml:space="preserve">involvement and </w:t>
      </w:r>
      <w:r w:rsidRPr="0051143C">
        <w:rPr>
          <w:rFonts w:asciiTheme="majorHAnsi" w:hAnsiTheme="majorHAnsi" w:cstheme="majorHAnsi"/>
        </w:rPr>
        <w:t xml:space="preserve">coproduction </w:t>
      </w:r>
      <w:r w:rsidRPr="0051143C">
        <w:rPr>
          <w:rFonts w:asciiTheme="majorHAnsi" w:hAnsiTheme="majorHAnsi" w:cstheme="majorHAnsi"/>
        </w:rPr>
        <w:t xml:space="preserve">with young adults </w:t>
      </w:r>
      <w:r w:rsidRPr="0051143C">
        <w:rPr>
          <w:rFonts w:asciiTheme="majorHAnsi" w:hAnsiTheme="majorHAnsi" w:cstheme="majorHAnsi"/>
        </w:rPr>
        <w:t>is needed to support more effective transitions to adult services, and to avoid potential absences and/or avoidance of ser</w:t>
      </w:r>
      <w:r w:rsidRPr="0051143C">
        <w:rPr>
          <w:rFonts w:asciiTheme="majorHAnsi" w:hAnsiTheme="majorHAnsi" w:cstheme="majorHAnsi"/>
        </w:rPr>
        <w:t>vic</w:t>
      </w:r>
      <w:r w:rsidRPr="0051143C">
        <w:rPr>
          <w:rFonts w:asciiTheme="majorHAnsi" w:hAnsiTheme="majorHAnsi" w:cstheme="majorHAnsi"/>
        </w:rPr>
        <w:t>es due to lack of appropriate support</w:t>
      </w:r>
      <w:r w:rsidRPr="0051143C">
        <w:rPr>
          <w:rFonts w:asciiTheme="majorHAnsi" w:hAnsiTheme="majorHAnsi" w:cstheme="majorHAnsi"/>
        </w:rPr>
        <w:t>:</w:t>
      </w:r>
      <w:r w:rsidRPr="0051143C">
        <w:rPr>
          <w:rFonts w:asciiTheme="majorHAnsi" w:hAnsiTheme="majorHAnsi" w:cstheme="majorHAnsi"/>
        </w:rPr>
        <w:t xml:space="preserve"> </w:t>
      </w:r>
    </w:p>
    <w:p w:rsidR="0037496E" w:rsidRPr="0051143C">
      <w:pPr>
        <w:pBdr>
          <w:top w:val="nil"/>
          <w:left w:val="nil"/>
          <w:bottom w:val="nil"/>
          <w:right w:val="nil"/>
          <w:between w:val="nil"/>
        </w:pBdr>
        <w:spacing w:after="0"/>
        <w:ind w:left="720"/>
        <w:rPr>
          <w:rFonts w:asciiTheme="majorHAnsi" w:hAnsiTheme="majorHAnsi" w:cstheme="majorHAnsi"/>
          <w:i/>
          <w:iCs/>
        </w:rPr>
      </w:pPr>
      <w:r w:rsidRPr="0051143C">
        <w:rPr>
          <w:rFonts w:asciiTheme="majorHAnsi" w:hAnsiTheme="majorHAnsi" w:cstheme="majorHAnsi"/>
          <w:i/>
          <w:iCs/>
        </w:rPr>
        <w:t xml:space="preserve">“You’re thrust into this world of being an adult… I don’t know about anyone else but it’s just, it’s really overwhelming sometimes” </w:t>
      </w:r>
      <w:r w:rsidRPr="0051143C">
        <w:rPr>
          <w:rFonts w:asciiTheme="majorHAnsi" w:hAnsiTheme="majorHAnsi" w:cstheme="majorHAnsi"/>
        </w:rPr>
        <w:t>[Young Adult Participant]</w:t>
      </w:r>
      <w:r w:rsidRPr="0051143C">
        <w:rPr>
          <w:rFonts w:asciiTheme="majorHAnsi" w:hAnsiTheme="majorHAnsi" w:cstheme="majorHAnsi"/>
          <w:i/>
          <w:iCs/>
        </w:rPr>
        <w:br/>
      </w:r>
    </w:p>
    <w:p w:rsidR="0037496E" w:rsidRPr="0051143C">
      <w:pPr>
        <w:pBdr>
          <w:top w:val="nil"/>
          <w:left w:val="nil"/>
          <w:bottom w:val="nil"/>
          <w:right w:val="nil"/>
          <w:between w:val="nil"/>
        </w:pBdr>
        <w:spacing w:after="0"/>
        <w:rPr>
          <w:rFonts w:asciiTheme="majorHAnsi" w:hAnsiTheme="majorHAnsi" w:cstheme="majorHAnsi"/>
        </w:rPr>
      </w:pPr>
      <w:r w:rsidRPr="0051143C">
        <w:rPr>
          <w:rFonts w:asciiTheme="majorHAnsi" w:hAnsiTheme="majorHAnsi" w:cstheme="majorHAnsi"/>
        </w:rPr>
        <w:t xml:space="preserve">Young adults highlight specific challenges related to the navigating service provision changes when moving to new regions within the UK (e.g., for training or employment) and the </w:t>
      </w:r>
      <w:r w:rsidRPr="0051143C">
        <w:rPr>
          <w:rFonts w:asciiTheme="majorHAnsi" w:hAnsiTheme="majorHAnsi" w:cstheme="majorHAnsi"/>
        </w:rPr>
        <w:t>affordability of long-term health condition management related to this developmental stage of life:</w:t>
      </w:r>
    </w:p>
    <w:p w:rsidR="0037496E" w:rsidRPr="0051143C">
      <w:pPr>
        <w:pBdr>
          <w:top w:val="nil"/>
          <w:left w:val="nil"/>
          <w:bottom w:val="nil"/>
          <w:right w:val="nil"/>
          <w:between w:val="nil"/>
        </w:pBdr>
        <w:spacing w:after="0"/>
        <w:ind w:left="720"/>
        <w:rPr>
          <w:rFonts w:asciiTheme="majorHAnsi" w:hAnsiTheme="majorHAnsi" w:cstheme="majorHAnsi"/>
        </w:rPr>
      </w:pPr>
      <w:r w:rsidRPr="0051143C">
        <w:rPr>
          <w:rFonts w:asciiTheme="majorHAnsi" w:hAnsiTheme="majorHAnsi" w:cstheme="majorHAnsi"/>
          <w:i/>
          <w:iCs/>
        </w:rPr>
        <w:t>“Cost of living. I don’t even say ‘living’, I say ‘existing’. Because that’s how it feels being a young person in today’s society.”</w:t>
      </w:r>
      <w:r w:rsidRPr="0051143C">
        <w:rPr>
          <w:rFonts w:asciiTheme="majorHAnsi" w:hAnsiTheme="majorHAnsi" w:cstheme="majorHAnsi"/>
        </w:rPr>
        <w:t xml:space="preserve"> [Young Adult Participant]</w:t>
      </w:r>
    </w:p>
    <w:p w:rsidR="0037496E" w:rsidRPr="0051143C">
      <w:pPr>
        <w:pBdr>
          <w:top w:val="nil"/>
          <w:left w:val="nil"/>
          <w:bottom w:val="nil"/>
          <w:right w:val="nil"/>
          <w:between w:val="nil"/>
        </w:pBdr>
        <w:spacing w:after="0"/>
        <w:rPr>
          <w:rFonts w:asciiTheme="majorHAnsi" w:hAnsiTheme="majorHAnsi" w:cstheme="majorHAnsi"/>
          <w:b/>
          <w:bCs/>
        </w:rPr>
      </w:pPr>
      <w:r w:rsidRPr="0051143C">
        <w:rPr>
          <w:rFonts w:asciiTheme="majorHAnsi" w:hAnsiTheme="majorHAnsi" w:cstheme="majorHAnsi"/>
        </w:rPr>
        <w:t xml:space="preserve">Further work is needed to support young adults to navigate and respond to these challenges in order to enable developmentally appropriate independence. </w:t>
      </w:r>
    </w:p>
    <w:p w:rsidR="0037496E" w:rsidRPr="0051143C" w:rsidP="00595A71">
      <w:pPr>
        <w:pStyle w:val="Heading1"/>
        <w:rPr>
          <w:rFonts w:asciiTheme="majorHAnsi" w:hAnsiTheme="majorHAnsi" w:cstheme="majorHAnsi"/>
          <w:color w:val="auto"/>
        </w:rPr>
      </w:pPr>
      <w:bookmarkStart w:id="5" w:name="_heading=h.wv66zz4p9rd" w:colFirst="0" w:colLast="0"/>
      <w:bookmarkEnd w:id="5"/>
      <w:r w:rsidRPr="0051143C">
        <w:rPr>
          <w:rFonts w:asciiTheme="majorHAnsi" w:hAnsiTheme="majorHAnsi" w:cstheme="majorHAnsi"/>
          <w:color w:val="auto"/>
        </w:rPr>
        <w:t>Recommendations</w:t>
      </w:r>
    </w:p>
    <w:p w:rsidR="0037496E" w:rsidRPr="0051143C">
      <w:pPr>
        <w:numPr>
          <w:ilvl w:val="0"/>
          <w:numId w:val="1"/>
        </w:numPr>
        <w:rPr>
          <w:rFonts w:asciiTheme="majorHAnsi" w:hAnsiTheme="majorHAnsi" w:cstheme="majorHAnsi"/>
        </w:rPr>
      </w:pPr>
      <w:r w:rsidRPr="0051143C">
        <w:rPr>
          <w:rFonts w:asciiTheme="majorHAnsi" w:hAnsiTheme="majorHAnsi" w:cstheme="majorHAnsi"/>
        </w:rPr>
        <w:t>Young adults should be recognised as a distinct group with unique and changing needs, including geographic movement and affordability concerns.</w:t>
      </w:r>
    </w:p>
    <w:p w:rsidR="0037496E" w:rsidRPr="0051143C">
      <w:pPr>
        <w:numPr>
          <w:ilvl w:val="0"/>
          <w:numId w:val="1"/>
        </w:numPr>
        <w:rPr>
          <w:rFonts w:asciiTheme="majorHAnsi" w:hAnsiTheme="majorHAnsi" w:cstheme="majorHAnsi"/>
        </w:rPr>
      </w:pPr>
      <w:r w:rsidRPr="0051143C">
        <w:rPr>
          <w:rFonts w:asciiTheme="majorHAnsi" w:hAnsiTheme="majorHAnsi" w:cstheme="majorHAnsi"/>
        </w:rPr>
        <w:t xml:space="preserve">Young adults should be meaningfully involved in the coproduction of transition services to inform and enable developmentally appropriate independence; and to reflect the diverse experiences and wider goals of this critical life stage, including economic productivity, identity and relationships. </w:t>
      </w:r>
    </w:p>
    <w:p w:rsidR="0037496E" w:rsidRPr="0051143C">
      <w:pPr>
        <w:numPr>
          <w:ilvl w:val="0"/>
          <w:numId w:val="1"/>
        </w:numPr>
        <w:rPr>
          <w:rFonts w:asciiTheme="majorHAnsi" w:hAnsiTheme="majorHAnsi" w:cstheme="majorHAnsi"/>
        </w:rPr>
      </w:pPr>
      <w:r w:rsidRPr="0051143C">
        <w:rPr>
          <w:rFonts w:asciiTheme="majorHAnsi" w:hAnsiTheme="majorHAnsi" w:cstheme="majorHAnsi"/>
        </w:rPr>
        <w:t>Health and social care systems should strengthen joint commissioning and data-sharing across different regions to provide consistent support for young adults navigating new regional healthcare systems.</w:t>
      </w:r>
    </w:p>
    <w:p w:rsidR="0037496E" w:rsidRPr="0051143C">
      <w:pPr>
        <w:numPr>
          <w:ilvl w:val="0"/>
          <w:numId w:val="1"/>
        </w:numPr>
        <w:rPr>
          <w:rFonts w:asciiTheme="majorHAnsi" w:hAnsiTheme="majorHAnsi" w:cstheme="majorHAnsi"/>
        </w:rPr>
      </w:pPr>
      <w:r w:rsidRPr="0051143C">
        <w:rPr>
          <w:rFonts w:asciiTheme="majorHAnsi" w:hAnsiTheme="majorHAnsi" w:cstheme="majorHAnsi"/>
        </w:rPr>
        <w:t>Workforce training should support young adults to select and use digital health technologies for health management independence without the assumption of digital literacy or proficiency.</w:t>
      </w:r>
    </w:p>
    <w:p w:rsidR="0037496E" w:rsidRPr="0051143C" w:rsidP="00595A71">
      <w:pPr>
        <w:pStyle w:val="Heading1"/>
        <w:numPr>
          <w:ilvl w:val="0"/>
          <w:numId w:val="0"/>
        </w:numPr>
        <w:rPr>
          <w:rFonts w:asciiTheme="majorHAnsi" w:hAnsiTheme="majorHAnsi" w:cstheme="majorHAnsi"/>
          <w:color w:val="auto"/>
        </w:rPr>
      </w:pPr>
      <w:bookmarkStart w:id="6" w:name="_heading=h.5kkmeofaoqk4" w:colFirst="0" w:colLast="0"/>
      <w:bookmarkEnd w:id="6"/>
      <w:r w:rsidRPr="0051143C">
        <w:rPr>
          <w:rFonts w:asciiTheme="majorHAnsi" w:hAnsiTheme="majorHAnsi" w:cstheme="majorHAnsi"/>
          <w:color w:val="auto"/>
        </w:rPr>
        <w:t>References</w:t>
      </w:r>
    </w:p>
    <w:p w:rsidR="0037496E" w:rsidRPr="0051143C">
      <w:pPr>
        <w:rPr>
          <w:rFonts w:asciiTheme="majorHAnsi" w:hAnsiTheme="majorHAnsi" w:cstheme="majorHAnsi"/>
        </w:rPr>
      </w:pPr>
      <w:r w:rsidRPr="0051143C">
        <w:rPr>
          <w:rFonts w:asciiTheme="majorHAnsi" w:hAnsiTheme="majorHAnsi" w:cstheme="majorHAnsi"/>
        </w:rPr>
        <w:t xml:space="preserve">South Yorkshire Digital Health Hub. (2025). </w:t>
      </w:r>
      <w:r w:rsidRPr="0051143C">
        <w:rPr>
          <w:rFonts w:asciiTheme="majorHAnsi" w:hAnsiTheme="majorHAnsi" w:cstheme="majorHAnsi"/>
          <w:i/>
          <w:iCs/>
        </w:rPr>
        <w:t>A Young Adults’ Charter for Digital Health: 10 Principles for Digital Health Innovation</w:t>
      </w:r>
      <w:r w:rsidRPr="0051143C">
        <w:rPr>
          <w:rFonts w:asciiTheme="majorHAnsi" w:hAnsiTheme="majorHAnsi" w:cstheme="majorHAnsi"/>
        </w:rPr>
        <w:t xml:space="preserve">. </w:t>
      </w:r>
      <w:r>
        <w:fldChar w:fldCharType="begin"/>
      </w:r>
      <w:r>
        <w:instrText xml:space="preserve"> HYPERLINK "https://sheffield.ac.uk/sites/default/files/2025-09/YADHCharter_Report.pdf" </w:instrText>
      </w:r>
      <w:r>
        <w:fldChar w:fldCharType="separate"/>
      </w:r>
      <w:r w:rsidRPr="0051143C">
        <w:rPr>
          <w:rFonts w:asciiTheme="majorHAnsi" w:hAnsiTheme="majorHAnsi" w:cstheme="majorHAnsi"/>
          <w:u w:val="single"/>
        </w:rPr>
        <w:t>https://sheffield.ac.uk/sites/default/files/2025-09/YADHCharter_Report.pdf</w:t>
      </w:r>
      <w:r>
        <w:fldChar w:fldCharType="end"/>
      </w:r>
      <w:r w:rsidRPr="0051143C">
        <w:rPr>
          <w:rFonts w:asciiTheme="majorHAnsi" w:hAnsiTheme="majorHAnsi" w:cstheme="majorHAnsi"/>
        </w:rPr>
        <w:t xml:space="preserve"> </w:t>
      </w:r>
    </w:p>
    <w:p w:rsidR="0037496E" w:rsidRPr="0051143C">
      <w:pPr>
        <w:rPr>
          <w:rFonts w:asciiTheme="majorHAnsi" w:hAnsiTheme="majorHAnsi" w:cstheme="majorHAnsi"/>
        </w:rPr>
      </w:pPr>
      <w:r w:rsidRPr="0051143C">
        <w:rPr>
          <w:rFonts w:asciiTheme="majorHAnsi" w:hAnsiTheme="majorHAnsi" w:cstheme="majorHAnsi"/>
        </w:rPr>
        <w:t xml:space="preserve">Hargreaves, D., Sizmur, S., &amp; Viner. R. (2012). Do Young and Older Adults Have Different Health Care Priorities? Evidence From a National Survey of English Inpatients. </w:t>
      </w:r>
      <w:r w:rsidRPr="0051143C">
        <w:rPr>
          <w:rFonts w:asciiTheme="majorHAnsi" w:hAnsiTheme="majorHAnsi" w:cstheme="majorHAnsi"/>
          <w:i/>
          <w:iCs/>
        </w:rPr>
        <w:t>Journal of Adolescent Health</w:t>
      </w:r>
      <w:r w:rsidRPr="0051143C">
        <w:rPr>
          <w:rFonts w:asciiTheme="majorHAnsi" w:hAnsiTheme="majorHAnsi" w:cstheme="majorHAnsi"/>
        </w:rPr>
        <w:t xml:space="preserve">, </w:t>
      </w:r>
      <w:r w:rsidRPr="0051143C">
        <w:rPr>
          <w:rFonts w:asciiTheme="majorHAnsi" w:hAnsiTheme="majorHAnsi" w:cstheme="majorHAnsi"/>
          <w:i/>
          <w:iCs/>
        </w:rPr>
        <w:t>51</w:t>
      </w:r>
      <w:r w:rsidRPr="0051143C">
        <w:rPr>
          <w:rFonts w:asciiTheme="majorHAnsi" w:hAnsiTheme="majorHAnsi" w:cstheme="majorHAnsi"/>
        </w:rPr>
        <w:t xml:space="preserve">(5), 528-532. </w:t>
      </w:r>
      <w:r>
        <w:fldChar w:fldCharType="begin"/>
      </w:r>
      <w:r>
        <w:instrText xml:space="preserve"> HYPERLINK "https://doi.org/10.1016/j.jadohealth.2012.05.016" </w:instrText>
      </w:r>
      <w:r>
        <w:fldChar w:fldCharType="separate"/>
      </w:r>
      <w:r w:rsidRPr="0051143C">
        <w:rPr>
          <w:rFonts w:asciiTheme="majorHAnsi" w:hAnsiTheme="majorHAnsi" w:cstheme="majorHAnsi"/>
          <w:u w:val="single"/>
        </w:rPr>
        <w:t>https://doi.org/10.1016/j.jadohealth.2012.05.016</w:t>
      </w:r>
      <w:r>
        <w:fldChar w:fldCharType="end"/>
      </w:r>
      <w:r w:rsidRPr="0051143C">
        <w:rPr>
          <w:rFonts w:asciiTheme="majorHAnsi" w:hAnsiTheme="majorHAnsi" w:cstheme="majorHAnsi"/>
        </w:rPr>
        <w:t xml:space="preserve"> </w:t>
      </w:r>
    </w:p>
    <w:p w:rsidR="0037496E">
      <w:pPr>
        <w:rPr>
          <w:rFonts w:asciiTheme="majorHAnsi" w:hAnsiTheme="majorHAnsi" w:cstheme="majorHAnsi"/>
        </w:rPr>
      </w:pPr>
      <w:r w:rsidRPr="0051143C">
        <w:rPr>
          <w:rFonts w:asciiTheme="majorHAnsi" w:hAnsiTheme="majorHAnsi" w:cstheme="majorHAnsi"/>
        </w:rPr>
        <w:t xml:space="preserve">Hargreaves, D., Greaves, F., Levay, C., Mitchell, I., Koch, U., Esch, T., Denny, S., Frich, J. C., Struijs, J., &amp; Sheikh, A. (2015). Comparison of Health Care Experience and Access Between Young and Older Adults in 11 High-Income Countries. </w:t>
      </w:r>
      <w:r w:rsidRPr="0051143C">
        <w:rPr>
          <w:rFonts w:asciiTheme="majorHAnsi" w:hAnsiTheme="majorHAnsi" w:cstheme="majorHAnsi"/>
          <w:i/>
          <w:iCs/>
        </w:rPr>
        <w:t>Journal of Adolescent Health, 57</w:t>
      </w:r>
      <w:r w:rsidRPr="0051143C">
        <w:rPr>
          <w:rFonts w:asciiTheme="majorHAnsi" w:hAnsiTheme="majorHAnsi" w:cstheme="majorHAnsi"/>
        </w:rPr>
        <w:t xml:space="preserve">(4), 413-420. </w:t>
      </w:r>
      <w:r>
        <w:fldChar w:fldCharType="begin"/>
      </w:r>
      <w:r>
        <w:instrText xml:space="preserve"> HYPERLINK "https://doi.org/10.1016/j.jadohealth.2015.05.015" </w:instrText>
      </w:r>
      <w:r>
        <w:fldChar w:fldCharType="separate"/>
      </w:r>
      <w:r w:rsidRPr="0051143C">
        <w:rPr>
          <w:rFonts w:asciiTheme="majorHAnsi" w:hAnsiTheme="majorHAnsi" w:cstheme="majorHAnsi"/>
          <w:u w:val="single"/>
        </w:rPr>
        <w:t>https://doi.org/10.1016/j.jadohealth.2015.05.015</w:t>
      </w:r>
      <w:r>
        <w:fldChar w:fldCharType="end"/>
      </w:r>
      <w:r w:rsidRPr="0051143C">
        <w:rPr>
          <w:rFonts w:asciiTheme="majorHAnsi" w:hAnsiTheme="majorHAnsi" w:cstheme="majorHAnsi"/>
        </w:rPr>
        <w:t xml:space="preserve"> </w:t>
      </w:r>
    </w:p>
    <w:p w:rsidR="0051143C">
      <w:pPr>
        <w:rPr>
          <w:rFonts w:asciiTheme="majorHAnsi" w:hAnsiTheme="majorHAnsi" w:cstheme="majorHAnsi"/>
        </w:rPr>
      </w:pPr>
    </w:p>
    <w:p w:rsidR="0051143C" w:rsidRPr="0051143C">
      <w:pPr>
        <w:rPr>
          <w:rFonts w:asciiTheme="majorHAnsi" w:hAnsiTheme="majorHAnsi" w:cstheme="majorHAnsi"/>
          <w:i/>
          <w:iCs/>
        </w:rPr>
      </w:pPr>
      <w:r w:rsidRPr="0051143C">
        <w:rPr>
          <w:rFonts w:asciiTheme="majorHAnsi" w:hAnsiTheme="majorHAnsi" w:cstheme="majorHAnsi"/>
          <w:i/>
          <w:iCs/>
        </w:rPr>
        <w:t>May 2026</w:t>
      </w:r>
    </w:p>
    <w:sectPr>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DDECAC47-449E-4178-810D-5A9779B4679B}"/>
    <w:embedBold r:id="rId2" w:fontKey="{724783DF-4B9B-4159-A7FD-6ECB3692C824}"/>
    <w:embedItalic r:id="rId3" w:fontKey="{B0949414-4438-4175-A823-B75171788855}"/>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4" w:fontKey="{3CEA5077-1624-4D24-8FA0-5C22A3273ABA}"/>
  </w:font>
  <w:font w:name="Calibri">
    <w:panose1 w:val="020F0502020204030204"/>
    <w:charset w:val="00"/>
    <w:family w:val="swiss"/>
    <w:pitch w:val="variable"/>
    <w:sig w:usb0="E4002EFF" w:usb1="C200247B" w:usb2="00000009" w:usb3="00000000" w:csb0="000001FF" w:csb1="00000000"/>
    <w:embedRegular r:id="rId5" w:fontKey="{AD6E9996-901A-4EF7-89DA-04B44A9ECDC1}"/>
    <w:embedBold r:id="rId6" w:fontKey="{71D46CBE-8ED4-4050-8A90-3196DFF9B024}"/>
    <w:embedItalic r:id="rId7" w:fontKey="{D29D5345-54E9-499B-A874-3BC9570A34C8}"/>
  </w:font>
  <w:font w:name="Cambria">
    <w:panose1 w:val="02040503050406030204"/>
    <w:charset w:val="00"/>
    <w:family w:val="roman"/>
    <w:pitch w:val="variable"/>
    <w:sig w:usb0="E00006FF" w:usb1="420024FF" w:usb2="02000000" w:usb3="00000000" w:csb0="0000019F" w:csb1="00000000"/>
    <w:embedRegular r:id="rId8" w:fontKey="{BEED77EB-F0A4-412F-A09C-D0D6575066E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7496E">
      <w:pPr>
        <w:spacing w:after="0" w:line="240" w:lineRule="auto"/>
      </w:pPr>
      <w:r>
        <w:separator/>
      </w:r>
    </w:p>
  </w:footnote>
  <w:footnote w:type="continuationSeparator" w:id="1">
    <w:p w:rsidR="0037496E">
      <w:pPr>
        <w:spacing w:after="0" w:line="240" w:lineRule="auto"/>
      </w:pPr>
      <w:r>
        <w:continuationSeparator/>
      </w:r>
    </w:p>
  </w:footnote>
  <w:footnote w:id="2">
    <w:p w:rsidR="0037496E">
      <w:pPr>
        <w:spacing w:after="0" w:line="240" w:lineRule="auto"/>
        <w:rPr>
          <w:sz w:val="20"/>
          <w:szCs w:val="20"/>
        </w:rPr>
      </w:pPr>
      <w:r>
        <w:rPr>
          <w:vertAlign w:val="superscript"/>
        </w:rPr>
        <w:footnoteRef/>
      </w:r>
      <w:r>
        <w:rPr>
          <w:sz w:val="20"/>
          <w:szCs w:val="20"/>
        </w:rPr>
        <w:t xml:space="preserve"> The SYDHH worked with Hopkins Van Mil (</w:t>
      </w:r>
      <w:r>
        <w:fldChar w:fldCharType="begin"/>
      </w:r>
      <w:r>
        <w:instrText xml:space="preserve"> HYPERLINK "https://www.hopkinsvanmil.co.uk/" </w:instrText>
      </w:r>
      <w:r>
        <w:fldChar w:fldCharType="separate"/>
      </w:r>
      <w:r>
        <w:rPr>
          <w:color w:val="1155CC"/>
          <w:sz w:val="20"/>
          <w:szCs w:val="20"/>
          <w:u w:val="single"/>
        </w:rPr>
        <w:t>HVM</w:t>
      </w:r>
      <w:r>
        <w:fldChar w:fldCharType="end"/>
      </w:r>
      <w:r>
        <w:rPr>
          <w:sz w:val="20"/>
          <w:szCs w:val="20"/>
        </w:rPr>
        <w:t>) to deliver this deliberative engagement.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C563FF1"/>
    <w:multiLevelType w:val="hybridMultilevel"/>
    <w:tmpl w:val="DC5AF898"/>
    <w:lvl w:ilvl="0">
      <w:start w:val="1"/>
      <w:numFmt w:val="decimal"/>
      <w:pStyle w:val="Heading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9412B0E"/>
    <w:multiLevelType w:val="multilevel"/>
    <w:tmpl w:val="32C63C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TrueTypeFonts/>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rsid w:val="00595A71"/>
    <w:pPr>
      <w:keepNext/>
      <w:keepLines/>
      <w:numPr>
        <w:numId w:val="2"/>
      </w:numPr>
      <w:spacing w:before="360" w:after="80"/>
      <w:outlineLvl w:val="0"/>
    </w:pPr>
    <w:rPr>
      <w:rFonts w:ascii="Arial" w:eastAsia="Play" w:hAnsi="Arial" w:cs="Arial"/>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C47E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E56"/>
  </w:style>
  <w:style w:type="paragraph" w:styleId="Footer">
    <w:name w:val="footer"/>
    <w:basedOn w:val="Normal"/>
    <w:link w:val="FooterChar"/>
    <w:uiPriority w:val="99"/>
    <w:unhideWhenUsed/>
    <w:rsid w:val="00C47E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TRN0036</dc:title>
  <cp:revision>0</cp:revision>
</cp:coreProperties>
</file>