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3464" w:rsidRPr="00A11955" w:rsidP="000F3464">
      <w:pPr>
        <w:pStyle w:val="Heading1"/>
        <w:spacing w:line="276" w:lineRule="auto"/>
        <w:jc w:val="center"/>
        <w:rPr>
          <w:rFonts w:ascii="Calibri" w:hAnsi="Calibri" w:cs="Calibri"/>
          <w:color w:val="auto"/>
        </w:rPr>
      </w:pPr>
      <w:r w:rsidRPr="00A11955">
        <w:rPr>
          <w:rFonts w:ascii="Calibri" w:hAnsi="Calibri" w:cs="Calibri"/>
          <w:color w:val="auto"/>
        </w:rPr>
        <w:t xml:space="preserve">Written Evidence submitted by </w:t>
      </w:r>
      <w:r w:rsidRPr="000F3464">
        <w:rPr>
          <w:rFonts w:ascii="Calibri" w:hAnsi="Calibri" w:cs="Calibri"/>
          <w:color w:val="auto"/>
        </w:rPr>
        <w:t xml:space="preserve">Professor Allan Colver, Professor Jeremy Parr, Professor Ann Le </w:t>
      </w:r>
      <w:r w:rsidRPr="000F3464">
        <w:rPr>
          <w:rFonts w:ascii="Calibri" w:hAnsi="Calibri" w:cs="Calibri"/>
          <w:color w:val="auto"/>
        </w:rPr>
        <w:t>Couteur</w:t>
      </w:r>
      <w:r w:rsidRPr="000F3464">
        <w:rPr>
          <w:rFonts w:ascii="Calibri" w:hAnsi="Calibri" w:cs="Calibri"/>
          <w:color w:val="auto"/>
        </w:rPr>
        <w:t xml:space="preserve"> and Professor Helen McConachie</w:t>
      </w:r>
      <w:r w:rsidRPr="00A11955">
        <w:rPr>
          <w:rFonts w:ascii="Calibri" w:hAnsi="Calibri" w:cs="Calibri"/>
          <w:color w:val="auto"/>
        </w:rPr>
        <w:t xml:space="preserve"> (TRN003</w:t>
      </w:r>
      <w:r>
        <w:rPr>
          <w:rFonts w:ascii="Calibri" w:hAnsi="Calibri" w:cs="Calibri"/>
          <w:color w:val="auto"/>
        </w:rPr>
        <w:t>3</w:t>
      </w:r>
      <w:r w:rsidRPr="00A11955">
        <w:rPr>
          <w:rFonts w:ascii="Calibri" w:hAnsi="Calibri" w:cs="Calibri"/>
          <w:color w:val="auto"/>
        </w:rPr>
        <w:t>)</w:t>
      </w:r>
    </w:p>
    <w:p w:rsidR="00765C95" w:rsidP="4F777EA7">
      <w:pPr>
        <w:spacing w:after="0"/>
        <w:ind w:left="-709"/>
        <w:jc w:val="center"/>
        <w:rPr>
          <w:b/>
          <w:bCs/>
          <w:sz w:val="28"/>
          <w:szCs w:val="28"/>
        </w:rPr>
      </w:pPr>
    </w:p>
    <w:p w:rsidR="000F3464" w:rsidP="00BC6CA9"/>
    <w:p w:rsidR="000F3464" w:rsidP="00BC6CA9"/>
    <w:p w:rsidR="000F3464" w:rsidP="00BC6CA9"/>
    <w:p w:rsidR="000F3464" w:rsidP="00BC6CA9"/>
    <w:p w:rsidR="00765C95" w:rsidP="00BC6CA9">
      <w:r>
        <w:t>Dear</w:t>
      </w:r>
      <w:r>
        <w:t xml:space="preserve"> Members of the H</w:t>
      </w:r>
      <w:r w:rsidRPr="00A7076E">
        <w:t>ealth and Social Care Committee’s Independent Expert Pane</w:t>
      </w:r>
      <w:r>
        <w:t>l</w:t>
      </w:r>
    </w:p>
    <w:p w:rsidR="00765C95" w:rsidRPr="009C1A43" w:rsidP="00BC6CA9">
      <w:r w:rsidRPr="009C1A43">
        <w:t>Thank</w:t>
      </w:r>
      <w:r>
        <w:t xml:space="preserve"> you </w:t>
      </w:r>
      <w:r w:rsidRPr="009C1A43">
        <w:t>for inviting us</w:t>
      </w:r>
      <w:r>
        <w:t xml:space="preserve"> to contribute to your </w:t>
      </w:r>
      <w:r>
        <w:t>C</w:t>
      </w:r>
      <w:r>
        <w:t>ommittee</w:t>
      </w:r>
      <w:r>
        <w:t>’s deliberations</w:t>
      </w:r>
      <w:r>
        <w:t>.</w:t>
      </w:r>
    </w:p>
    <w:p w:rsidR="00765C95" w:rsidP="00BC6CA9">
      <w:r>
        <w:t xml:space="preserve">1. You may have </w:t>
      </w:r>
      <w:r>
        <w:t xml:space="preserve">approached us </w:t>
      </w:r>
      <w:r>
        <w:t>because</w:t>
      </w:r>
      <w:r>
        <w:t xml:space="preserve"> our NIHR Programme Grant was fully published </w:t>
      </w:r>
      <w:r>
        <w:fldChar w:fldCharType="begin"/>
      </w:r>
      <w:r>
        <w:instrText xml:space="preserve"> HYPERLINK "https://www.journalslibrary.nihr.ac.uk/pgfar/PGFAR07040" \l "/abstrac" </w:instrText>
      </w:r>
      <w:r>
        <w:fldChar w:fldCharType="separate"/>
      </w:r>
      <w:r w:rsidRPr="00BA4162">
        <w:rPr>
          <w:rStyle w:val="Hyperlink"/>
        </w:rPr>
        <w:t>https://www.journalslibrary.nihr.ac.uk/pgfar/PGFAR07040#/abstrac</w:t>
      </w:r>
      <w:r>
        <w:fldChar w:fldCharType="end"/>
      </w:r>
    </w:p>
    <w:p w:rsidR="00765C95" w:rsidRPr="00EF531D" w:rsidP="00BC6CA9">
      <w:pPr>
        <w:rPr>
          <w:b/>
          <w:bCs/>
        </w:rPr>
      </w:pPr>
      <w:r>
        <w:t xml:space="preserve">The title of the Programme </w:t>
      </w:r>
      <w:r w:rsidRPr="00EF531D">
        <w:t xml:space="preserve">was </w:t>
      </w:r>
      <w:r>
        <w:t>‘</w:t>
      </w:r>
      <w:r w:rsidRPr="00EF531D">
        <w:t xml:space="preserve">Facilitating the transition of young people with long-term </w:t>
      </w:r>
      <w:r>
        <w:t xml:space="preserve">health </w:t>
      </w:r>
      <w:r w:rsidRPr="00EF531D">
        <w:t>conditions through health services from childhood to adulthood: the Transition research programme</w:t>
      </w:r>
      <w:r>
        <w:t>’.</w:t>
      </w:r>
    </w:p>
    <w:p w:rsidR="00765C95" w:rsidP="00BC6CA9">
      <w:r>
        <w:t xml:space="preserve">We also reported in academic papers </w:t>
      </w:r>
      <w:r>
        <w:t xml:space="preserve">that </w:t>
      </w:r>
      <w:r>
        <w:t xml:space="preserve">can be downloaded from the Programme’s website:  </w:t>
      </w:r>
      <w:r>
        <w:fldChar w:fldCharType="begin"/>
      </w:r>
      <w:r>
        <w:instrText xml:space="preserve"> HYPERLINK "https://research.ncl.ac.uk/transition/" </w:instrText>
      </w:r>
      <w:r>
        <w:fldChar w:fldCharType="separate"/>
      </w:r>
      <w:r w:rsidRPr="00BA4162">
        <w:rPr>
          <w:rStyle w:val="Hyperlink"/>
        </w:rPr>
        <w:t>https://research.ncl.ac.uk/transition/</w:t>
      </w:r>
      <w:r>
        <w:fldChar w:fldCharType="end"/>
      </w:r>
      <w:r>
        <w:t xml:space="preserve">  </w:t>
      </w:r>
      <w:r>
        <w:t>C</w:t>
      </w:r>
      <w:r>
        <w:t>hoose the ‘Resources’ Tab to download papers.</w:t>
      </w:r>
    </w:p>
    <w:p w:rsidR="00765C95" w:rsidRPr="009C1A43" w:rsidP="00BC6CA9">
      <w:r>
        <w:t>2. W</w:t>
      </w:r>
      <w:r w:rsidRPr="009C1A43">
        <w:t xml:space="preserve">e only studied young people with long term health conditions. We did not study the transition of young people </w:t>
      </w:r>
      <w:r>
        <w:t xml:space="preserve">needing </w:t>
      </w:r>
      <w:r w:rsidRPr="009C1A43">
        <w:t>social care</w:t>
      </w:r>
      <w:r>
        <w:t>.</w:t>
      </w:r>
    </w:p>
    <w:p w:rsidR="00765C95" w:rsidP="00BC6CA9">
      <w:r w:rsidRPr="00B25392">
        <w:t>3. Our study was about evaluation of what worked in transition</w:t>
      </w:r>
      <w:r>
        <w:t>.</w:t>
      </w:r>
      <w:r w:rsidRPr="00B25392">
        <w:t xml:space="preserve"> </w:t>
      </w:r>
      <w:r w:rsidRPr="00B25392">
        <w:t>The ‘Outcomes’ we studied were Satisfaction with services</w:t>
      </w:r>
      <w:r>
        <w:t xml:space="preserve">, </w:t>
      </w:r>
      <w:r w:rsidRPr="00B25392">
        <w:t>Participation in life situations</w:t>
      </w:r>
      <w:r>
        <w:t xml:space="preserve">, </w:t>
      </w:r>
      <w:r w:rsidRPr="00B25392">
        <w:t>Well-being</w:t>
      </w:r>
      <w:r>
        <w:t>. I</w:t>
      </w:r>
      <w:r w:rsidRPr="009C1A43">
        <w:t xml:space="preserve">t seems to us that </w:t>
      </w:r>
      <w:r>
        <w:t>your committee is examining i</w:t>
      </w:r>
      <w:r w:rsidRPr="009C1A43">
        <w:t>mplementation</w:t>
      </w:r>
      <w:r>
        <w:t xml:space="preserve"> against NICE Guidance, rather than evaluation of what works. </w:t>
      </w:r>
      <w:r>
        <w:t>Therefore, we have no information or data about m</w:t>
      </w:r>
      <w:r>
        <w:t>any</w:t>
      </w:r>
      <w:r>
        <w:t xml:space="preserve"> of the questions in your brief.</w:t>
      </w:r>
    </w:p>
    <w:p w:rsidR="00765C95" w:rsidRPr="00B25392" w:rsidP="00BC6CA9">
      <w:pPr>
        <w:rPr>
          <w:sz w:val="28"/>
          <w:szCs w:val="28"/>
        </w:rPr>
      </w:pPr>
      <w:r w:rsidRPr="00B25392">
        <w:rPr>
          <w:sz w:val="28"/>
          <w:szCs w:val="28"/>
        </w:rPr>
        <w:t>4. Summary of our submission</w:t>
      </w:r>
    </w:p>
    <w:p w:rsidR="00765C95" w:rsidRPr="009C1A43" w:rsidP="00BC6CA9">
      <w:r>
        <w:t>In our submission we cite our conclusions and their implications. All the evidence is in the papers we have published.</w:t>
      </w:r>
      <w:r>
        <w:t xml:space="preserve"> </w:t>
      </w:r>
      <w:r>
        <w:t>Regarding our submission, the key papers (downloadable from our website) are:</w:t>
      </w:r>
    </w:p>
    <w:p w:rsidR="00765C95" w:rsidRPr="00FA54F5" w:rsidP="00FA54F5">
      <w:pPr>
        <w:pStyle w:val="ListParagraph"/>
        <w:numPr>
          <w:ilvl w:val="0"/>
          <w:numId w:val="22"/>
        </w:numPr>
        <w:rPr>
          <w:rStyle w:val="Hyperlink"/>
          <w:color w:val="auto"/>
          <w:sz w:val="28"/>
          <w:szCs w:val="28"/>
          <w:u w:val="none"/>
        </w:rPr>
      </w:pPr>
      <w:r w:rsidRPr="00FA54F5">
        <w:rPr>
          <w:rStyle w:val="Hyperlink"/>
          <w:color w:val="auto"/>
          <w:sz w:val="28"/>
          <w:szCs w:val="28"/>
          <w:u w:val="none"/>
        </w:rPr>
        <w:t xml:space="preserve">Overview </w:t>
      </w:r>
      <w:r>
        <w:rPr>
          <w:rStyle w:val="Hyperlink"/>
          <w:color w:val="auto"/>
          <w:sz w:val="28"/>
          <w:szCs w:val="28"/>
          <w:u w:val="none"/>
        </w:rPr>
        <w:t>p</w:t>
      </w:r>
      <w:r w:rsidRPr="00FA54F5">
        <w:rPr>
          <w:rStyle w:val="Hyperlink"/>
          <w:color w:val="auto"/>
          <w:sz w:val="28"/>
          <w:szCs w:val="28"/>
          <w:u w:val="none"/>
        </w:rPr>
        <w:t>aper</w:t>
      </w:r>
    </w:p>
    <w:p w:rsidR="00765C95" w:rsidRPr="00FA54F5" w:rsidP="00FA54F5">
      <w:pPr>
        <w:pStyle w:val="ListParagraph"/>
        <w:numPr>
          <w:ilvl w:val="0"/>
          <w:numId w:val="22"/>
        </w:numPr>
        <w:rPr>
          <w:rStyle w:val="Hyperlink"/>
          <w:color w:val="auto"/>
          <w:sz w:val="28"/>
          <w:szCs w:val="28"/>
          <w:u w:val="none"/>
        </w:rPr>
      </w:pPr>
      <w:r>
        <w:fldChar w:fldCharType="begin"/>
      </w:r>
      <w:r>
        <w:instrText xml:space="preserve"> HYPERLINK "https://research.ncl.ac.uk/transition/resources/papers/Published%20paper%20BMC%20Med%20.pdf" </w:instrText>
      </w:r>
      <w:r>
        <w:fldChar w:fldCharType="separate"/>
      </w:r>
      <w:r w:rsidRPr="00FA54F5">
        <w:rPr>
          <w:rStyle w:val="Hyperlink"/>
          <w:color w:val="auto"/>
          <w:sz w:val="28"/>
          <w:szCs w:val="28"/>
          <w:u w:val="none"/>
        </w:rPr>
        <w:t>Features of transitional healthcare associated with better outcomes</w:t>
      </w:r>
      <w:r>
        <w:fldChar w:fldCharType="end"/>
      </w:r>
    </w:p>
    <w:p w:rsidR="00765C95" w:rsidRPr="00FA54F5" w:rsidP="00FA54F5">
      <w:pPr>
        <w:pStyle w:val="ListParagraph"/>
        <w:numPr>
          <w:ilvl w:val="0"/>
          <w:numId w:val="22"/>
        </w:numPr>
        <w:rPr>
          <w:rStyle w:val="Hyperlink"/>
          <w:color w:val="auto"/>
          <w:sz w:val="28"/>
          <w:szCs w:val="28"/>
          <w:u w:val="none"/>
        </w:rPr>
      </w:pPr>
      <w:r>
        <w:fldChar w:fldCharType="begin"/>
      </w:r>
      <w:r>
        <w:instrText xml:space="preserve"> HYPERLINK "https://research.ncl.ac.uk/transition/resources/papers/Published%20paper%20PBFs%20Colver_et_al-2018-BMC_Health_Services_Research.pdf" </w:instrText>
      </w:r>
      <w:r>
        <w:fldChar w:fldCharType="separate"/>
      </w:r>
      <w:r w:rsidRPr="00FA54F5">
        <w:rPr>
          <w:rStyle w:val="Hyperlink"/>
          <w:color w:val="auto"/>
          <w:sz w:val="28"/>
          <w:szCs w:val="28"/>
          <w:u w:val="none"/>
        </w:rPr>
        <w:t>How well do services deliver features proposed to improve transition?</w:t>
      </w:r>
      <w:r>
        <w:fldChar w:fldCharType="end"/>
      </w:r>
    </w:p>
    <w:p w:rsidR="00765C95" w:rsidRPr="00591805" w:rsidP="00BC6CA9">
      <w:pPr>
        <w:pStyle w:val="ListParagraph"/>
        <w:numPr>
          <w:ilvl w:val="0"/>
          <w:numId w:val="22"/>
        </w:numPr>
        <w:rPr>
          <w:sz w:val="28"/>
          <w:szCs w:val="28"/>
        </w:rPr>
      </w:pPr>
      <w:r>
        <w:fldChar w:fldCharType="begin"/>
      </w:r>
      <w:r>
        <w:instrText xml:space="preserve"> HYPERLINK "https://research.ncl.ac.uk/transition/resources/papers/Commissioning%20Published%20paper.pdf" </w:instrText>
      </w:r>
      <w:r>
        <w:fldChar w:fldCharType="separate"/>
      </w:r>
      <w:r w:rsidRPr="00591805">
        <w:rPr>
          <w:rStyle w:val="Hyperlink"/>
          <w:color w:val="auto"/>
          <w:sz w:val="28"/>
          <w:szCs w:val="28"/>
          <w:u w:val="none"/>
        </w:rPr>
        <w:t>Interviews about what constitutes successful commissioning for transition</w:t>
      </w:r>
      <w:r>
        <w:fldChar w:fldCharType="end"/>
      </w:r>
    </w:p>
    <w:p w:rsidR="00765C95" w:rsidP="00BC6CA9">
      <w:pPr>
        <w:pStyle w:val="ListParagraph"/>
        <w:numPr>
          <w:ilvl w:val="0"/>
          <w:numId w:val="22"/>
        </w:numPr>
        <w:rPr>
          <w:sz w:val="28"/>
          <w:szCs w:val="28"/>
        </w:rPr>
      </w:pPr>
      <w:r>
        <w:fldChar w:fldCharType="begin"/>
      </w:r>
      <w:r>
        <w:instrText xml:space="preserve"> HYPERLINK "https://research.ncl.ac.uk/transition/resources/papers/Published%20Rapley%20DAH.pdf" </w:instrText>
      </w:r>
      <w:r>
        <w:fldChar w:fldCharType="separate"/>
      </w:r>
      <w:r w:rsidRPr="00591805">
        <w:rPr>
          <w:rStyle w:val="Hyperlink"/>
          <w:color w:val="auto"/>
          <w:sz w:val="28"/>
          <w:szCs w:val="28"/>
          <w:u w:val="none"/>
        </w:rPr>
        <w:t xml:space="preserve">Introducing Developmentally Appropriate </w:t>
      </w:r>
      <w:r>
        <w:rPr>
          <w:rStyle w:val="Hyperlink"/>
          <w:color w:val="auto"/>
          <w:sz w:val="28"/>
          <w:szCs w:val="28"/>
          <w:u w:val="none"/>
        </w:rPr>
        <w:t>H</w:t>
      </w:r>
      <w:r w:rsidRPr="00591805">
        <w:rPr>
          <w:rStyle w:val="Hyperlink"/>
          <w:color w:val="auto"/>
          <w:sz w:val="28"/>
          <w:szCs w:val="28"/>
          <w:u w:val="none"/>
        </w:rPr>
        <w:t>ealthcare to UK hospital settings</w:t>
      </w:r>
      <w:r>
        <w:fldChar w:fldCharType="end"/>
      </w:r>
    </w:p>
    <w:p w:rsidR="00765C95" w:rsidRPr="00AA1356" w:rsidP="00AA1356">
      <w:pPr>
        <w:pStyle w:val="ListParagraph"/>
        <w:numPr>
          <w:ilvl w:val="0"/>
          <w:numId w:val="22"/>
        </w:numPr>
      </w:pPr>
      <w:r>
        <w:fldChar w:fldCharType="begin"/>
      </w:r>
      <w:r>
        <w:instrText xml:space="preserve"> HYPERLINK "https://research.ncl.ac.uk/transition/resources/papers/ASD%20experience_of_transfer_from_child_to_adult_mental_health_services.pdf" </w:instrText>
      </w:r>
      <w:r>
        <w:fldChar w:fldCharType="separate"/>
      </w:r>
      <w:r w:rsidRPr="00AA1356">
        <w:rPr>
          <w:rStyle w:val="Hyperlink"/>
          <w:color w:val="auto"/>
          <w:sz w:val="28"/>
          <w:szCs w:val="28"/>
          <w:u w:val="none"/>
        </w:rPr>
        <w:t>Transition of young people with autism spectrum disorder</w:t>
      </w:r>
      <w:r>
        <w:fldChar w:fldCharType="end"/>
      </w:r>
    </w:p>
    <w:p w:rsidR="00765C95" w:rsidP="00E366B9">
      <w:pPr>
        <w:rPr>
          <w:sz w:val="28"/>
          <w:szCs w:val="28"/>
        </w:rPr>
      </w:pPr>
    </w:p>
    <w:p w:rsidR="00765C95">
      <w:pPr>
        <w:rPr>
          <w:sz w:val="28"/>
          <w:szCs w:val="28"/>
        </w:rPr>
      </w:pPr>
      <w:r>
        <w:rPr>
          <w:sz w:val="28"/>
          <w:szCs w:val="28"/>
        </w:rPr>
        <w:t>NICE Guidance had many recommendations</w:t>
      </w:r>
      <w:r>
        <w:rPr>
          <w:sz w:val="28"/>
          <w:szCs w:val="28"/>
        </w:rPr>
        <w:t xml:space="preserve"> with some based </w:t>
      </w:r>
      <w:r>
        <w:rPr>
          <w:sz w:val="28"/>
          <w:szCs w:val="28"/>
        </w:rPr>
        <w:t xml:space="preserve">on little evidence. </w:t>
      </w:r>
      <w:r>
        <w:rPr>
          <w:sz w:val="28"/>
          <w:szCs w:val="28"/>
        </w:rPr>
        <w:t xml:space="preserve">A </w:t>
      </w:r>
      <w:r>
        <w:rPr>
          <w:sz w:val="28"/>
          <w:szCs w:val="28"/>
        </w:rPr>
        <w:t xml:space="preserve">large number of recommendations is difficult for an NHS Trust to implement. We argued that it would be wiser </w:t>
      </w:r>
      <w:r>
        <w:rPr>
          <w:sz w:val="28"/>
          <w:szCs w:val="28"/>
        </w:rPr>
        <w:t xml:space="preserve">to </w:t>
      </w:r>
      <w:r>
        <w:rPr>
          <w:sz w:val="28"/>
          <w:szCs w:val="28"/>
        </w:rPr>
        <w:t>implement well a small of recommendations for which our study had found evidence of benefit</w:t>
      </w:r>
      <w:r>
        <w:rPr>
          <w:sz w:val="28"/>
          <w:szCs w:val="28"/>
        </w:rPr>
        <w:t>.</w:t>
      </w:r>
      <w:r>
        <w:rPr>
          <w:sz w:val="28"/>
          <w:szCs w:val="28"/>
        </w:rPr>
        <w:t xml:space="preserve"> </w:t>
      </w:r>
      <w:r>
        <w:rPr>
          <w:sz w:val="28"/>
          <w:szCs w:val="28"/>
        </w:rPr>
        <w:t>The ‘Outcomes’ we studied were</w:t>
      </w:r>
      <w:r>
        <w:rPr>
          <w:sz w:val="28"/>
          <w:szCs w:val="28"/>
        </w:rPr>
        <w:t>:</w:t>
      </w:r>
    </w:p>
    <w:p w:rsidR="00765C95" w:rsidRPr="00B25392" w:rsidP="00B25392">
      <w:pPr>
        <w:pStyle w:val="ListParagraph"/>
        <w:numPr>
          <w:ilvl w:val="0"/>
          <w:numId w:val="23"/>
        </w:numPr>
        <w:rPr>
          <w:sz w:val="28"/>
          <w:szCs w:val="28"/>
        </w:rPr>
      </w:pPr>
      <w:r w:rsidRPr="00B25392">
        <w:rPr>
          <w:sz w:val="28"/>
          <w:szCs w:val="28"/>
        </w:rPr>
        <w:t>Satisfaction with services</w:t>
      </w:r>
    </w:p>
    <w:p w:rsidR="00765C95" w:rsidRPr="00B25392" w:rsidP="00B25392">
      <w:pPr>
        <w:pStyle w:val="ListParagraph"/>
        <w:numPr>
          <w:ilvl w:val="0"/>
          <w:numId w:val="23"/>
        </w:numPr>
        <w:rPr>
          <w:sz w:val="28"/>
          <w:szCs w:val="28"/>
        </w:rPr>
      </w:pPr>
      <w:r w:rsidRPr="00B25392">
        <w:rPr>
          <w:sz w:val="28"/>
          <w:szCs w:val="28"/>
        </w:rPr>
        <w:t>Participation in life situations</w:t>
      </w:r>
    </w:p>
    <w:p w:rsidR="00765C95" w:rsidRPr="00B25392" w:rsidP="00B25392">
      <w:pPr>
        <w:pStyle w:val="ListParagraph"/>
        <w:numPr>
          <w:ilvl w:val="0"/>
          <w:numId w:val="23"/>
        </w:numPr>
        <w:rPr>
          <w:sz w:val="28"/>
          <w:szCs w:val="28"/>
        </w:rPr>
      </w:pPr>
      <w:r w:rsidRPr="00B25392">
        <w:rPr>
          <w:sz w:val="28"/>
          <w:szCs w:val="28"/>
        </w:rPr>
        <w:t>Well-being</w:t>
      </w:r>
    </w:p>
    <w:p w:rsidR="00765C95" w:rsidRPr="00B001DD" w:rsidP="00B001DD">
      <w:pPr>
        <w:rPr>
          <w:sz w:val="28"/>
          <w:szCs w:val="28"/>
        </w:rPr>
      </w:pPr>
      <w:r w:rsidRPr="00B001DD">
        <w:rPr>
          <w:sz w:val="28"/>
          <w:szCs w:val="28"/>
        </w:rPr>
        <w:t>We also emphasise</w:t>
      </w:r>
      <w:r>
        <w:rPr>
          <w:sz w:val="28"/>
          <w:szCs w:val="28"/>
        </w:rPr>
        <w:t>d</w:t>
      </w:r>
      <w:r w:rsidRPr="00B001DD">
        <w:rPr>
          <w:sz w:val="28"/>
          <w:szCs w:val="28"/>
        </w:rPr>
        <w:t xml:space="preserve"> that it is essential that Commissioners of Adult Services commission for transition – which our research showed that in general they do not, leaving it to Commissioners of children’s services to commission for transition. This is illogical because the transition process continues at least until twenty years of age. Transition does not stop when the transfer has taken place. Transition is a process; transfer is an event. Such commissioning should include training in ‘Developmentally Appropriate Healthcare’ </w:t>
      </w:r>
      <w:r w:rsidRPr="00B001DD">
        <w:rPr>
          <w:sz w:val="28"/>
          <w:szCs w:val="28"/>
        </w:rPr>
        <w:t>for staff in child and adult services.</w:t>
      </w:r>
    </w:p>
    <w:p w:rsidR="00765C95" w:rsidP="00B001DD">
      <w:pPr>
        <w:shd w:val="clear" w:color="auto" w:fill="FFFFFF"/>
        <w:textAlignment w:val="baseline"/>
        <w:rPr>
          <w:sz w:val="28"/>
          <w:szCs w:val="28"/>
        </w:rPr>
      </w:pPr>
      <w:r w:rsidRPr="00B001DD">
        <w:rPr>
          <w:sz w:val="28"/>
          <w:szCs w:val="28"/>
        </w:rPr>
        <w:t>Our research identified new evidence-based recommendations that NHS trusts should implement to improve Transition for CYP. These recommendations were cited by NHSE in the 2019 Long Term Health Plan for England. Since then, some specialties (for example diabetes) have adopted these nationally (supported by NHSE), and the recommendations are implemented in some NHS services, in some Trusts.</w:t>
      </w:r>
    </w:p>
    <w:p w:rsidR="00765C95" w:rsidRPr="00B001DD" w:rsidP="00B001DD">
      <w:pPr>
        <w:shd w:val="clear" w:color="auto" w:fill="FFFFFF"/>
        <w:textAlignment w:val="baseline"/>
        <w:rPr>
          <w:rFonts w:ascii="Aptos" w:eastAsia="Times New Roman" w:hAnsi="Aptos" w:cs="Times New Roman"/>
          <w:color w:val="000000"/>
          <w:kern w:val="0"/>
          <w:sz w:val="28"/>
          <w:szCs w:val="28"/>
          <w:lang w:eastAsia="en-GB"/>
        </w:rPr>
      </w:pPr>
      <w:r w:rsidRPr="00B001DD">
        <w:rPr>
          <w:rFonts w:ascii="Aptos" w:eastAsia="Times New Roman" w:hAnsi="Aptos" w:cs="Times New Roman"/>
          <w:color w:val="000000"/>
          <w:kern w:val="0"/>
          <w:sz w:val="28"/>
          <w:szCs w:val="28"/>
          <w:lang w:eastAsia="en-GB"/>
        </w:rPr>
        <w:t xml:space="preserve">Our </w:t>
      </w:r>
      <w:r>
        <w:rPr>
          <w:rFonts w:ascii="Aptos" w:eastAsia="Times New Roman" w:hAnsi="Aptos" w:cs="Times New Roman"/>
          <w:color w:val="000000"/>
          <w:kern w:val="0"/>
          <w:sz w:val="28"/>
          <w:szCs w:val="28"/>
          <w:lang w:eastAsia="en-GB"/>
        </w:rPr>
        <w:t xml:space="preserve">main </w:t>
      </w:r>
      <w:r w:rsidRPr="00B001DD">
        <w:rPr>
          <w:rFonts w:ascii="Aptos" w:eastAsia="Times New Roman" w:hAnsi="Aptos" w:cs="Times New Roman"/>
          <w:color w:val="000000"/>
          <w:kern w:val="0"/>
          <w:sz w:val="28"/>
          <w:szCs w:val="28"/>
          <w:lang w:eastAsia="en-GB"/>
        </w:rPr>
        <w:t>recommendations were:</w:t>
      </w:r>
    </w:p>
    <w:p w:rsidR="00765C95" w:rsidRPr="00B001DD" w:rsidP="00B001DD">
      <w:pPr>
        <w:spacing w:after="0" w:line="360" w:lineRule="auto"/>
        <w:rPr>
          <w:rFonts w:eastAsia="Calibri" w:cs="Times New Roman"/>
          <w:bCs/>
          <w:kern w:val="0"/>
          <w:sz w:val="28"/>
          <w:szCs w:val="28"/>
          <w:lang w:eastAsia="zh-CN"/>
        </w:rPr>
      </w:pPr>
      <w:r>
        <w:rPr>
          <w:rFonts w:eastAsia="Calibri" w:cs="Times New Roman"/>
          <w:bCs/>
          <w:kern w:val="0"/>
          <w:sz w:val="28"/>
          <w:szCs w:val="28"/>
          <w:lang w:eastAsia="zh-CN"/>
        </w:rPr>
        <w:t>A</w:t>
      </w:r>
      <w:r w:rsidRPr="00B001DD">
        <w:rPr>
          <w:rFonts w:eastAsia="Calibri" w:cs="Times New Roman"/>
          <w:bCs/>
          <w:kern w:val="0"/>
          <w:sz w:val="28"/>
          <w:szCs w:val="28"/>
          <w:lang w:eastAsia="zh-CN"/>
        </w:rPr>
        <w:t xml:space="preserve"> Transitional care should be commissioned by commissioners of adult services as well as by commissioners of child services.</w:t>
      </w:r>
    </w:p>
    <w:p w:rsidR="00765C95" w:rsidRPr="00B001DD" w:rsidP="00B001DD">
      <w:pPr>
        <w:spacing w:after="200" w:line="360" w:lineRule="auto"/>
        <w:rPr>
          <w:rFonts w:eastAsia="Calibri" w:cs="Times New Roman"/>
          <w:bCs/>
          <w:kern w:val="0"/>
          <w:sz w:val="28"/>
          <w:szCs w:val="28"/>
          <w:lang w:eastAsia="zh-CN"/>
        </w:rPr>
      </w:pPr>
      <w:r w:rsidRPr="00B001DD">
        <w:rPr>
          <w:rFonts w:eastAsia="Calibri" w:cs="Times New Roman"/>
          <w:bCs/>
          <w:kern w:val="0"/>
          <w:sz w:val="28"/>
          <w:szCs w:val="28"/>
          <w:lang w:eastAsia="zh-CN"/>
        </w:rPr>
        <w:t>Where an adult service to which to transfer young people with a long term condition is not commissioned, commissioners should set out explicitly that the transfer arrangements will usually be to primary care and require appropriate documentation and assistance to the young person to make their first appointment.</w:t>
      </w:r>
    </w:p>
    <w:p w:rsidR="00765C95" w:rsidRPr="00B001DD" w:rsidP="00B001DD">
      <w:pPr>
        <w:spacing w:after="0" w:line="360" w:lineRule="auto"/>
        <w:rPr>
          <w:rFonts w:eastAsia="Calibri" w:cs="Times New Roman"/>
          <w:bCs/>
          <w:kern w:val="0"/>
          <w:sz w:val="28"/>
          <w:szCs w:val="28"/>
          <w:lang w:eastAsia="zh-CN"/>
        </w:rPr>
      </w:pPr>
      <w:r>
        <w:rPr>
          <w:rFonts w:eastAsia="Calibri" w:cs="Times New Roman"/>
          <w:bCs/>
          <w:kern w:val="0"/>
          <w:sz w:val="28"/>
          <w:szCs w:val="28"/>
          <w:lang w:eastAsia="zh-CN"/>
        </w:rPr>
        <w:t>B</w:t>
      </w:r>
      <w:r w:rsidRPr="00B001DD">
        <w:rPr>
          <w:rFonts w:eastAsia="Calibri" w:cs="Times New Roman"/>
          <w:bCs/>
          <w:kern w:val="0"/>
          <w:sz w:val="28"/>
          <w:szCs w:val="28"/>
          <w:lang w:eastAsia="zh-CN"/>
        </w:rPr>
        <w:t xml:space="preserve"> A framework to provide ‘Developmentally Appropriate Healthcare’ across NHS organisations should be commissioned, with the stipulation that this is owned at Chief Executive and Board level.</w:t>
      </w:r>
    </w:p>
    <w:p w:rsidR="00765C95" w:rsidRPr="00B001DD" w:rsidP="00B001DD">
      <w:pPr>
        <w:spacing w:after="0" w:line="360" w:lineRule="auto"/>
        <w:rPr>
          <w:rFonts w:eastAsia="Calibri" w:cs="Times New Roman"/>
          <w:bCs/>
          <w:kern w:val="0"/>
          <w:sz w:val="28"/>
          <w:szCs w:val="28"/>
          <w:lang w:eastAsia="zh-CN"/>
        </w:rPr>
      </w:pPr>
      <w:r>
        <w:rPr>
          <w:rFonts w:eastAsia="Calibri" w:cs="Times New Roman"/>
          <w:bCs/>
          <w:kern w:val="0"/>
          <w:sz w:val="28"/>
          <w:szCs w:val="28"/>
          <w:lang w:eastAsia="zh-CN"/>
        </w:rPr>
        <w:t>C</w:t>
      </w:r>
      <w:r w:rsidRPr="00B001DD">
        <w:rPr>
          <w:rFonts w:eastAsia="Calibri" w:cs="Times New Roman"/>
          <w:bCs/>
          <w:kern w:val="0"/>
          <w:sz w:val="28"/>
          <w:szCs w:val="28"/>
          <w:lang w:eastAsia="zh-CN"/>
        </w:rPr>
        <w:t xml:space="preserve"> NHS organisations should adopt a Trustwide approach to implementation of better transitional care. A Transition Steering Committee, chaired by a Trustwide Transition Coordinator, can facilitate this.</w:t>
      </w:r>
    </w:p>
    <w:p w:rsidR="00765C95" w:rsidRPr="00B001DD" w:rsidP="00B001DD">
      <w:pPr>
        <w:spacing w:after="0" w:line="360" w:lineRule="auto"/>
        <w:rPr>
          <w:rFonts w:eastAsia="Calibri" w:cs="Times New Roman"/>
          <w:bCs/>
          <w:kern w:val="0"/>
          <w:sz w:val="28"/>
          <w:szCs w:val="28"/>
          <w:lang w:eastAsia="zh-CN"/>
        </w:rPr>
      </w:pPr>
      <w:r>
        <w:rPr>
          <w:rFonts w:eastAsia="Calibri" w:cs="Times New Roman"/>
          <w:bCs/>
          <w:kern w:val="0"/>
          <w:sz w:val="28"/>
          <w:szCs w:val="28"/>
          <w:lang w:eastAsia="zh-CN"/>
        </w:rPr>
        <w:t>D</w:t>
      </w:r>
      <w:r w:rsidRPr="00B001DD">
        <w:rPr>
          <w:rFonts w:eastAsia="Calibri" w:cs="Times New Roman"/>
          <w:bCs/>
          <w:kern w:val="0"/>
          <w:sz w:val="28"/>
          <w:szCs w:val="28"/>
          <w:lang w:eastAsia="zh-CN"/>
        </w:rPr>
        <w:t xml:space="preserve"> Child clinicians should plan Transition procedures jointly with the relevant named adult clinicians and general practitioners.</w:t>
      </w:r>
    </w:p>
    <w:p w:rsidR="00765C95" w:rsidRPr="00B001DD" w:rsidP="00B001DD">
      <w:pPr>
        <w:spacing w:after="0" w:line="360" w:lineRule="auto"/>
        <w:rPr>
          <w:rFonts w:eastAsia="Calibri" w:cs="Times New Roman"/>
          <w:bCs/>
          <w:kern w:val="0"/>
          <w:sz w:val="28"/>
          <w:szCs w:val="28"/>
          <w:lang w:eastAsia="zh-CN"/>
        </w:rPr>
      </w:pPr>
      <w:r>
        <w:rPr>
          <w:rFonts w:eastAsia="Calibri" w:cs="Times New Roman"/>
          <w:bCs/>
          <w:kern w:val="0"/>
          <w:sz w:val="28"/>
          <w:szCs w:val="28"/>
          <w:lang w:eastAsia="zh-CN"/>
        </w:rPr>
        <w:t>E</w:t>
      </w:r>
      <w:r w:rsidRPr="00B001DD">
        <w:rPr>
          <w:rFonts w:eastAsia="Calibri" w:cs="Times New Roman"/>
          <w:bCs/>
          <w:kern w:val="0"/>
          <w:sz w:val="28"/>
          <w:szCs w:val="28"/>
          <w:lang w:eastAsia="zh-CN"/>
        </w:rPr>
        <w:t xml:space="preserve"> Child and adult healthcare providers should explore with a young person how they approach Transition and personalise the clinical approach thereafter.</w:t>
      </w:r>
    </w:p>
    <w:p w:rsidR="00765C95" w:rsidRPr="00B001DD" w:rsidP="00B001DD">
      <w:pPr>
        <w:spacing w:after="200" w:line="360" w:lineRule="auto"/>
        <w:contextualSpacing/>
        <w:rPr>
          <w:rFonts w:eastAsia="Calibri" w:cs="Times New Roman"/>
          <w:bCs/>
          <w:kern w:val="0"/>
          <w:sz w:val="28"/>
          <w:szCs w:val="28"/>
        </w:rPr>
      </w:pPr>
      <w:r>
        <w:rPr>
          <w:rFonts w:eastAsia="Calibri" w:cs="Times New Roman"/>
          <w:bCs/>
          <w:kern w:val="0"/>
          <w:sz w:val="28"/>
          <w:szCs w:val="28"/>
        </w:rPr>
        <w:t>F</w:t>
      </w:r>
      <w:r w:rsidRPr="00B001DD">
        <w:rPr>
          <w:rFonts w:eastAsia="Calibri" w:cs="Times New Roman"/>
          <w:bCs/>
          <w:kern w:val="0"/>
          <w:sz w:val="28"/>
          <w:szCs w:val="28"/>
        </w:rPr>
        <w:t xml:space="preserve"> The features ‘Appropriate parent involvement’, ‘Promotion of young people’s confidence in managing their health condition (health self-efficacy)’ and ‘Meeting the adult team before transfer’ were associated with greater satisfaction with services, participation</w:t>
      </w:r>
      <w:r>
        <w:rPr>
          <w:rFonts w:eastAsia="Calibri" w:cs="Times New Roman"/>
          <w:bCs/>
          <w:kern w:val="0"/>
          <w:sz w:val="28"/>
          <w:szCs w:val="28"/>
        </w:rPr>
        <w:t xml:space="preserve"> in life situations</w:t>
      </w:r>
      <w:r w:rsidRPr="00B001DD">
        <w:rPr>
          <w:rFonts w:eastAsia="Calibri" w:cs="Times New Roman"/>
          <w:bCs/>
          <w:kern w:val="0"/>
          <w:sz w:val="28"/>
          <w:szCs w:val="28"/>
        </w:rPr>
        <w:t>, subjective wellbeing and measures of disease control.</w:t>
      </w:r>
    </w:p>
    <w:p w:rsidR="00765C95">
      <w:pPr>
        <w:rPr>
          <w:sz w:val="28"/>
          <w:szCs w:val="28"/>
        </w:rPr>
      </w:pPr>
    </w:p>
    <w:p w:rsidR="00765C95">
      <w:pPr>
        <w:rPr>
          <w:sz w:val="28"/>
          <w:szCs w:val="28"/>
        </w:rPr>
      </w:pPr>
      <w:r>
        <w:rPr>
          <w:sz w:val="28"/>
          <w:szCs w:val="28"/>
        </w:rPr>
        <w:t>Allan Colver</w:t>
      </w:r>
    </w:p>
    <w:p w:rsidR="00765C95">
      <w:pPr>
        <w:rPr>
          <w:sz w:val="28"/>
          <w:szCs w:val="28"/>
        </w:rPr>
      </w:pPr>
      <w:r>
        <w:rPr>
          <w:sz w:val="28"/>
          <w:szCs w:val="28"/>
        </w:rPr>
        <w:t>Jeremy Parr</w:t>
      </w:r>
    </w:p>
    <w:p w:rsidR="00765C95">
      <w:pPr>
        <w:rPr>
          <w:sz w:val="28"/>
          <w:szCs w:val="28"/>
        </w:rPr>
      </w:pPr>
      <w:r>
        <w:rPr>
          <w:sz w:val="28"/>
          <w:szCs w:val="28"/>
        </w:rPr>
        <w:t>Ann Le</w:t>
      </w:r>
      <w:r>
        <w:rPr>
          <w:sz w:val="28"/>
          <w:szCs w:val="28"/>
        </w:rPr>
        <w:t xml:space="preserve"> </w:t>
      </w:r>
      <w:r>
        <w:rPr>
          <w:sz w:val="28"/>
          <w:szCs w:val="28"/>
        </w:rPr>
        <w:t>Couteur</w:t>
      </w:r>
    </w:p>
    <w:p w:rsidR="00765C95">
      <w:pPr>
        <w:rPr>
          <w:sz w:val="28"/>
          <w:szCs w:val="28"/>
        </w:rPr>
      </w:pPr>
      <w:r>
        <w:rPr>
          <w:sz w:val="28"/>
          <w:szCs w:val="28"/>
        </w:rPr>
        <w:t>Helen McConachie</w:t>
      </w:r>
    </w:p>
    <w:p w:rsidR="000F3464" w:rsidP="000F3464">
      <w:pPr>
        <w:rPr>
          <w:b/>
          <w:bCs/>
          <w:sz w:val="28"/>
          <w:szCs w:val="28"/>
        </w:rPr>
      </w:pPr>
    </w:p>
    <w:p w:rsidR="000F3464" w:rsidRPr="000F3464" w:rsidP="000F3464">
      <w:pPr>
        <w:rPr>
          <w:i/>
          <w:iCs/>
        </w:rPr>
      </w:pPr>
      <w:r w:rsidRPr="000F3464">
        <w:rPr>
          <w:i/>
          <w:iCs/>
        </w:rPr>
        <w:t>May 2026</w:t>
      </w:r>
    </w:p>
    <w:p w:rsidR="00765C95" w:rsidP="000F3464">
      <w:pPr>
        <w:rPr>
          <w:b/>
          <w:bCs/>
          <w:sz w:val="28"/>
          <w:szCs w:val="28"/>
        </w:rPr>
      </w:pPr>
      <w:r>
        <w:rPr>
          <w:b/>
          <w:bCs/>
          <w:sz w:val="28"/>
          <w:szCs w:val="28"/>
        </w:rPr>
        <w:br w:type="page"/>
      </w:r>
    </w:p>
    <w:p w:rsidR="00765C95" w:rsidP="005524FE">
      <w:pPr>
        <w:spacing w:after="0"/>
        <w:ind w:left="-709"/>
        <w:jc w:val="center"/>
        <w:rPr>
          <w:b/>
          <w:bCs/>
          <w:sz w:val="28"/>
          <w:szCs w:val="28"/>
        </w:rPr>
      </w:pPr>
      <w:r w:rsidRPr="009208D1">
        <w:rPr>
          <w:b/>
          <w:bCs/>
          <w:sz w:val="28"/>
          <w:szCs w:val="28"/>
        </w:rPr>
        <w:t>The Transition from Child to Adult Health and Social Care Services</w:t>
      </w:r>
    </w:p>
    <w:p w:rsidR="00765C95" w:rsidP="005524FE">
      <w:pPr>
        <w:spacing w:after="0"/>
        <w:ind w:left="-709"/>
        <w:jc w:val="both"/>
        <w:rPr>
          <w:b/>
          <w:bCs/>
          <w:sz w:val="28"/>
          <w:szCs w:val="28"/>
        </w:rPr>
      </w:pPr>
    </w:p>
    <w:p w:rsidR="00765C95" w:rsidRPr="005524FE" w:rsidP="005524FE">
      <w:pPr>
        <w:spacing w:after="0"/>
        <w:ind w:left="-709"/>
        <w:jc w:val="both"/>
        <w:rPr>
          <w:sz w:val="22"/>
          <w:szCs w:val="22"/>
        </w:rPr>
      </w:pPr>
      <w:r w:rsidRPr="27D8E76E">
        <w:rPr>
          <w:sz w:val="22"/>
          <w:szCs w:val="22"/>
        </w:rPr>
        <w:t xml:space="preserve">Please provide a written submission answering, where possible, the questions set out in the planning grid below, relating to physical health, mental health and/or social care services. We are not expecting every stakeholder to be able to answer all the questions in the planning grid – please answer those that are relevant to your/your organisation’s area of expertise. There are boxes below each question to be filled with your answer, should you wish to use this template. </w:t>
      </w:r>
    </w:p>
    <w:p w:rsidR="00765C95" w:rsidRPr="005524FE" w:rsidP="005524FE">
      <w:pPr>
        <w:spacing w:after="0"/>
        <w:ind w:left="-709"/>
        <w:jc w:val="center"/>
        <w:rPr>
          <w:b/>
          <w:bCs/>
          <w:sz w:val="28"/>
          <w:szCs w:val="28"/>
        </w:rPr>
      </w:pPr>
      <w:r w:rsidRPr="005524FE">
        <w:rPr>
          <w:rFonts w:ascii="Arial" w:hAnsi="Arial" w:cs="Arial"/>
          <w:b/>
          <w:bCs/>
          <w:sz w:val="28"/>
          <w:szCs w:val="28"/>
        </w:rPr>
        <w:t> </w:t>
      </w:r>
      <w:r w:rsidRPr="005524FE">
        <w:rPr>
          <w:b/>
          <w:bCs/>
          <w:sz w:val="28"/>
          <w:szCs w:val="28"/>
        </w:rPr>
        <w:t> </w:t>
      </w:r>
    </w:p>
    <w:tbl>
      <w:tblPr>
        <w:tblStyle w:val="TableGrid"/>
        <w:tblW w:w="10490" w:type="dxa"/>
        <w:tblInd w:w="-714" w:type="dxa"/>
        <w:tblLook w:val="04A0"/>
      </w:tblPr>
      <w:tblGrid>
        <w:gridCol w:w="1985"/>
        <w:gridCol w:w="8505"/>
      </w:tblGrid>
      <w:tr w:rsidTr="5EF72ECC">
        <w:tblPrEx>
          <w:tblW w:w="10490" w:type="dxa"/>
          <w:tblInd w:w="-714" w:type="dxa"/>
          <w:tblLook w:val="04A0"/>
        </w:tblPrEx>
        <w:tc>
          <w:tcPr>
            <w:tcW w:w="10490" w:type="dxa"/>
            <w:gridSpan w:val="2"/>
          </w:tcPr>
          <w:p w:rsidR="00765C95" w:rsidP="008C50D4">
            <w:pPr>
              <w:rPr>
                <w:b/>
                <w:bCs/>
              </w:rPr>
            </w:pPr>
            <w:r>
              <w:rPr>
                <w:b/>
                <w:bCs/>
              </w:rPr>
              <w:t>FOCUS AREA 1</w:t>
            </w:r>
          </w:p>
          <w:p w:rsidR="00765C95" w:rsidRPr="00507C01" w:rsidP="008C50D4">
            <w:pPr>
              <w:rPr>
                <w:b/>
                <w:bCs/>
              </w:rPr>
            </w:pPr>
            <w:r w:rsidRPr="00507C01">
              <w:rPr>
                <w:b/>
                <w:bCs/>
              </w:rPr>
              <w:t>TIMELINESS AND PACE OF THE TRANSITION TO ADULT SERVICES</w:t>
            </w:r>
          </w:p>
        </w:tc>
      </w:tr>
      <w:tr w:rsidTr="5EF72ECC">
        <w:tblPrEx>
          <w:tblW w:w="10490" w:type="dxa"/>
          <w:tblInd w:w="-714" w:type="dxa"/>
          <w:tblLook w:val="04A0"/>
        </w:tblPrEx>
        <w:tc>
          <w:tcPr>
            <w:tcW w:w="10490" w:type="dxa"/>
            <w:gridSpan w:val="2"/>
          </w:tcPr>
          <w:p w:rsidR="00765C95" w:rsidRPr="001E752C" w:rsidP="005B3DF0">
            <w:pPr>
              <w:spacing w:after="120"/>
              <w:rPr>
                <w:rFonts w:ascii="Aptos" w:eastAsia="Aptos" w:hAnsi="Aptos"/>
                <w:color w:val="000000" w:themeColor="text1"/>
                <w:sz w:val="22"/>
                <w:szCs w:val="22"/>
              </w:rPr>
            </w:pPr>
            <w:r w:rsidRPr="001E752C">
              <w:rPr>
                <w:rFonts w:ascii="Aptos" w:eastAsia="Aptos" w:hAnsi="Aptos"/>
                <w:b/>
                <w:bCs/>
                <w:color w:val="000000" w:themeColor="text1"/>
                <w:sz w:val="22"/>
                <w:szCs w:val="22"/>
                <w:lang w:val="en-US"/>
              </w:rPr>
              <w:t xml:space="preserve">Statement of </w:t>
            </w:r>
            <w:r w:rsidRPr="24FF445A">
              <w:rPr>
                <w:rFonts w:ascii="Aptos" w:eastAsia="Aptos" w:hAnsi="Aptos"/>
                <w:b/>
                <w:bCs/>
                <w:color w:val="000000" w:themeColor="text1"/>
                <w:sz w:val="22"/>
                <w:szCs w:val="22"/>
                <w:lang w:val="en-US"/>
              </w:rPr>
              <w:t>intent</w:t>
            </w:r>
            <w:r w:rsidRPr="001E752C">
              <w:rPr>
                <w:rFonts w:ascii="Aptos" w:eastAsia="Aptos" w:hAnsi="Aptos"/>
                <w:b/>
                <w:bCs/>
                <w:color w:val="000000" w:themeColor="text1"/>
                <w:sz w:val="22"/>
                <w:szCs w:val="22"/>
                <w:lang w:val="en-US"/>
              </w:rPr>
              <w:t xml:space="preserve"> 1:</w:t>
            </w:r>
            <w:r w:rsidRPr="001E752C">
              <w:rPr>
                <w:rFonts w:ascii="Aptos" w:eastAsia="Aptos" w:hAnsi="Aptos"/>
                <w:color w:val="000000" w:themeColor="text1"/>
                <w:sz w:val="22"/>
                <w:szCs w:val="22"/>
                <w:lang w:val="en-US"/>
              </w:rPr>
              <w:t xml:space="preserve"> “Young people who will move from children's to adults' services start planning their transition with health and social care practitioners by school year 9 (aged 13 to 14 years), or immediately if they enter children's services after school year 9”. </w:t>
            </w:r>
            <w:r>
              <w:fldChar w:fldCharType="begin"/>
            </w:r>
            <w:r>
              <w:instrText xml:space="preserve"> HYPERLINK "https://www.nice.org.uk/guidance/qs140/chapter/Quality-statement-1-Planning-transition" </w:instrText>
            </w:r>
            <w:r>
              <w:fldChar w:fldCharType="separate"/>
            </w:r>
            <w:r w:rsidRPr="0020498B">
              <w:rPr>
                <w:rStyle w:val="Hyperlink"/>
                <w:rFonts w:ascii="Aptos" w:eastAsia="Aptos" w:hAnsi="Aptos"/>
                <w:sz w:val="22"/>
                <w:szCs w:val="22"/>
                <w:lang w:val="en-US"/>
              </w:rPr>
              <w:t>NICE QS140 (1, 2016)</w:t>
            </w:r>
            <w:r>
              <w:fldChar w:fldCharType="end"/>
            </w:r>
            <w:r w:rsidRPr="001E752C">
              <w:rPr>
                <w:rFonts w:ascii="Aptos" w:eastAsia="Aptos" w:hAnsi="Aptos"/>
                <w:b/>
                <w:bCs/>
                <w:color w:val="000000" w:themeColor="text1"/>
                <w:sz w:val="22"/>
                <w:szCs w:val="22"/>
                <w:lang w:val="en-US"/>
              </w:rPr>
              <w:t xml:space="preserve"> </w:t>
            </w:r>
          </w:p>
          <w:p w:rsidR="00765C95" w:rsidRPr="00734A71" w:rsidP="005B3DF0">
            <w:pPr>
              <w:rPr>
                <w:rFonts w:ascii="Aptos" w:eastAsia="Aptos" w:hAnsi="Aptos"/>
                <w:color w:val="000000" w:themeColor="text1"/>
              </w:rPr>
            </w:pPr>
            <w:r w:rsidRPr="0CCDC7CB">
              <w:rPr>
                <w:rFonts w:ascii="Aptos" w:eastAsia="Aptos" w:hAnsi="Aptos"/>
                <w:b/>
                <w:bCs/>
                <w:color w:val="000000" w:themeColor="text1"/>
                <w:sz w:val="22"/>
                <w:szCs w:val="22"/>
                <w:lang w:val="en-US"/>
              </w:rPr>
              <w:t xml:space="preserve">Statement of intent 2: </w:t>
            </w:r>
            <w:r w:rsidRPr="0CCDC7CB">
              <w:rPr>
                <w:rFonts w:ascii="Aptos" w:eastAsia="Aptos" w:hAnsi="Aptos"/>
                <w:color w:val="000000" w:themeColor="text1"/>
                <w:sz w:val="22"/>
                <w:szCs w:val="22"/>
                <w:lang w:val="en-US"/>
              </w:rPr>
              <w:t xml:space="preserve">Duty for local authorities to assess a child’s needs for care and support, where it appears to a local authority that the child is likely to have needs for care and support after turning 18. </w:t>
            </w:r>
            <w:r>
              <w:fldChar w:fldCharType="begin"/>
            </w:r>
            <w:r>
              <w:instrText xml:space="preserve"> HYPERLINK "https://www.legislation.gov.uk/ukpga/2014/23/part/1/crossheading/transition-for-children-to-adult-care-and-support-etc/enacted" </w:instrText>
            </w:r>
            <w:r>
              <w:fldChar w:fldCharType="separate"/>
            </w:r>
            <w:r w:rsidRPr="0CCDC7CB">
              <w:rPr>
                <w:rStyle w:val="Hyperlink"/>
                <w:rFonts w:ascii="Aptos" w:eastAsia="Aptos" w:hAnsi="Aptos"/>
                <w:sz w:val="22"/>
                <w:szCs w:val="22"/>
                <w:lang w:val="en-US"/>
              </w:rPr>
              <w:t>Care Act 2014 (Section 58)</w:t>
            </w:r>
            <w:r>
              <w:fldChar w:fldCharType="end"/>
            </w:r>
            <w:r w:rsidRPr="0CCDC7CB">
              <w:rPr>
                <w:rFonts w:ascii="Aptos" w:eastAsia="Aptos" w:hAnsi="Aptos"/>
                <w:color w:val="000000" w:themeColor="text1"/>
                <w:sz w:val="22"/>
                <w:szCs w:val="22"/>
                <w:lang w:val="en-US"/>
              </w:rPr>
              <w:t xml:space="preserve"> Where the child has previously been receiving services, the local authority must continue to provide those services until [adult care and support is in </w:t>
            </w:r>
            <w:bookmarkStart w:id="0" w:name="_Int_m1JN335b"/>
            <w:r w:rsidRPr="0CCDC7CB">
              <w:rPr>
                <w:rFonts w:ascii="Aptos" w:eastAsia="Aptos" w:hAnsi="Aptos"/>
                <w:color w:val="000000" w:themeColor="text1"/>
                <w:sz w:val="22"/>
                <w:szCs w:val="22"/>
                <w:lang w:val="en-US"/>
              </w:rPr>
              <w:t>place].</w:t>
            </w:r>
            <w:bookmarkEnd w:id="0"/>
            <w:r w:rsidRPr="0CCDC7CB">
              <w:rPr>
                <w:rFonts w:ascii="Aptos" w:eastAsia="Aptos" w:hAnsi="Aptos"/>
                <w:color w:val="000000" w:themeColor="text1"/>
                <w:sz w:val="22"/>
                <w:szCs w:val="22"/>
                <w:lang w:val="en-US"/>
              </w:rPr>
              <w:t xml:space="preserve"> This is to ensure no gap in provision during the transition to adult care and support. </w:t>
            </w:r>
            <w:r>
              <w:fldChar w:fldCharType="begin"/>
            </w:r>
            <w:r>
              <w:instrText xml:space="preserve"> HYPERLINK "https://www.legislation.gov.uk/ukpga/2014/23/part/1/crossheading/transition-for-children-to-adult-care-and-support-etc/enacted" </w:instrText>
            </w:r>
            <w:r>
              <w:fldChar w:fldCharType="separate"/>
            </w:r>
            <w:r w:rsidRPr="0CCDC7CB">
              <w:rPr>
                <w:rStyle w:val="Hyperlink"/>
                <w:rFonts w:ascii="Aptos" w:eastAsia="Aptos" w:hAnsi="Aptos"/>
                <w:sz w:val="22"/>
                <w:szCs w:val="22"/>
                <w:lang w:val="en-US"/>
              </w:rPr>
              <w:t>Care Act 2014 (Section 66)</w:t>
            </w:r>
            <w:r>
              <w:fldChar w:fldCharType="end"/>
            </w:r>
          </w:p>
        </w:tc>
      </w:tr>
      <w:tr w:rsidTr="5EF72ECC">
        <w:tblPrEx>
          <w:tblW w:w="10490" w:type="dxa"/>
          <w:tblInd w:w="-714" w:type="dxa"/>
          <w:tblLook w:val="04A0"/>
        </w:tblPrEx>
        <w:tc>
          <w:tcPr>
            <w:tcW w:w="1985" w:type="dxa"/>
            <w:vMerge w:val="restart"/>
          </w:tcPr>
          <w:p w:rsidR="00765C95" w:rsidRPr="002E2577" w:rsidP="00E03AED">
            <w:pPr>
              <w:rPr>
                <w:b/>
                <w:sz w:val="20"/>
                <w:szCs w:val="20"/>
              </w:rPr>
            </w:pPr>
            <w:r w:rsidRPr="002E2577">
              <w:rPr>
                <w:b/>
                <w:sz w:val="20"/>
                <w:szCs w:val="20"/>
              </w:rPr>
              <w:t>Resourcing</w:t>
            </w:r>
          </w:p>
        </w:tc>
        <w:tc>
          <w:tcPr>
            <w:tcW w:w="8505" w:type="dxa"/>
          </w:tcPr>
          <w:p w:rsidR="00765C95" w:rsidRPr="0068728A" w:rsidP="008D6BE3">
            <w:pPr>
              <w:rPr>
                <w:sz w:val="22"/>
                <w:szCs w:val="22"/>
              </w:rPr>
            </w:pPr>
            <w:r>
              <w:rPr>
                <w:sz w:val="22"/>
                <w:szCs w:val="22"/>
              </w:rPr>
              <w:t>1. What resources are required by health and social care services to enable identification and implementation of transition planning from year 9, or immediately after if the young person enters services later?</w:t>
            </w:r>
          </w:p>
        </w:tc>
      </w:tr>
      <w:tr w:rsidTr="5EF72ECC">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We have no information</w:t>
            </w:r>
          </w:p>
        </w:tc>
      </w:tr>
      <w:tr w:rsidTr="5EF72ECC">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2. To what extent are local authorities sufficiently resourced to assess children for continuing need and provide ongoing services, where needed, to ensure no gaps in provision?</w:t>
            </w:r>
          </w:p>
        </w:tc>
      </w:tr>
      <w:tr w:rsidTr="5EF72ECC">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We have no information</w:t>
            </w:r>
          </w:p>
        </w:tc>
      </w:tr>
      <w:tr w:rsidTr="5EF72ECC">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Effectiveness and implementation</w:t>
            </w:r>
          </w:p>
        </w:tc>
        <w:tc>
          <w:tcPr>
            <w:tcW w:w="8505" w:type="dxa"/>
          </w:tcPr>
          <w:p w:rsidR="00765C95" w:rsidRPr="0068728A" w:rsidP="005E7CD3">
            <w:pPr>
              <w:rPr>
                <w:sz w:val="22"/>
                <w:szCs w:val="22"/>
              </w:rPr>
            </w:pPr>
            <w:r>
              <w:rPr>
                <w:sz w:val="22"/>
                <w:szCs w:val="22"/>
              </w:rPr>
              <w:t>1. How do services identify those who will need to transition to adult services, and what proportion start transition planning in year 9? How is this monitored?</w:t>
            </w:r>
          </w:p>
        </w:tc>
      </w:tr>
      <w:tr w:rsidTr="5EF72ECC">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We have no information</w:t>
            </w:r>
          </w:p>
        </w:tc>
      </w:tr>
      <w:tr w:rsidTr="5EF72ECC">
        <w:tblPrEx>
          <w:tblW w:w="10490" w:type="dxa"/>
          <w:tblInd w:w="-714" w:type="dxa"/>
          <w:tblLook w:val="04A0"/>
        </w:tblPrEx>
        <w:tc>
          <w:tcPr>
            <w:tcW w:w="1985" w:type="dxa"/>
            <w:vMerge/>
          </w:tcPr>
          <w:p w:rsidR="00765C95" w:rsidRPr="002E2577" w:rsidP="005E7CD3">
            <w:pPr>
              <w:rPr>
                <w:b/>
                <w:bCs/>
                <w:sz w:val="20"/>
                <w:szCs w:val="20"/>
              </w:rPr>
            </w:pPr>
          </w:p>
        </w:tc>
        <w:tc>
          <w:tcPr>
            <w:tcW w:w="8505" w:type="dxa"/>
          </w:tcPr>
          <w:p w:rsidR="00765C95" w:rsidRPr="0068728A" w:rsidP="005E7CD3">
            <w:pPr>
              <w:rPr>
                <w:sz w:val="22"/>
                <w:szCs w:val="22"/>
              </w:rPr>
            </w:pPr>
            <w:r>
              <w:rPr>
                <w:sz w:val="22"/>
                <w:szCs w:val="22"/>
              </w:rPr>
              <w:t>2. To what extent are transfers from child to adult services managed without gaps in provision? How is this monitored?</w:t>
            </w:r>
          </w:p>
        </w:tc>
      </w:tr>
      <w:tr w:rsidTr="5EF72ECC">
        <w:tblPrEx>
          <w:tblW w:w="10490" w:type="dxa"/>
          <w:tblInd w:w="-714" w:type="dxa"/>
          <w:tblLook w:val="04A0"/>
        </w:tblPrEx>
        <w:tc>
          <w:tcPr>
            <w:tcW w:w="1985" w:type="dxa"/>
            <w:vMerge/>
          </w:tcPr>
          <w:p w:rsidR="00765C95" w:rsidRPr="002E2577" w:rsidP="005E7CD3">
            <w:pPr>
              <w:rPr>
                <w:b/>
                <w:bCs/>
                <w:sz w:val="20"/>
                <w:szCs w:val="20"/>
              </w:rPr>
            </w:pPr>
          </w:p>
        </w:tc>
        <w:tc>
          <w:tcPr>
            <w:tcW w:w="8505" w:type="dxa"/>
          </w:tcPr>
          <w:p w:rsidR="00765C95" w:rsidRPr="0068728A" w:rsidP="005E7CD3">
            <w:pPr>
              <w:rPr>
                <w:sz w:val="22"/>
                <w:szCs w:val="22"/>
              </w:rPr>
            </w:pPr>
            <w:r>
              <w:rPr>
                <w:sz w:val="22"/>
                <w:szCs w:val="22"/>
              </w:rPr>
              <w:t>We have no information</w:t>
            </w:r>
          </w:p>
        </w:tc>
      </w:tr>
      <w:tr w:rsidTr="5EF72ECC">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Impact and outcomes</w:t>
            </w:r>
          </w:p>
        </w:tc>
        <w:tc>
          <w:tcPr>
            <w:tcW w:w="8505" w:type="dxa"/>
          </w:tcPr>
          <w:p w:rsidR="00765C95" w:rsidRPr="0068728A" w:rsidP="005E7CD3">
            <w:pPr>
              <w:rPr>
                <w:sz w:val="22"/>
                <w:szCs w:val="22"/>
              </w:rPr>
            </w:pPr>
            <w:r>
              <w:rPr>
                <w:sz w:val="22"/>
                <w:szCs w:val="22"/>
              </w:rPr>
              <w:t>1. How is the transition support strengths-based, focusing on what is positive and possible for the young person</w:t>
            </w:r>
            <w:r w:rsidRPr="00F34E69">
              <w:rPr>
                <w:sz w:val="22"/>
                <w:szCs w:val="22"/>
              </w:rPr>
              <w:t xml:space="preserve"> </w:t>
            </w:r>
            <w:r>
              <w:fldChar w:fldCharType="begin"/>
            </w:r>
            <w:r>
              <w:instrText xml:space="preserve"> HYPERLINK "https://www.nice.org.uk/guidance/ng43/chapter/Recommendations" \l "support-before-transfer" \t "_blank" </w:instrText>
            </w:r>
            <w:r>
              <w:fldChar w:fldCharType="separate"/>
            </w:r>
            <w:r w:rsidRPr="00F34E69">
              <w:rPr>
                <w:rStyle w:val="Hyperlink"/>
                <w:sz w:val="22"/>
                <w:szCs w:val="22"/>
                <w:lang w:val="en-US"/>
              </w:rPr>
              <w:t>NICE NG43 (1.1.3, 2016)</w:t>
            </w:r>
            <w:r>
              <w:fldChar w:fldCharType="end"/>
            </w:r>
            <w:r>
              <w:t>?</w:t>
            </w:r>
          </w:p>
        </w:tc>
      </w:tr>
      <w:tr w:rsidTr="5EF72ECC">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We have no information</w:t>
            </w:r>
          </w:p>
        </w:tc>
      </w:tr>
      <w:tr w:rsidTr="5EF72ECC">
        <w:tblPrEx>
          <w:tblW w:w="10490" w:type="dxa"/>
          <w:tblInd w:w="-714" w:type="dxa"/>
          <w:tblLook w:val="04A0"/>
        </w:tblPrEx>
        <w:tc>
          <w:tcPr>
            <w:tcW w:w="1985" w:type="dxa"/>
            <w:vMerge/>
          </w:tcPr>
          <w:p w:rsidR="00765C95" w:rsidRPr="002E2577" w:rsidP="005E7CD3">
            <w:pPr>
              <w:rPr>
                <w:b/>
                <w:bCs/>
                <w:sz w:val="20"/>
                <w:szCs w:val="20"/>
              </w:rPr>
            </w:pPr>
          </w:p>
        </w:tc>
        <w:tc>
          <w:tcPr>
            <w:tcW w:w="8505" w:type="dxa"/>
          </w:tcPr>
          <w:p w:rsidR="00765C95" w:rsidRPr="0068728A" w:rsidP="005E7CD3">
            <w:pPr>
              <w:rPr>
                <w:sz w:val="22"/>
                <w:szCs w:val="22"/>
              </w:rPr>
            </w:pPr>
            <w:r>
              <w:rPr>
                <w:sz w:val="22"/>
                <w:szCs w:val="22"/>
              </w:rPr>
              <w:t xml:space="preserve">2. How is the recommendation that the point of transfer to adult services should be based on individual need, rather than rigid age criteria, managed in practice </w:t>
            </w:r>
            <w:r>
              <w:fldChar w:fldCharType="begin"/>
            </w:r>
            <w:r>
              <w:instrText xml:space="preserve"> HYPERLINK "https://www.nice.org.uk/guidance/ng43/chapter/Recommendations" \l "transition-planning" \t "_blank" </w:instrText>
            </w:r>
            <w:r>
              <w:fldChar w:fldCharType="separate"/>
            </w:r>
            <w:r w:rsidRPr="00E3754A">
              <w:rPr>
                <w:rStyle w:val="Hyperlink"/>
                <w:sz w:val="22"/>
                <w:szCs w:val="22"/>
                <w:lang w:val="en-US"/>
              </w:rPr>
              <w:t>NICE NG43 (1.2.3, 2016)</w:t>
            </w:r>
            <w:r>
              <w:fldChar w:fldCharType="end"/>
            </w:r>
            <w:r>
              <w:t>?</w:t>
            </w:r>
          </w:p>
        </w:tc>
      </w:tr>
      <w:tr w:rsidTr="5EF72ECC">
        <w:tblPrEx>
          <w:tblW w:w="10490" w:type="dxa"/>
          <w:tblInd w:w="-714" w:type="dxa"/>
          <w:tblLook w:val="04A0"/>
        </w:tblPrEx>
        <w:tc>
          <w:tcPr>
            <w:tcW w:w="1985" w:type="dxa"/>
            <w:vMerge/>
          </w:tcPr>
          <w:p w:rsidR="00765C95" w:rsidRPr="002E2577" w:rsidP="005E7CD3">
            <w:pPr>
              <w:rPr>
                <w:b/>
                <w:bCs/>
                <w:sz w:val="20"/>
                <w:szCs w:val="20"/>
              </w:rPr>
            </w:pPr>
          </w:p>
        </w:tc>
        <w:tc>
          <w:tcPr>
            <w:tcW w:w="8505" w:type="dxa"/>
          </w:tcPr>
          <w:p w:rsidR="00765C95" w:rsidRPr="0068728A" w:rsidP="005E7CD3">
            <w:pPr>
              <w:rPr>
                <w:sz w:val="22"/>
                <w:szCs w:val="22"/>
              </w:rPr>
            </w:pPr>
            <w:r>
              <w:rPr>
                <w:sz w:val="22"/>
                <w:szCs w:val="22"/>
              </w:rPr>
              <w:t>We have no information</w:t>
            </w:r>
          </w:p>
        </w:tc>
      </w:tr>
      <w:tr w:rsidTr="5EF72ECC">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Appropriateness</w:t>
            </w:r>
          </w:p>
        </w:tc>
        <w:tc>
          <w:tcPr>
            <w:tcW w:w="8505" w:type="dxa"/>
          </w:tcPr>
          <w:p w:rsidR="00765C95" w:rsidRPr="0068728A" w:rsidP="005E7CD3">
            <w:pPr>
              <w:rPr>
                <w:sz w:val="22"/>
                <w:szCs w:val="22"/>
              </w:rPr>
            </w:pPr>
            <w:r>
              <w:rPr>
                <w:sz w:val="22"/>
                <w:szCs w:val="22"/>
              </w:rPr>
              <w:t xml:space="preserve">1. To what extent are service providers able to meet these statements of </w:t>
            </w:r>
            <w:r w:rsidRPr="1A6F1BD2">
              <w:rPr>
                <w:sz w:val="22"/>
                <w:szCs w:val="22"/>
              </w:rPr>
              <w:t xml:space="preserve">intent? </w:t>
            </w:r>
          </w:p>
        </w:tc>
      </w:tr>
      <w:tr w:rsidTr="5EF72ECC">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We have no information</w:t>
            </w:r>
          </w:p>
        </w:tc>
      </w:tr>
      <w:tr w:rsidTr="5EF72ECC">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 xml:space="preserve">2. How appropriate are the current expectations on the timeliness and pace of the transition at both the individual and service level? </w:t>
            </w:r>
          </w:p>
        </w:tc>
      </w:tr>
      <w:tr w:rsidTr="0089718B">
        <w:tblPrEx>
          <w:tblW w:w="10490" w:type="dxa"/>
          <w:tblInd w:w="-714" w:type="dxa"/>
          <w:tblLook w:val="04A0"/>
        </w:tblPrEx>
        <w:trPr>
          <w:trHeight w:val="300"/>
        </w:trPr>
        <w:tc>
          <w:tcPr>
            <w:tcW w:w="1985" w:type="dxa"/>
            <w:vMerge/>
          </w:tcPr>
          <w:p w:rsidR="00765C95" w:rsidRPr="002E2577" w:rsidP="005E7CD3">
            <w:pPr>
              <w:rPr>
                <w:b/>
                <w:sz w:val="20"/>
                <w:szCs w:val="20"/>
              </w:rPr>
            </w:pPr>
          </w:p>
        </w:tc>
        <w:tc>
          <w:tcPr>
            <w:tcW w:w="8505" w:type="dxa"/>
          </w:tcPr>
          <w:p w:rsidR="00765C95" w:rsidRPr="0068728A" w:rsidP="005E7CD3">
            <w:pPr>
              <w:rPr>
                <w:sz w:val="22"/>
                <w:szCs w:val="22"/>
              </w:rPr>
            </w:pPr>
            <w:r>
              <w:rPr>
                <w:sz w:val="22"/>
                <w:szCs w:val="22"/>
              </w:rPr>
              <w:t>We have no information</w:t>
            </w:r>
          </w:p>
        </w:tc>
      </w:tr>
      <w:tr w:rsidTr="0089718B">
        <w:tblPrEx>
          <w:tblW w:w="10490" w:type="dxa"/>
          <w:tblInd w:w="-714" w:type="dxa"/>
          <w:tblLook w:val="04A0"/>
        </w:tblPrEx>
        <w:trPr>
          <w:trHeight w:val="300"/>
        </w:trPr>
        <w:tc>
          <w:tcPr>
            <w:tcW w:w="1985" w:type="dxa"/>
            <w:vMerge w:val="restart"/>
          </w:tcPr>
          <w:p w:rsidR="00765C95" w:rsidRPr="002E2577" w:rsidP="005E7CD3">
            <w:pPr>
              <w:rPr>
                <w:b/>
                <w:sz w:val="20"/>
                <w:szCs w:val="20"/>
              </w:rPr>
            </w:pPr>
            <w:r w:rsidRPr="002E2577">
              <w:rPr>
                <w:b/>
                <w:sz w:val="20"/>
                <w:szCs w:val="20"/>
              </w:rPr>
              <w:t>Equality and diversity</w:t>
            </w:r>
          </w:p>
        </w:tc>
        <w:tc>
          <w:tcPr>
            <w:tcW w:w="8505" w:type="dxa"/>
          </w:tcPr>
          <w:p w:rsidR="00765C95" w:rsidRPr="0068728A" w:rsidP="005E7CD3">
            <w:pPr>
              <w:rPr>
                <w:sz w:val="22"/>
                <w:szCs w:val="22"/>
              </w:rPr>
            </w:pPr>
            <w:r>
              <w:rPr>
                <w:rFonts w:eastAsiaTheme="minorEastAsia"/>
                <w:sz w:val="22"/>
                <w:szCs w:val="22"/>
              </w:rPr>
              <w:t xml:space="preserve">1. </w:t>
            </w:r>
            <w:r w:rsidRPr="78689D4A">
              <w:rPr>
                <w:rFonts w:eastAsiaTheme="minorEastAsia"/>
                <w:sz w:val="22"/>
                <w:szCs w:val="22"/>
              </w:rPr>
              <w:t xml:space="preserve">How </w:t>
            </w:r>
            <w:r>
              <w:rPr>
                <w:rFonts w:eastAsiaTheme="minorEastAsia"/>
                <w:sz w:val="22"/>
                <w:szCs w:val="22"/>
              </w:rPr>
              <w:t>is the progress of</w:t>
            </w:r>
            <w:r w:rsidRPr="78689D4A">
              <w:rPr>
                <w:rFonts w:eastAsiaTheme="minorEastAsia"/>
                <w:sz w:val="22"/>
                <w:szCs w:val="22"/>
              </w:rPr>
              <w:t xml:space="preserve"> underserved or vulnerable </w:t>
            </w:r>
            <w:r w:rsidRPr="0C4FA41C">
              <w:rPr>
                <w:rFonts w:eastAsiaTheme="minorEastAsia"/>
                <w:sz w:val="22"/>
                <w:szCs w:val="22"/>
              </w:rPr>
              <w:t>service-user</w:t>
            </w:r>
            <w:r w:rsidRPr="78689D4A">
              <w:rPr>
                <w:rFonts w:eastAsiaTheme="minorEastAsia"/>
                <w:sz w:val="22"/>
                <w:szCs w:val="22"/>
              </w:rPr>
              <w:t xml:space="preserve"> groups</w:t>
            </w:r>
            <w:r>
              <w:rPr>
                <w:rFonts w:eastAsiaTheme="minorEastAsia"/>
                <w:sz w:val="22"/>
                <w:szCs w:val="22"/>
              </w:rPr>
              <w:t>, including those with protected characteristics,</w:t>
            </w:r>
            <w:r w:rsidRPr="78689D4A">
              <w:rPr>
                <w:rFonts w:eastAsiaTheme="minorEastAsia"/>
                <w:sz w:val="22"/>
                <w:szCs w:val="22"/>
              </w:rPr>
              <w:t xml:space="preserve"> </w:t>
            </w:r>
            <w:r>
              <w:rPr>
                <w:rFonts w:eastAsiaTheme="minorEastAsia"/>
                <w:sz w:val="22"/>
                <w:szCs w:val="22"/>
              </w:rPr>
              <w:t>monitored</w:t>
            </w:r>
            <w:r w:rsidRPr="78689D4A">
              <w:rPr>
                <w:rFonts w:eastAsiaTheme="minorEastAsia"/>
                <w:sz w:val="22"/>
                <w:szCs w:val="22"/>
              </w:rPr>
              <w:t xml:space="preserve"> in the delivery of services under this guidance?</w:t>
            </w:r>
          </w:p>
        </w:tc>
      </w:tr>
      <w:tr w:rsidTr="0089718B">
        <w:tblPrEx>
          <w:tblW w:w="10490" w:type="dxa"/>
          <w:tblInd w:w="-714" w:type="dxa"/>
          <w:tblLook w:val="04A0"/>
        </w:tblPrEx>
        <w:trPr>
          <w:trHeight w:val="300"/>
        </w:trPr>
        <w:tc>
          <w:tcPr>
            <w:tcW w:w="1985" w:type="dxa"/>
            <w:vMerge/>
          </w:tcPr>
          <w:p w:rsidR="00765C95" w:rsidRPr="0068728A" w:rsidP="005E7CD3">
            <w:pPr>
              <w:rPr>
                <w:sz w:val="22"/>
                <w:szCs w:val="22"/>
              </w:rPr>
            </w:pPr>
          </w:p>
        </w:tc>
        <w:tc>
          <w:tcPr>
            <w:tcW w:w="8505" w:type="dxa"/>
          </w:tcPr>
          <w:p w:rsidR="00765C95" w:rsidRPr="0068728A" w:rsidP="005E7CD3">
            <w:pPr>
              <w:rPr>
                <w:sz w:val="22"/>
                <w:szCs w:val="22"/>
              </w:rPr>
            </w:pPr>
            <w:r>
              <w:rPr>
                <w:sz w:val="22"/>
                <w:szCs w:val="22"/>
              </w:rPr>
              <w:t>We have no information</w:t>
            </w:r>
          </w:p>
        </w:tc>
      </w:tr>
    </w:tbl>
    <w:p w:rsidR="00765C95"/>
    <w:p w:rsidR="00765C95"/>
    <w:tbl>
      <w:tblPr>
        <w:tblStyle w:val="TableGrid"/>
        <w:tblW w:w="10490" w:type="dxa"/>
        <w:tblInd w:w="-714" w:type="dxa"/>
        <w:tblLook w:val="04A0"/>
      </w:tblPr>
      <w:tblGrid>
        <w:gridCol w:w="1985"/>
        <w:gridCol w:w="8505"/>
      </w:tblGrid>
      <w:tr w:rsidTr="6DBA89E6">
        <w:tblPrEx>
          <w:tblW w:w="10490" w:type="dxa"/>
          <w:tblInd w:w="-714" w:type="dxa"/>
          <w:tblLook w:val="04A0"/>
        </w:tblPrEx>
        <w:tc>
          <w:tcPr>
            <w:tcW w:w="10490" w:type="dxa"/>
            <w:gridSpan w:val="2"/>
          </w:tcPr>
          <w:p w:rsidR="00765C95" w:rsidP="0012331A">
            <w:pPr>
              <w:rPr>
                <w:b/>
                <w:bCs/>
              </w:rPr>
            </w:pPr>
            <w:r>
              <w:rPr>
                <w:b/>
                <w:bCs/>
              </w:rPr>
              <w:t xml:space="preserve">FOCUS AREA 2 </w:t>
            </w:r>
          </w:p>
          <w:p w:rsidR="00765C95" w:rsidRPr="0012331A" w:rsidP="0012331A">
            <w:pPr>
              <w:rPr>
                <w:b/>
                <w:bCs/>
              </w:rPr>
            </w:pPr>
            <w:r w:rsidRPr="2099D9A2">
              <w:rPr>
                <w:b/>
                <w:bCs/>
              </w:rPr>
              <w:t>EFFECTIVENESS OF THE TRANSITION PROCESS AND CROSS-SERVICE COORDINATION</w:t>
            </w:r>
          </w:p>
        </w:tc>
      </w:tr>
      <w:tr w:rsidTr="6DBA89E6">
        <w:tblPrEx>
          <w:tblW w:w="10490" w:type="dxa"/>
          <w:tblInd w:w="-714" w:type="dxa"/>
          <w:tblLook w:val="04A0"/>
        </w:tblPrEx>
        <w:tc>
          <w:tcPr>
            <w:tcW w:w="10490" w:type="dxa"/>
            <w:gridSpan w:val="2"/>
          </w:tcPr>
          <w:p w:rsidR="00765C95" w:rsidRPr="00880424" w:rsidP="00F42754">
            <w:pPr>
              <w:spacing w:after="120" w:line="259" w:lineRule="auto"/>
              <w:rPr>
                <w:sz w:val="22"/>
                <w:szCs w:val="22"/>
              </w:rPr>
            </w:pPr>
            <w:r w:rsidRPr="00EE21A7">
              <w:rPr>
                <w:b/>
                <w:bCs/>
                <w:sz w:val="22"/>
                <w:szCs w:val="22"/>
              </w:rPr>
              <w:t xml:space="preserve">Statement of </w:t>
            </w:r>
            <w:r w:rsidRPr="12032C4C">
              <w:rPr>
                <w:b/>
                <w:bCs/>
                <w:sz w:val="22"/>
                <w:szCs w:val="22"/>
              </w:rPr>
              <w:t>intent</w:t>
            </w:r>
            <w:r w:rsidRPr="00EE21A7">
              <w:rPr>
                <w:b/>
                <w:bCs/>
                <w:sz w:val="22"/>
                <w:szCs w:val="22"/>
              </w:rPr>
              <w:t xml:space="preserve"> 1</w:t>
            </w:r>
            <w:r>
              <w:rPr>
                <w:sz w:val="22"/>
                <w:szCs w:val="22"/>
              </w:rPr>
              <w:t xml:space="preserve">: </w:t>
            </w:r>
            <w:r w:rsidRPr="00880424">
              <w:rPr>
                <w:sz w:val="22"/>
                <w:szCs w:val="22"/>
              </w:rPr>
              <w:t>Jointly plan services for all young people making a transition from children's to adults' services. For young people with education, health and care plans, local authorities and health commissioners must jointly commission services, as per the </w:t>
            </w:r>
            <w:r>
              <w:fldChar w:fldCharType="begin"/>
            </w:r>
            <w:r>
              <w:instrText xml:space="preserve"> HYPERLINK "http://www.legislation.gov.uk/ukpga/2014/6/contents/enacted" </w:instrText>
            </w:r>
            <w:r>
              <w:fldChar w:fldCharType="separate"/>
            </w:r>
            <w:r w:rsidRPr="00880424">
              <w:rPr>
                <w:rStyle w:val="Hyperlink"/>
                <w:sz w:val="22"/>
                <w:szCs w:val="22"/>
              </w:rPr>
              <w:t>Children and Families Act 2014</w:t>
            </w:r>
            <w:r>
              <w:fldChar w:fldCharType="end"/>
            </w:r>
            <w:r w:rsidRPr="00880424">
              <w:rPr>
                <w:sz w:val="22"/>
                <w:szCs w:val="22"/>
              </w:rPr>
              <w:t>.</w:t>
            </w:r>
            <w:r w:rsidRPr="00880424">
              <w:rPr>
                <w:b/>
                <w:bCs/>
                <w:sz w:val="22"/>
                <w:szCs w:val="22"/>
              </w:rPr>
              <w:t xml:space="preserve"> </w:t>
            </w:r>
            <w:r>
              <w:fldChar w:fldCharType="begin"/>
            </w:r>
            <w:r>
              <w:instrText xml:space="preserve"> HYPERLINK "https://www.nice.org.uk/guidance/ng43/chapter/Recommendations" \l "supporting-infrastructure" </w:instrText>
            </w:r>
            <w:r>
              <w:fldChar w:fldCharType="separate"/>
            </w:r>
            <w:r w:rsidRPr="00880424">
              <w:rPr>
                <w:rStyle w:val="Hyperlink"/>
                <w:sz w:val="22"/>
                <w:szCs w:val="22"/>
              </w:rPr>
              <w:t>NICE NG43 (1.5.9, 2016)</w:t>
            </w:r>
            <w:r>
              <w:fldChar w:fldCharType="end"/>
            </w:r>
          </w:p>
          <w:p w:rsidR="00765C95" w:rsidRPr="009B6FEC" w:rsidP="00F42754">
            <w:pPr>
              <w:spacing w:line="259" w:lineRule="auto"/>
              <w:rPr>
                <w:b/>
                <w:color w:val="467886"/>
                <w:sz w:val="22"/>
                <w:szCs w:val="22"/>
                <w:u w:val="single"/>
              </w:rPr>
            </w:pPr>
            <w:r w:rsidRPr="00EE21A7">
              <w:rPr>
                <w:b/>
                <w:bCs/>
                <w:sz w:val="22"/>
                <w:szCs w:val="22"/>
              </w:rPr>
              <w:t xml:space="preserve">Statement of </w:t>
            </w:r>
            <w:r w:rsidRPr="12032C4C">
              <w:rPr>
                <w:b/>
                <w:bCs/>
                <w:sz w:val="22"/>
                <w:szCs w:val="22"/>
              </w:rPr>
              <w:t>intent</w:t>
            </w:r>
            <w:r w:rsidRPr="00EE21A7">
              <w:rPr>
                <w:b/>
                <w:bCs/>
                <w:sz w:val="22"/>
                <w:szCs w:val="22"/>
              </w:rPr>
              <w:t xml:space="preserve"> 2:</w:t>
            </w:r>
            <w:r>
              <w:rPr>
                <w:sz w:val="22"/>
                <w:szCs w:val="22"/>
              </w:rPr>
              <w:t xml:space="preserve"> </w:t>
            </w:r>
            <w:r w:rsidRPr="00EE21A7">
              <w:rPr>
                <w:sz w:val="22"/>
                <w:szCs w:val="22"/>
              </w:rPr>
              <w:t>Carry out a gap analysis to identify and respond to the needs of young people who have been receiving support from children's services, including child and adolescent mental health services, but who are not able to get support from adult services. The gap analysis should inform local planning and commissioning of services. When carrying out the gap analysis: take into account resources already available in primary care practices; include young people who don't meet eligibility criteria for support</w:t>
            </w:r>
            <w:r w:rsidRPr="00EE21A7">
              <w:rPr>
                <w:sz w:val="22"/>
                <w:szCs w:val="22"/>
              </w:rPr>
              <w:t xml:space="preserve"> from adults' services and those for whom services are not available for another reason; pay particular attention to young people: with neurodevelopmental disorders, with cerebral palsy, with challenging behaviour, or who are being supported with palliative care. </w:t>
            </w:r>
            <w:r>
              <w:fldChar w:fldCharType="begin"/>
            </w:r>
            <w:r>
              <w:instrText xml:space="preserve"> HYPERLINK "https://www.nice.org.uk/guidance/ng43/chapter/Recommendations" \l "supporting-infrastructure" </w:instrText>
            </w:r>
            <w:r>
              <w:fldChar w:fldCharType="separate"/>
            </w:r>
            <w:r w:rsidRPr="00EE21A7">
              <w:rPr>
                <w:rStyle w:val="Hyperlink"/>
                <w:sz w:val="22"/>
                <w:szCs w:val="22"/>
              </w:rPr>
              <w:t>NICE NG43 (1.5.7-8, 2016)</w:t>
            </w:r>
            <w:r>
              <w:fldChar w:fldCharType="end"/>
            </w:r>
          </w:p>
        </w:tc>
      </w:tr>
      <w:tr w:rsidTr="6DBA89E6">
        <w:tblPrEx>
          <w:tblW w:w="10490" w:type="dxa"/>
          <w:tblInd w:w="-714" w:type="dxa"/>
          <w:tblLook w:val="04A0"/>
        </w:tblPrEx>
        <w:tc>
          <w:tcPr>
            <w:tcW w:w="1985" w:type="dxa"/>
            <w:vMerge w:val="restart"/>
          </w:tcPr>
          <w:p w:rsidR="00765C95" w:rsidRPr="002E2577" w:rsidP="0012331A">
            <w:pPr>
              <w:rPr>
                <w:b/>
                <w:sz w:val="20"/>
                <w:szCs w:val="20"/>
              </w:rPr>
            </w:pPr>
            <w:r w:rsidRPr="002E2577">
              <w:rPr>
                <w:b/>
                <w:sz w:val="20"/>
                <w:szCs w:val="20"/>
              </w:rPr>
              <w:t>Resourcing</w:t>
            </w:r>
          </w:p>
        </w:tc>
        <w:tc>
          <w:tcPr>
            <w:tcW w:w="8505" w:type="dxa"/>
          </w:tcPr>
          <w:p w:rsidR="00765C95" w:rsidRPr="002277C5" w:rsidP="0012331A">
            <w:pPr>
              <w:rPr>
                <w:sz w:val="22"/>
                <w:szCs w:val="22"/>
              </w:rPr>
            </w:pPr>
            <w:r>
              <w:rPr>
                <w:sz w:val="22"/>
                <w:szCs w:val="22"/>
              </w:rPr>
              <w:t>1. What resourcing is needed for</w:t>
            </w:r>
            <w:r w:rsidRPr="002277C5">
              <w:rPr>
                <w:sz w:val="22"/>
                <w:szCs w:val="22"/>
              </w:rPr>
              <w:t xml:space="preserve"> health and social care services to </w:t>
            </w:r>
            <w:r>
              <w:rPr>
                <w:sz w:val="22"/>
                <w:szCs w:val="22"/>
              </w:rPr>
              <w:t xml:space="preserve">effectively </w:t>
            </w:r>
            <w:r w:rsidRPr="002277C5">
              <w:rPr>
                <w:sz w:val="22"/>
                <w:szCs w:val="22"/>
              </w:rPr>
              <w:t>enable joint working and commissioning?</w:t>
            </w:r>
            <w:r>
              <w:rPr>
                <w:sz w:val="22"/>
                <w:szCs w:val="22"/>
              </w:rPr>
              <w:t xml:space="preserve"> </w:t>
            </w:r>
          </w:p>
        </w:tc>
      </w:tr>
      <w:tr w:rsidTr="6DBA89E6">
        <w:tblPrEx>
          <w:tblW w:w="10490" w:type="dxa"/>
          <w:tblInd w:w="-714" w:type="dxa"/>
          <w:tblLook w:val="04A0"/>
        </w:tblPrEx>
        <w:tc>
          <w:tcPr>
            <w:tcW w:w="1985" w:type="dxa"/>
            <w:vMerge/>
          </w:tcPr>
          <w:p w:rsidR="00765C95" w:rsidRPr="002E2577" w:rsidP="0012331A">
            <w:pPr>
              <w:rPr>
                <w:b/>
                <w:sz w:val="20"/>
                <w:szCs w:val="20"/>
              </w:rPr>
            </w:pPr>
          </w:p>
        </w:tc>
        <w:tc>
          <w:tcPr>
            <w:tcW w:w="8505" w:type="dxa"/>
          </w:tcPr>
          <w:p w:rsidR="00765C95" w:rsidRPr="002277C5" w:rsidP="0012331A">
            <w:pPr>
              <w:rPr>
                <w:sz w:val="22"/>
                <w:szCs w:val="22"/>
              </w:rPr>
            </w:pPr>
            <w:r>
              <w:rPr>
                <w:sz w:val="22"/>
                <w:szCs w:val="22"/>
              </w:rPr>
              <w:t>We have no information</w:t>
            </w:r>
          </w:p>
        </w:tc>
      </w:tr>
      <w:tr w:rsidTr="6DBA89E6">
        <w:tblPrEx>
          <w:tblW w:w="10490" w:type="dxa"/>
          <w:tblInd w:w="-714" w:type="dxa"/>
          <w:tblLook w:val="04A0"/>
        </w:tblPrEx>
        <w:tc>
          <w:tcPr>
            <w:tcW w:w="1985" w:type="dxa"/>
            <w:vMerge/>
          </w:tcPr>
          <w:p w:rsidR="00765C95" w:rsidRPr="002E2577" w:rsidP="0012331A">
            <w:pPr>
              <w:rPr>
                <w:b/>
                <w:sz w:val="20"/>
                <w:szCs w:val="20"/>
              </w:rPr>
            </w:pPr>
          </w:p>
        </w:tc>
        <w:tc>
          <w:tcPr>
            <w:tcW w:w="8505" w:type="dxa"/>
          </w:tcPr>
          <w:p w:rsidR="00765C95" w:rsidRPr="002277C5" w:rsidP="0012331A">
            <w:pPr>
              <w:rPr>
                <w:sz w:val="22"/>
                <w:szCs w:val="22"/>
              </w:rPr>
            </w:pPr>
            <w:r>
              <w:rPr>
                <w:sz w:val="22"/>
                <w:szCs w:val="22"/>
              </w:rPr>
              <w:t>2. Are gap analyses taking place across services, when do these take place</w:t>
            </w:r>
            <w:r w:rsidRPr="3A824DE4">
              <w:rPr>
                <w:sz w:val="22"/>
                <w:szCs w:val="22"/>
              </w:rPr>
              <w:t>,</w:t>
            </w:r>
            <w:r>
              <w:rPr>
                <w:sz w:val="22"/>
                <w:szCs w:val="22"/>
              </w:rPr>
              <w:t xml:space="preserve"> how are they acted on and how is this monitored?</w:t>
            </w:r>
          </w:p>
        </w:tc>
      </w:tr>
      <w:tr w:rsidTr="6DBA89E6">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pPr>
              <w:rPr>
                <w:sz w:val="22"/>
                <w:szCs w:val="22"/>
              </w:rPr>
            </w:pPr>
            <w:r>
              <w:rPr>
                <w:sz w:val="22"/>
                <w:szCs w:val="22"/>
              </w:rPr>
              <w:t>We have no information</w:t>
            </w:r>
          </w:p>
        </w:tc>
      </w:tr>
      <w:tr w:rsidTr="6DBA89E6">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Effectiveness and implementation</w:t>
            </w:r>
          </w:p>
        </w:tc>
        <w:tc>
          <w:tcPr>
            <w:tcW w:w="8505" w:type="dxa"/>
          </w:tcPr>
          <w:p w:rsidR="00765C95" w:rsidP="005E7CD3">
            <w:r>
              <w:rPr>
                <w:sz w:val="22"/>
                <w:szCs w:val="22"/>
              </w:rPr>
              <w:t xml:space="preserve">1. </w:t>
            </w:r>
            <w:r w:rsidRPr="006B1268">
              <w:rPr>
                <w:sz w:val="22"/>
                <w:szCs w:val="22"/>
              </w:rPr>
              <w:t>How effective is joint commissioning</w:t>
            </w:r>
            <w:r w:rsidRPr="000DFBDF">
              <w:rPr>
                <w:sz w:val="22"/>
                <w:szCs w:val="22"/>
              </w:rPr>
              <w:t xml:space="preserve"> and </w:t>
            </w:r>
            <w:r w:rsidRPr="0ED3E9D8">
              <w:rPr>
                <w:sz w:val="22"/>
                <w:szCs w:val="22"/>
              </w:rPr>
              <w:t xml:space="preserve">coordinated delivery </w:t>
            </w:r>
            <w:r w:rsidRPr="2C4F8893">
              <w:rPr>
                <w:sz w:val="22"/>
                <w:szCs w:val="22"/>
              </w:rPr>
              <w:t>of</w:t>
            </w:r>
            <w:r w:rsidRPr="006B1268">
              <w:rPr>
                <w:sz w:val="22"/>
                <w:szCs w:val="22"/>
              </w:rPr>
              <w:t xml:space="preserve"> the care received by </w:t>
            </w:r>
            <w:r>
              <w:rPr>
                <w:sz w:val="22"/>
                <w:szCs w:val="22"/>
              </w:rPr>
              <w:t>children and young people</w:t>
            </w:r>
            <w:r w:rsidRPr="006B1268">
              <w:rPr>
                <w:sz w:val="22"/>
                <w:szCs w:val="22"/>
              </w:rPr>
              <w:t xml:space="preserve"> at the point of transition?</w:t>
            </w:r>
          </w:p>
        </w:tc>
      </w:tr>
      <w:tr w:rsidTr="6DBA89E6">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t>Whilst not reproducing our evidence here (it is in our report and</w:t>
            </w:r>
            <w:r>
              <w:t xml:space="preserve"> </w:t>
            </w:r>
            <w:r>
              <w:t xml:space="preserve">in published papers), the implications for commissioners that our study set out </w:t>
            </w:r>
            <w:r>
              <w:t>were:</w:t>
            </w:r>
          </w:p>
          <w:p w:rsidR="00765C95" w:rsidRPr="00E366B9" w:rsidP="005E7CD3">
            <w:pPr>
              <w:rPr>
                <w:b/>
                <w:bCs/>
                <w:sz w:val="32"/>
                <w:szCs w:val="32"/>
              </w:rPr>
            </w:pPr>
            <w:r w:rsidRPr="00E366B9">
              <w:rPr>
                <w:b/>
                <w:bCs/>
                <w:sz w:val="32"/>
                <w:szCs w:val="32"/>
              </w:rPr>
              <w:t>Implications for Commissioners</w:t>
            </w:r>
          </w:p>
          <w:p w:rsidR="00765C95" w:rsidP="002D141E">
            <w:pPr>
              <w:pStyle w:val="ListParagraph"/>
              <w:numPr>
                <w:ilvl w:val="0"/>
                <w:numId w:val="21"/>
              </w:numPr>
              <w:spacing w:line="256" w:lineRule="auto"/>
              <w:ind w:left="284" w:hanging="284"/>
              <w:jc w:val="both"/>
              <w:rPr>
                <w:b/>
              </w:rPr>
            </w:pPr>
            <w:r>
              <w:rPr>
                <w:b/>
              </w:rPr>
              <w:t>Ensure that transition is commissioned for adults’ services as well as children’s.</w:t>
            </w:r>
          </w:p>
          <w:p w:rsidR="00765C95" w:rsidP="002D141E">
            <w:pPr>
              <w:ind w:left="284"/>
              <w:jc w:val="both"/>
            </w:pPr>
            <w:r>
              <w:t>Currently transition is regarded as the responsibility of child commissioners to commission and of paediatric services to provide – this is not appropriate as Transition continues to approximately age 24.</w:t>
            </w:r>
          </w:p>
          <w:p w:rsidR="00765C95" w:rsidP="002D141E">
            <w:pPr>
              <w:pStyle w:val="ListParagraph"/>
              <w:numPr>
                <w:ilvl w:val="0"/>
                <w:numId w:val="21"/>
              </w:numPr>
              <w:spacing w:line="256" w:lineRule="auto"/>
              <w:ind w:left="284" w:hanging="284"/>
              <w:jc w:val="both"/>
              <w:rPr>
                <w:b/>
              </w:rPr>
            </w:pPr>
            <w:r>
              <w:rPr>
                <w:b/>
              </w:rPr>
              <w:t>Where an adult service to which to transfer young people with a specific long term condition is not commissioned, commissioners should state explicitly the transfer arrangements (usually to primary care), and require appropriate documentation and assistance to the young person to make their first appointment.</w:t>
            </w:r>
          </w:p>
          <w:p w:rsidR="00765C95" w:rsidP="002D141E">
            <w:pPr>
              <w:pStyle w:val="ListParagraph"/>
              <w:jc w:val="both"/>
              <w:rPr>
                <w:b/>
              </w:rPr>
            </w:pPr>
          </w:p>
          <w:p w:rsidR="00765C95" w:rsidP="002D141E">
            <w:pPr>
              <w:pStyle w:val="ListParagraph"/>
              <w:numPr>
                <w:ilvl w:val="0"/>
                <w:numId w:val="21"/>
              </w:numPr>
              <w:spacing w:line="256" w:lineRule="auto"/>
              <w:ind w:left="284" w:hanging="284"/>
              <w:jc w:val="both"/>
              <w:rPr>
                <w:b/>
              </w:rPr>
            </w:pPr>
            <w:r>
              <w:rPr>
                <w:b/>
              </w:rPr>
              <w:t>Commission for a framework to provide ‘Developmentally Appropriate Healthcare’ across all Trust services (hospital and community) and stipulate that this is owned at Chief Executive/Board level.</w:t>
            </w:r>
          </w:p>
          <w:p w:rsidR="00765C95" w:rsidRPr="00A7076E" w:rsidP="002D141E">
            <w:pPr>
              <w:ind w:left="284"/>
              <w:jc w:val="both"/>
              <w:rPr>
                <w:color w:val="4C94D8" w:themeColor="text2" w:themeTint="80"/>
              </w:rPr>
            </w:pPr>
            <w:r>
              <w:t>Developmentally Appropriate Healthcare (DAH) is the subject of a toolkit we have developed in which DAH is defined and which is a resource for education and training.</w:t>
            </w:r>
            <w:r>
              <w:t xml:space="preserve"> </w:t>
            </w:r>
            <w:r w:rsidRPr="00A7076E">
              <w:rPr>
                <w:color w:val="4C94D8" w:themeColor="text2" w:themeTint="80"/>
              </w:rPr>
              <w:t>https://www.northumbria.nhs.uk/about-us/quality-and-</w:t>
            </w:r>
            <w:r w:rsidRPr="00A7076E">
              <w:rPr>
                <w:color w:val="4C94D8" w:themeColor="text2" w:themeTint="80"/>
              </w:rPr>
              <w:t>safety/research-and-clinical-trials/developmentally-appropriate-healthcare-toolkit</w:t>
            </w:r>
          </w:p>
          <w:p w:rsidR="00765C95" w:rsidP="002D141E">
            <w:pPr>
              <w:ind w:left="284"/>
              <w:jc w:val="both"/>
            </w:pPr>
            <w:r>
              <w:t>An important element of DAH is that young people, in both child and adult services, should be seen by themselves for at least some of the consultation. However, our research shows that involvement of parents in a manner which suits both parties (and this will vary between different young person/parent dyads) leads to better outcomes – in terms of satisfaction with services, disease control, continuity of healthcare and maturation to adult roles. This applies in adults’ services, not just children’s services</w:t>
            </w:r>
            <w:r>
              <w:t>. Provided a young person gives permission for a parent to be present for some of the consultation, there are no confidentiality issues.</w:t>
            </w:r>
          </w:p>
          <w:p w:rsidR="00765C95" w:rsidP="002D141E">
            <w:pPr>
              <w:pStyle w:val="ListParagraph"/>
              <w:numPr>
                <w:ilvl w:val="0"/>
                <w:numId w:val="21"/>
              </w:numPr>
              <w:spacing w:line="256" w:lineRule="auto"/>
              <w:ind w:left="284" w:hanging="284"/>
              <w:jc w:val="both"/>
              <w:rPr>
                <w:b/>
              </w:rPr>
            </w:pPr>
            <w:r>
              <w:rPr>
                <w:b/>
              </w:rPr>
              <w:t>Commission for NHS organisations to adopt a Trustwide approach to implementation of better transitional care.</w:t>
            </w:r>
          </w:p>
          <w:p w:rsidR="00765C95" w:rsidRPr="00A7076E" w:rsidP="00A7076E">
            <w:pPr>
              <w:ind w:left="284"/>
              <w:jc w:val="both"/>
            </w:pPr>
            <w:r>
              <w:t>A Transition Steering Committee, with a Trustwide Transition Coordinator, can facilitate this.</w:t>
            </w:r>
          </w:p>
        </w:tc>
      </w:tr>
      <w:tr w:rsidTr="6DBA89E6">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rPr>
                <w:sz w:val="22"/>
                <w:szCs w:val="22"/>
              </w:rPr>
              <w:t xml:space="preserve">2. </w:t>
            </w:r>
            <w:r w:rsidRPr="00CE0263">
              <w:rPr>
                <w:sz w:val="22"/>
                <w:szCs w:val="22"/>
              </w:rPr>
              <w:t xml:space="preserve">Are there ways in which better and more effective joint working could improve </w:t>
            </w:r>
            <w:r>
              <w:rPr>
                <w:sz w:val="22"/>
                <w:szCs w:val="22"/>
              </w:rPr>
              <w:t xml:space="preserve">the provision and quality of </w:t>
            </w:r>
            <w:r w:rsidRPr="00CE0263">
              <w:rPr>
                <w:sz w:val="22"/>
                <w:szCs w:val="22"/>
              </w:rPr>
              <w:t>services?</w:t>
            </w:r>
            <w:r>
              <w:rPr>
                <w:sz w:val="22"/>
                <w:szCs w:val="22"/>
              </w:rPr>
              <w:t xml:space="preserve"> What does good practice look like in cross-service commissioning</w:t>
            </w:r>
            <w:r w:rsidRPr="12C54C3E">
              <w:rPr>
                <w:sz w:val="22"/>
                <w:szCs w:val="22"/>
              </w:rPr>
              <w:t xml:space="preserve"> and delivery?</w:t>
            </w:r>
          </w:p>
        </w:tc>
      </w:tr>
      <w:tr w:rsidTr="6DBA89E6">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CE0263" w:rsidP="002D141E">
            <w:pPr>
              <w:rPr>
                <w:sz w:val="22"/>
                <w:szCs w:val="22"/>
              </w:rPr>
            </w:pPr>
            <w:r>
              <w:rPr>
                <w:sz w:val="22"/>
                <w:szCs w:val="22"/>
              </w:rPr>
              <w:t>As our statement in the previous paragraph indicated, we found that adult commissioners rarely commissioned for transition, regarding it as the responsibility of children’s commissioners to organise and fund it.</w:t>
            </w:r>
          </w:p>
        </w:tc>
      </w:tr>
      <w:tr w:rsidTr="6DBA89E6">
        <w:tblPrEx>
          <w:tblW w:w="10490" w:type="dxa"/>
          <w:tblInd w:w="-714" w:type="dxa"/>
          <w:tblLook w:val="04A0"/>
        </w:tblPrEx>
        <w:trPr>
          <w:trHeight w:val="585"/>
        </w:trPr>
        <w:tc>
          <w:tcPr>
            <w:tcW w:w="1985" w:type="dxa"/>
            <w:vMerge w:val="restart"/>
          </w:tcPr>
          <w:p w:rsidR="00765C95" w:rsidRPr="002E2577" w:rsidP="005E7CD3">
            <w:pPr>
              <w:rPr>
                <w:b/>
                <w:sz w:val="20"/>
                <w:szCs w:val="20"/>
              </w:rPr>
            </w:pPr>
            <w:r w:rsidRPr="002E2577">
              <w:rPr>
                <w:b/>
                <w:sz w:val="20"/>
                <w:szCs w:val="20"/>
              </w:rPr>
              <w:t>Impact and outcomes</w:t>
            </w:r>
          </w:p>
        </w:tc>
        <w:tc>
          <w:tcPr>
            <w:tcW w:w="8505" w:type="dxa"/>
          </w:tcPr>
          <w:p w:rsidR="00765C95" w:rsidRPr="00216E08" w:rsidP="005E7CD3">
            <w:pPr>
              <w:rPr>
                <w:sz w:val="22"/>
                <w:szCs w:val="22"/>
              </w:rPr>
            </w:pPr>
            <w:r>
              <w:rPr>
                <w:sz w:val="22"/>
                <w:szCs w:val="22"/>
              </w:rPr>
              <w:t xml:space="preserve">1. </w:t>
            </w:r>
            <w:r w:rsidRPr="00216E08">
              <w:rPr>
                <w:sz w:val="22"/>
                <w:szCs w:val="22"/>
              </w:rPr>
              <w:t xml:space="preserve">Where health and social care organisations have not been able to fulfil these statements of </w:t>
            </w:r>
            <w:r w:rsidRPr="1A6F1BD2">
              <w:rPr>
                <w:sz w:val="22"/>
                <w:szCs w:val="22"/>
              </w:rPr>
              <w:t>intent</w:t>
            </w:r>
            <w:r w:rsidRPr="00216E08">
              <w:rPr>
                <w:sz w:val="22"/>
                <w:szCs w:val="22"/>
              </w:rPr>
              <w:t>, what has the impact been?</w:t>
            </w:r>
          </w:p>
        </w:tc>
      </w:tr>
      <w:tr w:rsidTr="6DBA89E6">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89718B">
        <w:tblPrEx>
          <w:tblW w:w="10490" w:type="dxa"/>
          <w:tblInd w:w="-714" w:type="dxa"/>
          <w:tblLook w:val="04A0"/>
        </w:tblPrEx>
        <w:trPr>
          <w:trHeight w:val="405"/>
        </w:trPr>
        <w:tc>
          <w:tcPr>
            <w:tcW w:w="1985" w:type="dxa"/>
            <w:vMerge/>
          </w:tcPr>
          <w:p w:rsidR="00765C95" w:rsidRPr="002E2577" w:rsidP="005E7CD3">
            <w:pPr>
              <w:rPr>
                <w:b/>
                <w:sz w:val="20"/>
                <w:szCs w:val="20"/>
              </w:rPr>
            </w:pPr>
          </w:p>
        </w:tc>
        <w:tc>
          <w:tcPr>
            <w:tcW w:w="8505" w:type="dxa"/>
          </w:tcPr>
          <w:p w:rsidR="00765C95" w:rsidP="005E7CD3">
            <w:r>
              <w:rPr>
                <w:sz w:val="22"/>
                <w:szCs w:val="22"/>
              </w:rPr>
              <w:t xml:space="preserve">2. </w:t>
            </w:r>
            <w:r w:rsidRPr="00151AE8">
              <w:rPr>
                <w:sz w:val="22"/>
                <w:szCs w:val="22"/>
              </w:rPr>
              <w:t>What is the impact of joint working on an individual’s experience of the transition between child and adult services?</w:t>
            </w:r>
          </w:p>
        </w:tc>
      </w:tr>
      <w:tr w:rsidTr="6DBA89E6">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6DBA89E6">
        <w:tblPrEx>
          <w:tblW w:w="10490" w:type="dxa"/>
          <w:tblInd w:w="-714" w:type="dxa"/>
          <w:tblLook w:val="04A0"/>
        </w:tblPrEx>
        <w:trPr>
          <w:trHeight w:val="300"/>
        </w:trPr>
        <w:tc>
          <w:tcPr>
            <w:tcW w:w="1985" w:type="dxa"/>
            <w:vMerge/>
          </w:tcPr>
          <w:p w:rsidR="00765C95" w:rsidRPr="002E2577" w:rsidP="005E7CD3">
            <w:pPr>
              <w:rPr>
                <w:b/>
                <w:bCs/>
                <w:sz w:val="20"/>
                <w:szCs w:val="20"/>
              </w:rPr>
            </w:pPr>
          </w:p>
        </w:tc>
        <w:tc>
          <w:tcPr>
            <w:tcW w:w="8505" w:type="dxa"/>
          </w:tcPr>
          <w:p w:rsidR="00765C95" w:rsidRPr="0086009D" w:rsidP="005E7CD3">
            <w:pPr>
              <w:rPr>
                <w:color w:val="FF0000"/>
                <w:sz w:val="22"/>
                <w:szCs w:val="22"/>
              </w:rPr>
            </w:pPr>
            <w:r w:rsidRPr="0086009D">
              <w:rPr>
                <w:sz w:val="22"/>
                <w:szCs w:val="22"/>
              </w:rPr>
              <w:t>3. Is there available data demonstrating the proportion of young people who are transitioned to primary care management, for example where there is no specific adult service, or they do not meet the requirements for adult services?</w:t>
            </w:r>
          </w:p>
        </w:tc>
      </w:tr>
      <w:tr w:rsidTr="6DBA89E6">
        <w:tblPrEx>
          <w:tblW w:w="10490" w:type="dxa"/>
          <w:tblInd w:w="-714" w:type="dxa"/>
          <w:tblLook w:val="04A0"/>
        </w:tblPrEx>
        <w:trPr>
          <w:trHeight w:val="300"/>
        </w:trPr>
        <w:tc>
          <w:tcPr>
            <w:tcW w:w="1985" w:type="dxa"/>
            <w:vMerge/>
          </w:tcPr>
          <w:p w:rsidR="00765C95" w:rsidRPr="002E2577" w:rsidP="005E7CD3">
            <w:pPr>
              <w:rPr>
                <w:b/>
                <w:bCs/>
                <w:sz w:val="20"/>
                <w:szCs w:val="20"/>
              </w:rPr>
            </w:pPr>
          </w:p>
        </w:tc>
        <w:tc>
          <w:tcPr>
            <w:tcW w:w="8505" w:type="dxa"/>
          </w:tcPr>
          <w:p w:rsidR="00765C95" w:rsidRPr="002E1607" w:rsidP="00D54DC2">
            <w:pPr>
              <w:rPr>
                <w:sz w:val="22"/>
                <w:szCs w:val="22"/>
              </w:rPr>
            </w:pPr>
            <w:r>
              <w:rPr>
                <w:sz w:val="22"/>
                <w:szCs w:val="22"/>
              </w:rPr>
              <w:t>We found that many young people with autism and mental health difficulties were not accepted by adult mental health services.</w:t>
            </w:r>
          </w:p>
        </w:tc>
      </w:tr>
      <w:tr w:rsidTr="6DBA89E6">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Appropriateness</w:t>
            </w:r>
          </w:p>
        </w:tc>
        <w:tc>
          <w:tcPr>
            <w:tcW w:w="8505" w:type="dxa"/>
          </w:tcPr>
          <w:p w:rsidR="00765C95" w:rsidRPr="00A646C6" w:rsidP="005E7CD3">
            <w:pPr>
              <w:rPr>
                <w:sz w:val="22"/>
                <w:szCs w:val="22"/>
              </w:rPr>
            </w:pPr>
            <w:r>
              <w:rPr>
                <w:sz w:val="22"/>
                <w:szCs w:val="22"/>
              </w:rPr>
              <w:t xml:space="preserve">1. </w:t>
            </w:r>
            <w:r w:rsidRPr="00A646C6">
              <w:rPr>
                <w:sz w:val="22"/>
                <w:szCs w:val="22"/>
              </w:rPr>
              <w:t xml:space="preserve">Are current guidelines and guidance in this area appropriate for </w:t>
            </w:r>
            <w:r>
              <w:rPr>
                <w:sz w:val="22"/>
                <w:szCs w:val="22"/>
              </w:rPr>
              <w:t>children and young people,</w:t>
            </w:r>
            <w:r w:rsidRPr="00A646C6">
              <w:rPr>
                <w:sz w:val="22"/>
                <w:szCs w:val="22"/>
              </w:rPr>
              <w:t xml:space="preserve"> and for the health and social care professionals involved?</w:t>
            </w:r>
          </w:p>
        </w:tc>
      </w:tr>
      <w:tr w:rsidTr="6DBA89E6">
        <w:tblPrEx>
          <w:tblW w:w="10490" w:type="dxa"/>
          <w:tblInd w:w="-714" w:type="dxa"/>
          <w:tblLook w:val="04A0"/>
        </w:tblPrEx>
        <w:tc>
          <w:tcPr>
            <w:tcW w:w="1985" w:type="dxa"/>
            <w:vMerge/>
          </w:tcPr>
          <w:p w:rsidR="00765C95" w:rsidRPr="002E2577" w:rsidP="00D54DC2">
            <w:pPr>
              <w:rPr>
                <w:b/>
                <w:sz w:val="20"/>
                <w:szCs w:val="20"/>
              </w:rPr>
            </w:pPr>
          </w:p>
        </w:tc>
        <w:tc>
          <w:tcPr>
            <w:tcW w:w="8505" w:type="dxa"/>
          </w:tcPr>
          <w:p w:rsidR="00765C95" w:rsidP="00D54DC2">
            <w:r>
              <w:rPr>
                <w:sz w:val="22"/>
                <w:szCs w:val="22"/>
              </w:rPr>
              <w:t>We have no information</w:t>
            </w:r>
          </w:p>
        </w:tc>
      </w:tr>
      <w:tr w:rsidTr="6DBA89E6">
        <w:tblPrEx>
          <w:tblW w:w="10490" w:type="dxa"/>
          <w:tblInd w:w="-714" w:type="dxa"/>
          <w:tblLook w:val="04A0"/>
        </w:tblPrEx>
        <w:tc>
          <w:tcPr>
            <w:tcW w:w="1985" w:type="dxa"/>
            <w:vMerge w:val="restart"/>
          </w:tcPr>
          <w:p w:rsidR="00765C95" w:rsidRPr="002E2577" w:rsidP="00D54DC2">
            <w:pPr>
              <w:rPr>
                <w:b/>
                <w:sz w:val="20"/>
                <w:szCs w:val="20"/>
              </w:rPr>
            </w:pPr>
            <w:r w:rsidRPr="002E2577">
              <w:rPr>
                <w:b/>
                <w:sz w:val="20"/>
                <w:szCs w:val="20"/>
              </w:rPr>
              <w:t>Equality and diversity</w:t>
            </w:r>
          </w:p>
        </w:tc>
        <w:tc>
          <w:tcPr>
            <w:tcW w:w="8505" w:type="dxa"/>
          </w:tcPr>
          <w:p w:rsidR="00765C95" w:rsidP="00D54DC2">
            <w:pPr>
              <w:rPr>
                <w:rFonts w:eastAsiaTheme="minorEastAsia"/>
                <w:sz w:val="22"/>
                <w:szCs w:val="22"/>
              </w:rPr>
            </w:pPr>
            <w:r w:rsidRPr="3D999F8C">
              <w:rPr>
                <w:rFonts w:eastAsiaTheme="minorEastAsia"/>
                <w:sz w:val="22"/>
                <w:szCs w:val="22"/>
              </w:rPr>
              <w:t xml:space="preserve">1. How are underserved or vulnerable </w:t>
            </w:r>
            <w:r w:rsidRPr="2115006F">
              <w:rPr>
                <w:rFonts w:eastAsiaTheme="minorEastAsia"/>
                <w:sz w:val="22"/>
                <w:szCs w:val="22"/>
              </w:rPr>
              <w:t>service-user</w:t>
            </w:r>
            <w:r w:rsidRPr="3D999F8C">
              <w:rPr>
                <w:rFonts w:eastAsiaTheme="minorEastAsia"/>
                <w:sz w:val="22"/>
                <w:szCs w:val="22"/>
              </w:rPr>
              <w:t xml:space="preserve"> groups, including those with additional needs, considered in the delivery of services under this guidance?</w:t>
            </w:r>
          </w:p>
        </w:tc>
      </w:tr>
      <w:tr w:rsidTr="6DBA89E6">
        <w:tblPrEx>
          <w:tblW w:w="10490" w:type="dxa"/>
          <w:tblInd w:w="-714" w:type="dxa"/>
          <w:tblLook w:val="04A0"/>
        </w:tblPrEx>
        <w:tc>
          <w:tcPr>
            <w:tcW w:w="1985" w:type="dxa"/>
            <w:vMerge/>
          </w:tcPr>
          <w:p w:rsidR="00765C95" w:rsidP="00D54DC2"/>
        </w:tc>
        <w:tc>
          <w:tcPr>
            <w:tcW w:w="8505" w:type="dxa"/>
          </w:tcPr>
          <w:p w:rsidR="00765C95" w:rsidRPr="002E1607" w:rsidP="00D54DC2">
            <w:pPr>
              <w:rPr>
                <w:sz w:val="22"/>
                <w:szCs w:val="22"/>
              </w:rPr>
            </w:pPr>
            <w:r>
              <w:rPr>
                <w:sz w:val="22"/>
                <w:szCs w:val="22"/>
              </w:rPr>
              <w:t>We have no information</w:t>
            </w:r>
          </w:p>
        </w:tc>
      </w:tr>
    </w:tbl>
    <w:p w:rsidR="00765C95"/>
    <w:p w:rsidR="00765C95"/>
    <w:tbl>
      <w:tblPr>
        <w:tblStyle w:val="TableGrid"/>
        <w:tblW w:w="10490" w:type="dxa"/>
        <w:tblInd w:w="-714" w:type="dxa"/>
        <w:tblLook w:val="04A0"/>
      </w:tblPr>
      <w:tblGrid>
        <w:gridCol w:w="1985"/>
        <w:gridCol w:w="8505"/>
      </w:tblGrid>
      <w:tr w:rsidTr="005624CB">
        <w:tblPrEx>
          <w:tblW w:w="10490" w:type="dxa"/>
          <w:tblInd w:w="-714" w:type="dxa"/>
          <w:tblLook w:val="04A0"/>
        </w:tblPrEx>
        <w:tc>
          <w:tcPr>
            <w:tcW w:w="10490" w:type="dxa"/>
            <w:gridSpan w:val="2"/>
          </w:tcPr>
          <w:p w:rsidR="00765C95">
            <w:pPr>
              <w:rPr>
                <w:b/>
                <w:bCs/>
              </w:rPr>
            </w:pPr>
            <w:r>
              <w:rPr>
                <w:b/>
                <w:bCs/>
              </w:rPr>
              <w:t>FOCUS AREA 3</w:t>
            </w:r>
          </w:p>
          <w:p w:rsidR="00765C95" w:rsidRPr="0012331A" w:rsidP="005624CB">
            <w:pPr>
              <w:rPr>
                <w:b/>
                <w:bCs/>
              </w:rPr>
            </w:pPr>
            <w:r>
              <w:rPr>
                <w:b/>
                <w:bCs/>
              </w:rPr>
              <w:t>MEANINGFUL INVOLVEMENT OF CHILDREN, YOUNG PEOPLE AND THEIR CARERS</w:t>
            </w:r>
          </w:p>
        </w:tc>
      </w:tr>
      <w:tr w:rsidTr="005624CB">
        <w:tblPrEx>
          <w:tblW w:w="10490" w:type="dxa"/>
          <w:tblInd w:w="-714" w:type="dxa"/>
          <w:tblLook w:val="04A0"/>
        </w:tblPrEx>
        <w:tc>
          <w:tcPr>
            <w:tcW w:w="10490" w:type="dxa"/>
            <w:gridSpan w:val="2"/>
          </w:tcPr>
          <w:p w:rsidR="00765C95" w:rsidRPr="00765380" w:rsidP="00A748A8">
            <w:pPr>
              <w:spacing w:after="120" w:line="259" w:lineRule="auto"/>
              <w:rPr>
                <w:sz w:val="22"/>
                <w:szCs w:val="22"/>
              </w:rPr>
            </w:pPr>
            <w:r w:rsidRPr="00EE21A7">
              <w:rPr>
                <w:b/>
                <w:bCs/>
                <w:sz w:val="22"/>
                <w:szCs w:val="22"/>
              </w:rPr>
              <w:t xml:space="preserve">Statement of </w:t>
            </w:r>
            <w:r w:rsidRPr="12032C4C">
              <w:rPr>
                <w:b/>
                <w:bCs/>
                <w:sz w:val="22"/>
                <w:szCs w:val="22"/>
              </w:rPr>
              <w:t>intent</w:t>
            </w:r>
            <w:r w:rsidRPr="00EE21A7">
              <w:rPr>
                <w:b/>
                <w:bCs/>
                <w:sz w:val="22"/>
                <w:szCs w:val="22"/>
              </w:rPr>
              <w:t xml:space="preserve"> 1</w:t>
            </w:r>
            <w:r>
              <w:rPr>
                <w:sz w:val="22"/>
                <w:szCs w:val="22"/>
              </w:rPr>
              <w:t xml:space="preserve">: </w:t>
            </w:r>
            <w:r w:rsidRPr="00765380">
              <w:rPr>
                <w:sz w:val="22"/>
                <w:szCs w:val="22"/>
                <w:lang w:val="en-US"/>
              </w:rPr>
              <w:t>Adults' services should take into account</w:t>
            </w:r>
            <w:r w:rsidRPr="00765380">
              <w:rPr>
                <w:sz w:val="22"/>
                <w:szCs w:val="22"/>
                <w:lang w:val="en-US"/>
              </w:rPr>
              <w:t xml:space="preserve"> the individual needs and wishes of the young person when involving parents or carers in assessment, planning and support. </w:t>
            </w:r>
            <w:r w:rsidRPr="12032C4C">
              <w:rPr>
                <w:sz w:val="22"/>
                <w:szCs w:val="22"/>
                <w:lang w:val="en-US"/>
              </w:rPr>
              <w:t xml:space="preserve">For young people with an education, health and care plan or a care and support </w:t>
            </w:r>
            <w:r w:rsidRPr="12032C4C">
              <w:rPr>
                <w:sz w:val="22"/>
                <w:szCs w:val="22"/>
                <w:lang w:val="en-US"/>
              </w:rPr>
              <w:t>plan this</w:t>
            </w:r>
            <w:r w:rsidRPr="12032C4C">
              <w:rPr>
                <w:rFonts w:ascii="Arial" w:hAnsi="Arial" w:cs="Arial"/>
                <w:sz w:val="22"/>
                <w:szCs w:val="22"/>
                <w:lang w:val="en-US"/>
              </w:rPr>
              <w:t> </w:t>
            </w:r>
            <w:r w:rsidRPr="12032C4C">
              <w:rPr>
                <w:sz w:val="22"/>
                <w:szCs w:val="22"/>
                <w:lang w:val="en-US"/>
              </w:rPr>
              <w:t>must</w:t>
            </w:r>
            <w:r w:rsidRPr="12032C4C">
              <w:rPr>
                <w:rFonts w:ascii="Arial" w:hAnsi="Arial" w:cs="Arial"/>
                <w:sz w:val="22"/>
                <w:szCs w:val="22"/>
                <w:lang w:val="en-US"/>
              </w:rPr>
              <w:t> </w:t>
            </w:r>
            <w:r w:rsidRPr="12032C4C">
              <w:rPr>
                <w:sz w:val="22"/>
                <w:szCs w:val="22"/>
                <w:lang w:val="en-US"/>
              </w:rPr>
              <w:t>happen, as set out in the</w:t>
            </w:r>
            <w:r w:rsidRPr="12032C4C">
              <w:rPr>
                <w:rFonts w:ascii="Arial" w:hAnsi="Arial" w:cs="Arial"/>
                <w:sz w:val="22"/>
                <w:szCs w:val="22"/>
                <w:lang w:val="en-US"/>
              </w:rPr>
              <w:t> </w:t>
            </w:r>
            <w:r>
              <w:fldChar w:fldCharType="begin"/>
            </w:r>
            <w:r>
              <w:instrText xml:space="preserve"> HYPERLINK "http://www.legislation.gov.uk/ukpga/2014/6/contents/enacted" </w:instrText>
            </w:r>
            <w:r>
              <w:fldChar w:fldCharType="separate"/>
            </w:r>
            <w:r>
              <w:rPr>
                <w:rStyle w:val="Hyperlink"/>
                <w:sz w:val="22"/>
                <w:szCs w:val="22"/>
                <w:lang w:val="en-US"/>
              </w:rPr>
              <w:t>a</w:t>
            </w:r>
            <w:r>
              <w:fldChar w:fldCharType="end"/>
            </w:r>
            <w:r w:rsidRPr="12032C4C">
              <w:rPr>
                <w:rFonts w:ascii="Arial" w:hAnsi="Arial" w:cs="Arial"/>
                <w:sz w:val="22"/>
                <w:szCs w:val="22"/>
                <w:lang w:val="en-US"/>
              </w:rPr>
              <w:t> </w:t>
            </w:r>
            <w:r w:rsidRPr="12032C4C">
              <w:rPr>
                <w:sz w:val="22"/>
                <w:szCs w:val="22"/>
                <w:lang w:val="en-US"/>
              </w:rPr>
              <w:t>and the</w:t>
            </w:r>
            <w:r w:rsidRPr="12032C4C">
              <w:rPr>
                <w:rFonts w:ascii="Arial" w:hAnsi="Arial" w:cs="Arial"/>
                <w:sz w:val="22"/>
                <w:szCs w:val="22"/>
                <w:lang w:val="en-US"/>
              </w:rPr>
              <w:t> </w:t>
            </w:r>
            <w:r>
              <w:fldChar w:fldCharType="begin"/>
            </w:r>
            <w:r>
              <w:instrText xml:space="preserve"> HYPERLINK "http://www.legislation.gov.uk/ukpga/2014/23/contents/enacted" </w:instrText>
            </w:r>
            <w:r>
              <w:fldChar w:fldCharType="separate"/>
            </w:r>
            <w:r w:rsidRPr="12032C4C">
              <w:rPr>
                <w:rStyle w:val="Hyperlink"/>
                <w:sz w:val="22"/>
                <w:szCs w:val="22"/>
                <w:lang w:val="en-US"/>
              </w:rPr>
              <w:t>Care Act</w:t>
            </w:r>
            <w:r w:rsidRPr="12032C4C">
              <w:rPr>
                <w:rStyle w:val="Hyperlink"/>
                <w:rFonts w:ascii="Arial" w:hAnsi="Arial" w:cs="Arial"/>
                <w:sz w:val="22"/>
                <w:szCs w:val="22"/>
                <w:lang w:val="en-US"/>
              </w:rPr>
              <w:t> </w:t>
            </w:r>
            <w:r w:rsidRPr="12032C4C">
              <w:rPr>
                <w:rStyle w:val="Hyperlink"/>
                <w:sz w:val="22"/>
                <w:szCs w:val="22"/>
                <w:lang w:val="en-US"/>
              </w:rPr>
              <w:t>2014</w:t>
            </w:r>
            <w:r>
              <w:fldChar w:fldCharType="end"/>
            </w:r>
            <w:r w:rsidRPr="12032C4C">
              <w:rPr>
                <w:sz w:val="22"/>
                <w:szCs w:val="22"/>
              </w:rPr>
              <w:t xml:space="preserve">. </w:t>
            </w:r>
            <w:r>
              <w:fldChar w:fldCharType="begin"/>
            </w:r>
            <w:r>
              <w:instrText xml:space="preserve"> HYPERLINK "https://www.nice.org.uk/guidance/ng43/chapter/Recommendations" \l "transition-planning" </w:instrText>
            </w:r>
            <w:r>
              <w:fldChar w:fldCharType="separate"/>
            </w:r>
            <w:r w:rsidRPr="12032C4C">
              <w:rPr>
                <w:rStyle w:val="Hyperlink"/>
                <w:sz w:val="22"/>
                <w:szCs w:val="22"/>
                <w:lang w:val="en-US"/>
              </w:rPr>
              <w:t>NICE NG43 (1.2.22, 2016)</w:t>
            </w:r>
            <w:r>
              <w:fldChar w:fldCharType="end"/>
            </w:r>
            <w:r w:rsidRPr="12032C4C">
              <w:rPr>
                <w:sz w:val="22"/>
                <w:szCs w:val="22"/>
              </w:rPr>
              <w:t> </w:t>
            </w:r>
          </w:p>
          <w:p w:rsidR="00765C95" w:rsidRPr="00765380" w:rsidP="00A748A8">
            <w:pPr>
              <w:spacing w:after="120" w:line="259" w:lineRule="auto"/>
              <w:rPr>
                <w:sz w:val="22"/>
                <w:szCs w:val="22"/>
              </w:rPr>
            </w:pPr>
            <w:r w:rsidRPr="00EE21A7">
              <w:rPr>
                <w:b/>
                <w:bCs/>
                <w:sz w:val="22"/>
                <w:szCs w:val="22"/>
              </w:rPr>
              <w:t xml:space="preserve">Statement of </w:t>
            </w:r>
            <w:r w:rsidRPr="12032C4C">
              <w:rPr>
                <w:b/>
                <w:bCs/>
                <w:sz w:val="22"/>
                <w:szCs w:val="22"/>
              </w:rPr>
              <w:t>intent</w:t>
            </w:r>
            <w:r w:rsidRPr="00EE21A7">
              <w:rPr>
                <w:b/>
                <w:bCs/>
                <w:sz w:val="22"/>
                <w:szCs w:val="22"/>
              </w:rPr>
              <w:t xml:space="preserve"> </w:t>
            </w:r>
            <w:r>
              <w:rPr>
                <w:b/>
                <w:bCs/>
                <w:sz w:val="22"/>
                <w:szCs w:val="22"/>
              </w:rPr>
              <w:t xml:space="preserve">2: </w:t>
            </w:r>
            <w:r w:rsidRPr="00765380">
              <w:rPr>
                <w:sz w:val="22"/>
                <w:szCs w:val="22"/>
                <w:lang w:val="en-US"/>
              </w:rPr>
              <w:t>Offer young people help to become involved in their transition planning. This may be through: peer support, coaching and mentoring, advocacy, the use of mobile technology. </w:t>
            </w:r>
            <w:r>
              <w:fldChar w:fldCharType="begin"/>
            </w:r>
            <w:r>
              <w:instrText xml:space="preserve"> HYPERLINK "https://www.nice.org.uk/guidance/ng43/chapter/Recommendations" \l "support-before-transfer" </w:instrText>
            </w:r>
            <w:r>
              <w:fldChar w:fldCharType="separate"/>
            </w:r>
            <w:r w:rsidRPr="12032C4C">
              <w:rPr>
                <w:rStyle w:val="Hyperlink"/>
                <w:sz w:val="22"/>
                <w:szCs w:val="22"/>
                <w:lang w:val="en-US"/>
              </w:rPr>
              <w:t>NICE NG43 (1.2.11, 2016)</w:t>
            </w:r>
            <w:r>
              <w:fldChar w:fldCharType="end"/>
            </w:r>
            <w:r w:rsidRPr="12032C4C">
              <w:rPr>
                <w:sz w:val="22"/>
                <w:szCs w:val="22"/>
              </w:rPr>
              <w:t> </w:t>
            </w:r>
          </w:p>
          <w:p w:rsidR="00765C95" w:rsidRPr="00A748A8" w:rsidP="00A748A8">
            <w:pPr>
              <w:spacing w:line="259" w:lineRule="auto"/>
              <w:rPr>
                <w:sz w:val="22"/>
                <w:szCs w:val="22"/>
              </w:rPr>
            </w:pPr>
            <w:r w:rsidRPr="00EE21A7">
              <w:rPr>
                <w:b/>
                <w:bCs/>
                <w:sz w:val="22"/>
                <w:szCs w:val="22"/>
              </w:rPr>
              <w:t xml:space="preserve">Statement of </w:t>
            </w:r>
            <w:r w:rsidRPr="1375C7AE">
              <w:rPr>
                <w:b/>
                <w:bCs/>
                <w:sz w:val="22"/>
                <w:szCs w:val="22"/>
              </w:rPr>
              <w:t>intent</w:t>
            </w:r>
            <w:r w:rsidRPr="00EE21A7">
              <w:rPr>
                <w:b/>
                <w:bCs/>
                <w:sz w:val="22"/>
                <w:szCs w:val="22"/>
              </w:rPr>
              <w:t xml:space="preserve"> </w:t>
            </w:r>
            <w:r>
              <w:rPr>
                <w:b/>
                <w:bCs/>
                <w:sz w:val="22"/>
                <w:szCs w:val="22"/>
              </w:rPr>
              <w:t xml:space="preserve">3: </w:t>
            </w:r>
            <w:r w:rsidRPr="00765380">
              <w:rPr>
                <w:sz w:val="22"/>
                <w:szCs w:val="22"/>
                <w:lang w:val="en-US"/>
              </w:rPr>
              <w:t>Involve young people and their</w:t>
            </w:r>
            <w:r>
              <w:rPr>
                <w:sz w:val="22"/>
                <w:szCs w:val="22"/>
                <w:lang w:val="en-US"/>
              </w:rPr>
              <w:t xml:space="preserve"> </w:t>
            </w:r>
            <w:r w:rsidRPr="00765380">
              <w:rPr>
                <w:sz w:val="22"/>
                <w:szCs w:val="22"/>
                <w:lang w:val="en-US"/>
              </w:rPr>
              <w:t>carers</w:t>
            </w:r>
            <w:r>
              <w:rPr>
                <w:sz w:val="22"/>
                <w:szCs w:val="22"/>
                <w:lang w:val="en-US"/>
              </w:rPr>
              <w:t xml:space="preserve"> </w:t>
            </w:r>
            <w:r w:rsidRPr="00765380">
              <w:rPr>
                <w:sz w:val="22"/>
                <w:szCs w:val="22"/>
                <w:lang w:val="en-US"/>
              </w:rPr>
              <w:t>in service design, delivery and evaluation related to </w:t>
            </w:r>
            <w:r>
              <w:fldChar w:fldCharType="begin"/>
            </w:r>
            <w:r>
              <w:instrText xml:space="preserve"> HYPERLINK "https://www.nice.org.uk/guidance/ng43/chapter/recommendations" \l "transition" </w:instrText>
            </w:r>
            <w:r>
              <w:fldChar w:fldCharType="separate"/>
            </w:r>
            <w:r w:rsidRPr="1375C7AE">
              <w:rPr>
                <w:rStyle w:val="Hyperlink"/>
                <w:sz w:val="22"/>
                <w:szCs w:val="22"/>
                <w:lang w:val="en-US"/>
              </w:rPr>
              <w:t>transition</w:t>
            </w:r>
            <w:r>
              <w:fldChar w:fldCharType="end"/>
            </w:r>
            <w:r w:rsidRPr="00765380">
              <w:rPr>
                <w:sz w:val="22"/>
                <w:szCs w:val="22"/>
                <w:lang w:val="en-US"/>
              </w:rPr>
              <w:t xml:space="preserve"> by: </w:t>
            </w:r>
            <w:r w:rsidRPr="1375C7AE">
              <w:rPr>
                <w:sz w:val="22"/>
                <w:szCs w:val="22"/>
                <w:lang w:val="en-US"/>
              </w:rPr>
              <w:t>coproducing</w:t>
            </w:r>
            <w:r w:rsidRPr="00765380">
              <w:rPr>
                <w:sz w:val="22"/>
                <w:szCs w:val="22"/>
                <w:lang w:val="en-US"/>
              </w:rPr>
              <w:t xml:space="preserve"> transition policies and strategies with them; planning, </w:t>
            </w:r>
            <w:r w:rsidRPr="1375C7AE">
              <w:rPr>
                <w:sz w:val="22"/>
                <w:szCs w:val="22"/>
                <w:lang w:val="en-US"/>
              </w:rPr>
              <w:t>coproducing</w:t>
            </w:r>
            <w:r w:rsidRPr="00765380">
              <w:rPr>
                <w:sz w:val="22"/>
                <w:szCs w:val="22"/>
                <w:lang w:val="en-US"/>
              </w:rPr>
              <w:t xml:space="preserve"> and piloting materials and tools; asking them if the services helped them achieve agreed outcomes; feeding back to them about the effect their involvement has had. </w:t>
            </w:r>
            <w:r>
              <w:fldChar w:fldCharType="begin"/>
            </w:r>
            <w:r>
              <w:instrText xml:space="preserve"> HYPERLINK "https://www.nice.org.uk/guidance/ng43/chapter/Recommendations" \l "overarching-principles" </w:instrText>
            </w:r>
            <w:r>
              <w:fldChar w:fldCharType="separate"/>
            </w:r>
            <w:r w:rsidRPr="1375C7AE">
              <w:rPr>
                <w:rStyle w:val="Hyperlink"/>
                <w:sz w:val="22"/>
                <w:szCs w:val="22"/>
                <w:lang w:val="en-US"/>
              </w:rPr>
              <w:t>NICE NG43 (1.1.1, 2016)</w:t>
            </w:r>
            <w:r>
              <w:fldChar w:fldCharType="end"/>
            </w:r>
            <w:r w:rsidRPr="1375C7AE">
              <w:rPr>
                <w:sz w:val="22"/>
                <w:szCs w:val="22"/>
              </w:rPr>
              <w:t> </w:t>
            </w:r>
          </w:p>
        </w:tc>
      </w:tr>
      <w:tr w:rsidTr="006C72F8">
        <w:tblPrEx>
          <w:tblW w:w="10490" w:type="dxa"/>
          <w:tblInd w:w="-714" w:type="dxa"/>
          <w:tblLook w:val="04A0"/>
        </w:tblPrEx>
        <w:tc>
          <w:tcPr>
            <w:tcW w:w="1985" w:type="dxa"/>
            <w:vMerge w:val="restart"/>
          </w:tcPr>
          <w:p w:rsidR="00765C95" w:rsidRPr="002E2577" w:rsidP="005624CB">
            <w:pPr>
              <w:rPr>
                <w:b/>
                <w:sz w:val="20"/>
                <w:szCs w:val="20"/>
              </w:rPr>
            </w:pPr>
            <w:r w:rsidRPr="002E2577">
              <w:rPr>
                <w:b/>
                <w:sz w:val="20"/>
                <w:szCs w:val="20"/>
              </w:rPr>
              <w:t>Resourcing</w:t>
            </w:r>
          </w:p>
        </w:tc>
        <w:tc>
          <w:tcPr>
            <w:tcW w:w="8505" w:type="dxa"/>
          </w:tcPr>
          <w:p w:rsidR="00765C95" w:rsidRPr="002277C5" w:rsidP="005624CB">
            <w:pPr>
              <w:rPr>
                <w:sz w:val="22"/>
                <w:szCs w:val="22"/>
              </w:rPr>
            </w:pPr>
            <w:r>
              <w:rPr>
                <w:sz w:val="22"/>
                <w:szCs w:val="22"/>
              </w:rPr>
              <w:t>1. How are</w:t>
            </w:r>
            <w:r w:rsidRPr="002277C5">
              <w:rPr>
                <w:sz w:val="22"/>
                <w:szCs w:val="22"/>
              </w:rPr>
              <w:t xml:space="preserve"> </w:t>
            </w:r>
            <w:r>
              <w:rPr>
                <w:sz w:val="22"/>
                <w:szCs w:val="22"/>
              </w:rPr>
              <w:t>services resourced to take into account</w:t>
            </w:r>
            <w:r>
              <w:rPr>
                <w:sz w:val="22"/>
                <w:szCs w:val="22"/>
              </w:rPr>
              <w:t xml:space="preserve"> the needs, wishes and aspirations of the young person, including during the planning process and after transition?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2. What resourcing is required to enable co-production of transition strategies/policies and provide feedback on the outcomes of the co-produced initiatives?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Effectiveness and implementation</w:t>
            </w:r>
          </w:p>
        </w:tc>
        <w:tc>
          <w:tcPr>
            <w:tcW w:w="8505" w:type="dxa"/>
          </w:tcPr>
          <w:p w:rsidR="00765C95" w:rsidP="005E7CD3">
            <w:r>
              <w:rPr>
                <w:sz w:val="22"/>
                <w:szCs w:val="22"/>
              </w:rPr>
              <w:t>1. How are young people</w:t>
            </w:r>
            <w:r w:rsidRPr="12FBF2B9">
              <w:rPr>
                <w:sz w:val="22"/>
                <w:szCs w:val="22"/>
              </w:rPr>
              <w:t>,</w:t>
            </w:r>
            <w:r>
              <w:rPr>
                <w:sz w:val="22"/>
                <w:szCs w:val="22"/>
              </w:rPr>
              <w:t xml:space="preserve"> </w:t>
            </w:r>
            <w:r w:rsidRPr="711529E6">
              <w:rPr>
                <w:sz w:val="22"/>
                <w:szCs w:val="22"/>
              </w:rPr>
              <w:t xml:space="preserve">and </w:t>
            </w:r>
            <w:r w:rsidRPr="5B90205F">
              <w:rPr>
                <w:sz w:val="22"/>
                <w:szCs w:val="22"/>
              </w:rPr>
              <w:t xml:space="preserve">their </w:t>
            </w:r>
            <w:r w:rsidRPr="28441783">
              <w:rPr>
                <w:sz w:val="22"/>
                <w:szCs w:val="22"/>
              </w:rPr>
              <w:t>carers,</w:t>
            </w:r>
            <w:r w:rsidRPr="3F5D85D7">
              <w:rPr>
                <w:sz w:val="22"/>
                <w:szCs w:val="22"/>
              </w:rPr>
              <w:t xml:space="preserve"> </w:t>
            </w:r>
            <w:r>
              <w:rPr>
                <w:sz w:val="22"/>
                <w:szCs w:val="22"/>
              </w:rPr>
              <w:t>involved in their transition planning and what methods are effective in supporting involvement?</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9F4471" w:rsidP="009F4471">
            <w:r>
              <w:t xml:space="preserve">Whilst not reproducing our evidence here (it is in our report and in published papers), the implications for the parents of young people in transition  that our study set out </w:t>
            </w:r>
            <w:r>
              <w:t>were:</w:t>
            </w:r>
          </w:p>
          <w:p w:rsidR="00765C95" w:rsidRPr="001646AA" w:rsidP="00D54DC2">
            <w:pPr>
              <w:spacing w:line="256" w:lineRule="auto"/>
              <w:jc w:val="both"/>
              <w:rPr>
                <w:b/>
                <w:sz w:val="32"/>
                <w:szCs w:val="32"/>
              </w:rPr>
            </w:pPr>
            <w:r w:rsidRPr="001646AA">
              <w:rPr>
                <w:b/>
                <w:sz w:val="32"/>
                <w:szCs w:val="32"/>
              </w:rPr>
              <w:t>Implications for parents</w:t>
            </w:r>
          </w:p>
          <w:p w:rsidR="00765C95" w:rsidP="002D141E">
            <w:pPr>
              <w:pStyle w:val="ListParagraph"/>
              <w:numPr>
                <w:ilvl w:val="0"/>
                <w:numId w:val="21"/>
              </w:numPr>
              <w:spacing w:line="256" w:lineRule="auto"/>
              <w:ind w:left="284" w:hanging="284"/>
              <w:jc w:val="both"/>
              <w:rPr>
                <w:b/>
              </w:rPr>
            </w:pPr>
            <w:r>
              <w:rPr>
                <w:b/>
              </w:rPr>
              <w:t>There are three features of transition services which really seem to make things better for young people. We are advising that health services should concentrate on them – and you may wish to ask about them and expect them. They are:</w:t>
            </w:r>
          </w:p>
          <w:p w:rsidR="00765C95" w:rsidP="002D141E">
            <w:pPr>
              <w:ind w:left="284"/>
              <w:jc w:val="both"/>
            </w:pPr>
            <w:r>
              <w:rPr>
                <w:b/>
                <w:sz w:val="28"/>
                <w:szCs w:val="28"/>
              </w:rPr>
              <w:t>i)</w:t>
            </w:r>
            <w:r>
              <w:t xml:space="preserve"> Both adults’ and children’s services should give your son or daughter the opportunity to talk with their doctor or nurse by themselves. However, especially in the adult service, your son or daughter may want you to be there for part of the consultation; and you may want to be there as well. The adult team must make this option </w:t>
            </w:r>
            <w:r>
              <w:t>available,</w:t>
            </w:r>
            <w:r>
              <w:t xml:space="preserve"> but it is your son or daughter who decides what should happen.</w:t>
            </w:r>
          </w:p>
          <w:p w:rsidR="00765C95" w:rsidP="002D141E">
            <w:pPr>
              <w:ind w:left="284"/>
              <w:jc w:val="both"/>
            </w:pPr>
            <w:r>
              <w:t>This may be something worth discussing at home, in between appointments. Our research did find that if both you and your son or daughter are happy with the arrangement, then this makes transition easier. The arrangement may be that you do or do not join part of the consultation. The arrangement will also change. It is likely your son or daughter will be arranging and travelling to appointments by themselves by the time they are, let’s say, 25 years old.</w:t>
            </w:r>
          </w:p>
          <w:p w:rsidR="00765C95" w:rsidP="002D141E">
            <w:pPr>
              <w:ind w:left="284"/>
              <w:jc w:val="both"/>
            </w:pPr>
            <w:r>
              <w:rPr>
                <w:b/>
                <w:sz w:val="28"/>
                <w:szCs w:val="28"/>
              </w:rPr>
              <w:t>ii)</w:t>
            </w:r>
            <w:r>
              <w:t xml:space="preserve"> It is helpful if your son or daughter and you can meet a member of the adult team before the transfer takes place. This can reduce your anxieties and improve communication between the staff in the child and adult services. If your son or daughter is being discharged to care by the GP, a similar arrangement should be made.</w:t>
            </w:r>
          </w:p>
          <w:p w:rsidR="00765C95" w:rsidP="002D141E">
            <w:pPr>
              <w:ind w:left="284"/>
              <w:jc w:val="both"/>
            </w:pPr>
            <w:r>
              <w:rPr>
                <w:b/>
                <w:sz w:val="28"/>
                <w:szCs w:val="28"/>
              </w:rPr>
              <w:t>iii)</w:t>
            </w:r>
            <w:r>
              <w:t xml:space="preserve"> Your son or daughter should be being helped and encouraged by the health team to take responsibility for their healthcare. This should happen gradually and at a pace that suits the young person. This means that you also need to adjust. When your child was little, you had to take all the responsibility for their healthcare. You will remain a source of knowledge and help for your son or </w:t>
            </w:r>
            <w:r>
              <w:t>daughter but eventually he or she should take over making appointments, monitoring their health and making their own judgem</w:t>
            </w:r>
            <w:r>
              <w:t>ents about risks.</w:t>
            </w:r>
          </w:p>
          <w:p w:rsidR="00765C95" w:rsidP="002D141E">
            <w:pPr>
              <w:ind w:left="284"/>
              <w:jc w:val="both"/>
            </w:pPr>
          </w:p>
          <w:p w:rsidR="00765C95" w:rsidP="002D141E">
            <w:pPr>
              <w:pStyle w:val="ListParagraph"/>
              <w:numPr>
                <w:ilvl w:val="0"/>
                <w:numId w:val="21"/>
              </w:numPr>
              <w:spacing w:line="256" w:lineRule="auto"/>
              <w:ind w:left="284" w:hanging="284"/>
              <w:rPr>
                <w:rStyle w:val="Hyperlink"/>
                <w:b/>
                <w:color w:val="auto"/>
                <w:u w:val="none"/>
              </w:rPr>
            </w:pPr>
            <w:r>
              <w:rPr>
                <w:b/>
              </w:rPr>
              <w:t xml:space="preserve">You might like to look at our website. There are not any sections specifically for parents, but you can read about the programme, see all the work that the young people’s advisory group did in assisting with the research, and you can see summaries of the results.      </w:t>
            </w:r>
            <w:r>
              <w:fldChar w:fldCharType="begin"/>
            </w:r>
            <w:r>
              <w:instrText xml:space="preserve"> HYPERLINK "http://research.ncl.ac.uk/transition/" </w:instrText>
            </w:r>
            <w:r>
              <w:fldChar w:fldCharType="separate"/>
            </w:r>
            <w:r>
              <w:rPr>
                <w:rStyle w:val="Hyperlink"/>
                <w:b/>
              </w:rPr>
              <w:t>http://research.ncl.ac.uk/transition/</w:t>
            </w:r>
            <w:r>
              <w:fldChar w:fldCharType="end"/>
            </w:r>
          </w:p>
          <w:p w:rsidR="00765C95" w:rsidP="002D141E">
            <w:pPr>
              <w:pStyle w:val="ListParagraph"/>
              <w:ind w:left="284"/>
              <w:rPr>
                <w:rStyle w:val="Hyperlink"/>
                <w:b/>
                <w:color w:val="auto"/>
                <w:u w:val="none"/>
              </w:rPr>
            </w:pPr>
          </w:p>
          <w:p w:rsidR="00765C95" w:rsidP="002D141E">
            <w:pPr>
              <w:pStyle w:val="ListParagraph"/>
              <w:numPr>
                <w:ilvl w:val="0"/>
                <w:numId w:val="21"/>
              </w:numPr>
              <w:ind w:left="284" w:hanging="284"/>
              <w:jc w:val="both"/>
            </w:pPr>
            <w:r>
              <w:rPr>
                <w:b/>
              </w:rPr>
              <w:t xml:space="preserve">You might like to look at a toolkit we developed for senior managers and </w:t>
            </w:r>
            <w:r>
              <w:rPr>
                <w:b/>
              </w:rPr>
              <w:t>doctors,</w:t>
            </w:r>
            <w:r>
              <w:rPr>
                <w:b/>
              </w:rPr>
              <w:t xml:space="preserve"> and which is also on the website</w:t>
            </w:r>
          </w:p>
          <w:p w:rsidR="00765C95" w:rsidP="002D141E">
            <w:pPr>
              <w:ind w:left="284"/>
              <w:jc w:val="both"/>
            </w:pPr>
            <w:r>
              <w:t xml:space="preserve">The toolkit is about </w:t>
            </w:r>
            <w:r>
              <w:rPr>
                <w:i/>
              </w:rPr>
              <w:t>Developmentally Appropriate Healthcare</w:t>
            </w:r>
            <w:r>
              <w:t>.</w:t>
            </w:r>
            <w:r>
              <w:t xml:space="preserve"> </w:t>
            </w:r>
            <w:r>
              <w:fldChar w:fldCharType="begin"/>
            </w:r>
            <w:r>
              <w:instrText xml:space="preserve"> HYPERLINK "https://www.northumbria.nhs.uk/about-us/quality-and-safety/research-and-clinical-trials/developmentally-appropriate-healthcare-toolkit" </w:instrText>
            </w:r>
            <w:r>
              <w:fldChar w:fldCharType="separate"/>
            </w:r>
            <w:r w:rsidRPr="00A7076E">
              <w:rPr>
                <w:rStyle w:val="Hyperlink"/>
                <w:color w:val="4C94D8" w:themeColor="text2" w:themeTint="80"/>
              </w:rPr>
              <w:t>https://www.northumbria.nhs.uk/about-us/quality-and-safety/research-and-clinical-trials/developmentally-appropriate-healthcare-toolkit</w:t>
            </w:r>
            <w:r>
              <w:fldChar w:fldCharType="end"/>
            </w:r>
            <w:r w:rsidRPr="00A7076E">
              <w:rPr>
                <w:color w:val="4C94D8" w:themeColor="text2" w:themeTint="80"/>
              </w:rPr>
              <w:t xml:space="preserve">  </w:t>
            </w:r>
            <w:r>
              <w:t xml:space="preserve">This is a bit of a mouthful but essentially it means that young people are neither children nor adults. Young people change in many ways between the ages of 12 and 24 and healthcare staff must show young people that they are aware of the changes occurring in their lives. </w:t>
            </w:r>
            <w:r>
              <w:t>Also,</w:t>
            </w:r>
            <w:r>
              <w:t xml:space="preserve"> healthcare staff need to help young people to feel confident, by having discussions in consultations about how young people can gradually take on responsibility for their health.</w:t>
            </w:r>
          </w:p>
          <w:p w:rsidR="00765C95" w:rsidP="005E7CD3"/>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rPr>
                <w:sz w:val="22"/>
                <w:szCs w:val="22"/>
              </w:rPr>
              <w:t>2. What does effective inclusion of young people in the planning and delivery of their transition look like?</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9F4471" w:rsidP="009F4471">
            <w:r>
              <w:t xml:space="preserve">Whilst not reproducing our evidence here (it is in our report and in published papers), the implications for young people that our study set out </w:t>
            </w:r>
            <w:r>
              <w:t>were:</w:t>
            </w:r>
          </w:p>
          <w:p w:rsidR="00765C95" w:rsidP="009F4471">
            <w:pPr>
              <w:rPr>
                <w:b/>
                <w:sz w:val="32"/>
                <w:szCs w:val="32"/>
              </w:rPr>
            </w:pPr>
            <w:r>
              <w:rPr>
                <w:b/>
                <w:sz w:val="32"/>
                <w:szCs w:val="32"/>
              </w:rPr>
              <w:t>Implications for young people in transition with a long term condition</w:t>
            </w:r>
          </w:p>
          <w:p w:rsidR="00765C95" w:rsidP="009F4471">
            <w:pPr>
              <w:pStyle w:val="ListParagraph"/>
              <w:numPr>
                <w:ilvl w:val="0"/>
                <w:numId w:val="21"/>
              </w:numPr>
              <w:spacing w:line="256" w:lineRule="auto"/>
              <w:ind w:left="284" w:hanging="284"/>
              <w:jc w:val="both"/>
              <w:rPr>
                <w:b/>
              </w:rPr>
            </w:pPr>
            <w:r>
              <w:rPr>
                <w:b/>
              </w:rPr>
              <w:t>There are three features of transition services which really seem to make things better for young people. We are advising that health services should concentrate on them – and you may wish to ask about them and expect them. They are:</w:t>
            </w:r>
          </w:p>
          <w:p w:rsidR="00765C95" w:rsidP="009F4471">
            <w:pPr>
              <w:ind w:left="284"/>
              <w:jc w:val="both"/>
            </w:pPr>
            <w:r>
              <w:t>i) Both adults’ and children’s services should give you the opportunity to talk with your doctor or nurse by yourself. However, especially in the adult service, you should say whether your parent(s) could also meet with the healthcare staff. If you and your parent(s) are both up to date with the advice from the health staff, this can make it easier for everyone. However, if you prefer your parent(s) not to join part of the consultation that is fine because you must feel comfortable with the arrangement if i</w:t>
            </w:r>
            <w:r>
              <w:t>t is going to work.</w:t>
            </w:r>
          </w:p>
          <w:p w:rsidR="00765C95" w:rsidP="009F4471">
            <w:pPr>
              <w:ind w:left="284"/>
              <w:jc w:val="both"/>
            </w:pPr>
            <w:r>
              <w:t>ii) It is helpful if you and your parent(s) can meet the adult team before you transfer across. This can reduce your anxieties and improve communication between the staff in the child and adult services.</w:t>
            </w:r>
          </w:p>
          <w:p w:rsidR="00765C95" w:rsidP="009F4471">
            <w:pPr>
              <w:ind w:left="284"/>
              <w:jc w:val="both"/>
            </w:pPr>
            <w:r>
              <w:t>iii) You should be being helped and encouraged to take responsibility for the care of your health condition. This should happen gradually and at a pace that suits you. The healthcare team should be talking about this with you regularly and asking you in what areas you feel confident or not so confident. Think about how to navigate the new service as well as how to manage your own condition.</w:t>
            </w:r>
          </w:p>
          <w:p w:rsidR="00765C95" w:rsidP="009F4471">
            <w:pPr>
              <w:pStyle w:val="ListParagraph"/>
              <w:numPr>
                <w:ilvl w:val="0"/>
                <w:numId w:val="21"/>
              </w:numPr>
              <w:spacing w:line="256" w:lineRule="auto"/>
              <w:ind w:left="284" w:hanging="284"/>
              <w:jc w:val="both"/>
              <w:rPr>
                <w:b/>
              </w:rPr>
            </w:pPr>
            <w:r>
              <w:rPr>
                <w:b/>
              </w:rPr>
              <w:t>We undertook a study which involved asking young people to put in order of importance statements about transition.</w:t>
            </w:r>
          </w:p>
          <w:p w:rsidR="00765C95" w:rsidP="009F4471">
            <w:pPr>
              <w:spacing w:after="160"/>
              <w:ind w:left="284"/>
              <w:jc w:val="both"/>
              <w:rPr>
                <w:i/>
              </w:rPr>
            </w:pPr>
            <w:r>
              <w:t>We found a young person usually adopted one of four approaches to transition and it would be worth discussing yours with your health team. Some young people are</w:t>
            </w:r>
            <w:r>
              <w:rPr>
                <w:i/>
              </w:rPr>
              <w:t xml:space="preserve"> pretty laid back and relaxed about transition.</w:t>
            </w:r>
            <w:r>
              <w:t xml:space="preserve"> Some are </w:t>
            </w:r>
            <w:r>
              <w:rPr>
                <w:i/>
              </w:rPr>
              <w:t>anxious about transition</w:t>
            </w:r>
            <w:r>
              <w:t xml:space="preserve">. Some </w:t>
            </w:r>
            <w:r>
              <w:rPr>
                <w:i/>
              </w:rPr>
              <w:t>really want to be in control and lead what is going on</w:t>
            </w:r>
            <w:r>
              <w:t xml:space="preserve">. And the final group, which overlaps a bit with the others, is called </w:t>
            </w:r>
            <w:r>
              <w:rPr>
                <w:i/>
              </w:rPr>
              <w:t>socially oriented. The young person really likes other people to be involved and helping, whether it is close family, friends, or all the nurses and doctors in the clinic.</w:t>
            </w:r>
          </w:p>
          <w:p w:rsidR="00765C95" w:rsidP="009F4471">
            <w:pPr>
              <w:pStyle w:val="ListParagraph"/>
              <w:numPr>
                <w:ilvl w:val="0"/>
                <w:numId w:val="21"/>
              </w:numPr>
              <w:spacing w:line="256" w:lineRule="auto"/>
              <w:ind w:left="284" w:hanging="284"/>
              <w:rPr>
                <w:rStyle w:val="Hyperlink"/>
                <w:b/>
                <w:color w:val="auto"/>
                <w:u w:val="none"/>
              </w:rPr>
            </w:pPr>
            <w:r>
              <w:rPr>
                <w:b/>
              </w:rPr>
              <w:t xml:space="preserve">You might like to look at our website. There are sections for young people. You would also see all the work that the young people’s advisory group did in assisting with all the research. This group calls itself UP.     </w:t>
            </w:r>
            <w:r>
              <w:fldChar w:fldCharType="begin"/>
            </w:r>
            <w:r>
              <w:instrText xml:space="preserve"> HYPERLINK "http://research.ncl.ac.uk/transition/" </w:instrText>
            </w:r>
            <w:r>
              <w:fldChar w:fldCharType="separate"/>
            </w:r>
            <w:r>
              <w:rPr>
                <w:rStyle w:val="Hyperlink"/>
                <w:b/>
              </w:rPr>
              <w:t>http://research.ncl.ac.uk/transition/</w:t>
            </w:r>
            <w:r>
              <w:fldChar w:fldCharType="end"/>
            </w:r>
          </w:p>
          <w:p w:rsidR="00765C95" w:rsidP="009F4471">
            <w:pPr>
              <w:pStyle w:val="ListParagraph"/>
              <w:ind w:left="284"/>
              <w:rPr>
                <w:rStyle w:val="Hyperlink"/>
                <w:b/>
                <w:color w:val="auto"/>
                <w:u w:val="none"/>
              </w:rPr>
            </w:pPr>
          </w:p>
          <w:p w:rsidR="00765C95" w:rsidP="009F4471">
            <w:pPr>
              <w:pStyle w:val="ListParagraph"/>
              <w:numPr>
                <w:ilvl w:val="0"/>
                <w:numId w:val="21"/>
              </w:numPr>
              <w:ind w:left="284" w:hanging="284"/>
              <w:jc w:val="both"/>
            </w:pPr>
            <w:r>
              <w:rPr>
                <w:b/>
              </w:rPr>
              <w:t xml:space="preserve">You might like to look at a toolkit we developed for senior managers and </w:t>
            </w:r>
            <w:r>
              <w:rPr>
                <w:b/>
              </w:rPr>
              <w:t>doctors,</w:t>
            </w:r>
            <w:r>
              <w:rPr>
                <w:b/>
              </w:rPr>
              <w:t xml:space="preserve"> and which is also on the website</w:t>
            </w:r>
          </w:p>
          <w:p w:rsidR="00765C95" w:rsidRPr="00BC033C" w:rsidP="00BC033C">
            <w:pPr>
              <w:ind w:left="284"/>
              <w:jc w:val="both"/>
            </w:pPr>
            <w:r>
              <w:t xml:space="preserve">The toolkit is about </w:t>
            </w:r>
            <w:r>
              <w:rPr>
                <w:i/>
              </w:rPr>
              <w:t>Developmentally Appropriate Healthcare</w:t>
            </w:r>
            <w:r>
              <w:t xml:space="preserve">. </w:t>
            </w:r>
            <w:r>
              <w:fldChar w:fldCharType="begin"/>
            </w:r>
            <w:r>
              <w:instrText xml:space="preserve"> HYPERLINK "https://www.northumbria.nhs.uk/about-us/quality-and-safety/research-and-clinical-trials/developmentally-appropriate-healthcare-toolkit" </w:instrText>
            </w:r>
            <w:r>
              <w:fldChar w:fldCharType="separate"/>
            </w:r>
            <w:r w:rsidRPr="00A7076E">
              <w:rPr>
                <w:rStyle w:val="Hyperlink"/>
                <w:color w:val="4C94D8" w:themeColor="text2" w:themeTint="80"/>
              </w:rPr>
              <w:t>https://www.northumbria.nhs.uk/about-us/quality-and-safety/research-and-clinical-trials/developmentally-appropriate-healthcare-toolkit</w:t>
            </w:r>
            <w:r>
              <w:fldChar w:fldCharType="end"/>
            </w:r>
          </w:p>
          <w:p w:rsidR="00765C95" w:rsidRPr="009F4471" w:rsidP="009F4471">
            <w:pPr>
              <w:ind w:left="284"/>
              <w:jc w:val="both"/>
            </w:pPr>
            <w:r>
              <w:t xml:space="preserve">This is a bit of a mouthful but essentially it means that young people are neither children nor adults. Young people change in many ways between the ages of 12 and 24 and healthcare staff must show young people that they are aware of the changes occurring in their lives. </w:t>
            </w:r>
            <w:r>
              <w:t>Also,</w:t>
            </w:r>
            <w:r>
              <w:t xml:space="preserve"> healthcare staff need to help young people to feel confident, by having discussions in consultations about how young people can gradually take on responsibility for their health.</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Impact and outcomes</w:t>
            </w:r>
          </w:p>
        </w:tc>
        <w:tc>
          <w:tcPr>
            <w:tcW w:w="8505" w:type="dxa"/>
          </w:tcPr>
          <w:p w:rsidR="00765C95" w:rsidRPr="00216E08" w:rsidP="005E7CD3">
            <w:pPr>
              <w:rPr>
                <w:sz w:val="22"/>
                <w:szCs w:val="22"/>
              </w:rPr>
            </w:pPr>
            <w:r>
              <w:rPr>
                <w:sz w:val="22"/>
                <w:szCs w:val="22"/>
              </w:rPr>
              <w:t>1. What are the impacts of co-producing transition policies and strategies with children and young people?</w:t>
            </w:r>
          </w:p>
        </w:tc>
      </w:tr>
      <w:tr w:rsidTr="006C72F8">
        <w:tblPrEx>
          <w:tblW w:w="10490" w:type="dxa"/>
          <w:tblInd w:w="-714" w:type="dxa"/>
          <w:tblLook w:val="04A0"/>
        </w:tblPrEx>
        <w:trPr>
          <w:trHeight w:val="201"/>
        </w:trPr>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rPr>
                <w:sz w:val="22"/>
                <w:szCs w:val="22"/>
              </w:rPr>
              <w:t>2. What does a good transition service look like, and how is an effective transition defined, measured and monitored at both individual and service levels?</w:t>
            </w:r>
            <w:r w:rsidRPr="00216E08">
              <w:rPr>
                <w:sz w:val="22"/>
                <w:szCs w:val="22"/>
              </w:rPr>
              <w:t xml:space="preserve"> </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Appropriateness</w:t>
            </w:r>
          </w:p>
        </w:tc>
        <w:tc>
          <w:tcPr>
            <w:tcW w:w="8505" w:type="dxa"/>
          </w:tcPr>
          <w:p w:rsidR="00765C95" w:rsidRPr="00A646C6" w:rsidP="005E7CD3">
            <w:pPr>
              <w:rPr>
                <w:sz w:val="22"/>
                <w:szCs w:val="22"/>
              </w:rPr>
            </w:pPr>
            <w:r>
              <w:rPr>
                <w:sz w:val="22"/>
                <w:szCs w:val="22"/>
              </w:rPr>
              <w:t>1. Are the current guidelines for the involvement of individuals and their carers in the transition to adult services appropriate for the needs of young people and services?</w:t>
            </w:r>
          </w:p>
        </w:tc>
      </w:tr>
      <w:tr w:rsidTr="006C72F8">
        <w:tblPrEx>
          <w:tblW w:w="10490" w:type="dxa"/>
          <w:tblInd w:w="-714" w:type="dxa"/>
          <w:tblLook w:val="04A0"/>
        </w:tblPrEx>
        <w:tc>
          <w:tcPr>
            <w:tcW w:w="1985" w:type="dxa"/>
            <w:vMerge/>
          </w:tcPr>
          <w:p w:rsidR="00765C95" w:rsidRPr="002E2577" w:rsidP="0032479C">
            <w:pPr>
              <w:rPr>
                <w:b/>
                <w:sz w:val="20"/>
                <w:szCs w:val="20"/>
              </w:rPr>
            </w:pPr>
          </w:p>
        </w:tc>
        <w:tc>
          <w:tcPr>
            <w:tcW w:w="8505" w:type="dxa"/>
          </w:tcPr>
          <w:p w:rsidR="00765C95" w:rsidP="0032479C">
            <w:r>
              <w:rPr>
                <w:sz w:val="22"/>
                <w:szCs w:val="22"/>
              </w:rPr>
              <w:t>We have no information</w:t>
            </w:r>
          </w:p>
        </w:tc>
      </w:tr>
      <w:tr w:rsidTr="006C72F8">
        <w:tblPrEx>
          <w:tblW w:w="10490" w:type="dxa"/>
          <w:tblInd w:w="-714" w:type="dxa"/>
          <w:tblLook w:val="04A0"/>
        </w:tblPrEx>
        <w:tc>
          <w:tcPr>
            <w:tcW w:w="1985" w:type="dxa"/>
            <w:vMerge w:val="restart"/>
            <w:tcBorders>
              <w:left w:val="single" w:sz="4" w:space="0" w:color="auto"/>
            </w:tcBorders>
          </w:tcPr>
          <w:p w:rsidR="00765C95" w:rsidRPr="002E2577" w:rsidP="0032479C">
            <w:pPr>
              <w:rPr>
                <w:b/>
                <w:sz w:val="20"/>
                <w:szCs w:val="20"/>
              </w:rPr>
            </w:pPr>
            <w:r w:rsidRPr="002E2577">
              <w:rPr>
                <w:b/>
                <w:sz w:val="20"/>
                <w:szCs w:val="20"/>
              </w:rPr>
              <w:t>Equality and diversity</w:t>
            </w:r>
          </w:p>
        </w:tc>
        <w:tc>
          <w:tcPr>
            <w:tcW w:w="8505" w:type="dxa"/>
          </w:tcPr>
          <w:p w:rsidR="00765C95" w:rsidP="0032479C">
            <w:r>
              <w:rPr>
                <w:rFonts w:eastAsiaTheme="minorEastAsia"/>
                <w:sz w:val="22"/>
              </w:rPr>
              <w:t xml:space="preserve">1. </w:t>
            </w:r>
            <w:r w:rsidRPr="5AF7BFDC">
              <w:rPr>
                <w:rFonts w:eastAsiaTheme="minorEastAsia"/>
                <w:sz w:val="22"/>
              </w:rPr>
              <w:t>How are underserved or vulnerable patient groups</w:t>
            </w:r>
            <w:r>
              <w:rPr>
                <w:rFonts w:eastAsiaTheme="minorEastAsia"/>
                <w:sz w:val="22"/>
              </w:rPr>
              <w:t>, including those with special educational needs and disabilities</w:t>
            </w:r>
            <w:r w:rsidRPr="5AF7BFDC">
              <w:rPr>
                <w:rFonts w:eastAsiaTheme="minorEastAsia"/>
                <w:sz w:val="22"/>
              </w:rPr>
              <w:t xml:space="preserve"> </w:t>
            </w:r>
            <w:r>
              <w:rPr>
                <w:rFonts w:eastAsiaTheme="minorEastAsia"/>
                <w:sz w:val="22"/>
              </w:rPr>
              <w:t xml:space="preserve">involved in their own transition planning? </w:t>
            </w:r>
            <w:r>
              <w:fldChar w:fldCharType="begin"/>
            </w:r>
            <w:r>
              <w:instrText xml:space="preserve"> HYPERLINK "https://assets.publishing.service.gov.uk/media/5a7dcb85ed915d2ac884d995/SEND_Code_of_Practice_January_2015.pdf" </w:instrText>
            </w:r>
            <w:r>
              <w:fldChar w:fldCharType="separate"/>
            </w:r>
            <w:r w:rsidRPr="00583C9E">
              <w:rPr>
                <w:rStyle w:val="Hyperlink"/>
                <w:rFonts w:eastAsiaTheme="minorEastAsia"/>
                <w:sz w:val="22"/>
              </w:rPr>
              <w:t>SEND Code of Practice 0-25 years (8.54, 2015)</w:t>
            </w:r>
            <w:r>
              <w:fldChar w:fldCharType="end"/>
            </w:r>
          </w:p>
        </w:tc>
      </w:tr>
      <w:tr w:rsidTr="006C72F8">
        <w:tblPrEx>
          <w:tblW w:w="10490" w:type="dxa"/>
          <w:tblInd w:w="-714" w:type="dxa"/>
          <w:tblLook w:val="04A0"/>
        </w:tblPrEx>
        <w:tc>
          <w:tcPr>
            <w:tcW w:w="1985" w:type="dxa"/>
            <w:vMerge/>
          </w:tcPr>
          <w:p w:rsidR="00765C95" w:rsidP="0032479C"/>
        </w:tc>
        <w:tc>
          <w:tcPr>
            <w:tcW w:w="8505" w:type="dxa"/>
          </w:tcPr>
          <w:p w:rsidR="00765C95" w:rsidRPr="002E1607" w:rsidP="0032479C">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P="0032479C"/>
        </w:tc>
        <w:tc>
          <w:tcPr>
            <w:tcW w:w="8505" w:type="dxa"/>
          </w:tcPr>
          <w:p w:rsidR="00765C95" w:rsidP="0032479C">
            <w:r w:rsidRPr="5E62E635">
              <w:rPr>
                <w:rFonts w:eastAsiaTheme="minorEastAsia"/>
                <w:sz w:val="22"/>
                <w:szCs w:val="22"/>
              </w:rPr>
              <w:t xml:space="preserve">2. To what extent are underserved or vulnerable </w:t>
            </w:r>
            <w:r w:rsidRPr="4AE17D25">
              <w:rPr>
                <w:rFonts w:eastAsiaTheme="minorEastAsia"/>
                <w:sz w:val="22"/>
                <w:szCs w:val="22"/>
              </w:rPr>
              <w:t>service</w:t>
            </w:r>
            <w:r w:rsidRPr="75906373">
              <w:rPr>
                <w:rFonts w:eastAsiaTheme="minorEastAsia"/>
                <w:sz w:val="22"/>
                <w:szCs w:val="22"/>
              </w:rPr>
              <w:t>-user</w:t>
            </w:r>
            <w:r w:rsidRPr="5E62E635">
              <w:rPr>
                <w:rFonts w:eastAsiaTheme="minorEastAsia"/>
                <w:sz w:val="22"/>
                <w:szCs w:val="22"/>
              </w:rPr>
              <w:t xml:space="preserve"> groups involved in co-production of transition policies and strategies?</w:t>
            </w:r>
          </w:p>
        </w:tc>
      </w:tr>
      <w:tr w:rsidTr="006C72F8">
        <w:tblPrEx>
          <w:tblW w:w="10490" w:type="dxa"/>
          <w:tblInd w:w="-714" w:type="dxa"/>
          <w:tblLook w:val="04A0"/>
        </w:tblPrEx>
        <w:tc>
          <w:tcPr>
            <w:tcW w:w="1985" w:type="dxa"/>
            <w:vMerge/>
          </w:tcPr>
          <w:p w:rsidR="00765C95" w:rsidP="0032479C"/>
        </w:tc>
        <w:tc>
          <w:tcPr>
            <w:tcW w:w="8505" w:type="dxa"/>
          </w:tcPr>
          <w:p w:rsidR="00765C95" w:rsidRPr="002E1607" w:rsidP="0032479C">
            <w:pPr>
              <w:rPr>
                <w:sz w:val="22"/>
                <w:szCs w:val="22"/>
              </w:rPr>
            </w:pPr>
            <w:r>
              <w:rPr>
                <w:sz w:val="22"/>
                <w:szCs w:val="22"/>
              </w:rPr>
              <w:t>We have no information</w:t>
            </w:r>
          </w:p>
        </w:tc>
      </w:tr>
    </w:tbl>
    <w:p w:rsidR="00765C95"/>
    <w:p w:rsidR="00765C95"/>
    <w:tbl>
      <w:tblPr>
        <w:tblStyle w:val="TableGrid"/>
        <w:tblW w:w="10490" w:type="dxa"/>
        <w:tblInd w:w="-714" w:type="dxa"/>
        <w:tblLook w:val="04A0"/>
      </w:tblPr>
      <w:tblGrid>
        <w:gridCol w:w="1985"/>
        <w:gridCol w:w="8505"/>
      </w:tblGrid>
      <w:tr w:rsidTr="12032C4C">
        <w:tblPrEx>
          <w:tblW w:w="10490" w:type="dxa"/>
          <w:tblInd w:w="-714" w:type="dxa"/>
          <w:tblLook w:val="04A0"/>
        </w:tblPrEx>
        <w:tc>
          <w:tcPr>
            <w:tcW w:w="10490" w:type="dxa"/>
            <w:gridSpan w:val="2"/>
          </w:tcPr>
          <w:p w:rsidR="00765C95">
            <w:pPr>
              <w:rPr>
                <w:b/>
                <w:bCs/>
              </w:rPr>
            </w:pPr>
            <w:r>
              <w:rPr>
                <w:b/>
                <w:bCs/>
              </w:rPr>
              <w:t>FOCUS AREA 4</w:t>
            </w:r>
          </w:p>
          <w:p w:rsidR="00765C95" w:rsidRPr="0012331A" w:rsidP="005624CB">
            <w:pPr>
              <w:rPr>
                <w:b/>
                <w:bCs/>
              </w:rPr>
            </w:pPr>
            <w:r>
              <w:rPr>
                <w:b/>
                <w:bCs/>
              </w:rPr>
              <w:t>WORKFORCE AND TRAINING</w:t>
            </w:r>
          </w:p>
        </w:tc>
      </w:tr>
      <w:tr w:rsidTr="12032C4C">
        <w:tblPrEx>
          <w:tblW w:w="10490" w:type="dxa"/>
          <w:tblInd w:w="-714" w:type="dxa"/>
          <w:tblLook w:val="04A0"/>
        </w:tblPrEx>
        <w:tc>
          <w:tcPr>
            <w:tcW w:w="10490" w:type="dxa"/>
            <w:gridSpan w:val="2"/>
          </w:tcPr>
          <w:p w:rsidR="00765C95" w:rsidRPr="00D419DB" w:rsidP="00F42754">
            <w:pPr>
              <w:spacing w:after="120"/>
              <w:rPr>
                <w:sz w:val="22"/>
                <w:szCs w:val="22"/>
                <w:lang w:val="en-US"/>
              </w:rPr>
            </w:pPr>
            <w:r w:rsidRPr="00EE21A7">
              <w:rPr>
                <w:b/>
                <w:bCs/>
                <w:sz w:val="22"/>
                <w:szCs w:val="22"/>
              </w:rPr>
              <w:t xml:space="preserve">Statement of </w:t>
            </w:r>
            <w:r w:rsidRPr="12032C4C">
              <w:rPr>
                <w:b/>
                <w:bCs/>
                <w:sz w:val="22"/>
                <w:szCs w:val="22"/>
              </w:rPr>
              <w:t>intent</w:t>
            </w:r>
            <w:r w:rsidRPr="00EE21A7">
              <w:rPr>
                <w:b/>
                <w:bCs/>
                <w:sz w:val="22"/>
                <w:szCs w:val="22"/>
              </w:rPr>
              <w:t xml:space="preserve"> 1</w:t>
            </w:r>
            <w:r>
              <w:rPr>
                <w:sz w:val="22"/>
                <w:szCs w:val="22"/>
              </w:rPr>
              <w:t xml:space="preserve">: </w:t>
            </w:r>
            <w:r w:rsidRPr="00D419DB">
              <w:rPr>
                <w:sz w:val="22"/>
                <w:szCs w:val="22"/>
                <w:lang w:val="en-US"/>
              </w:rPr>
              <w:t xml:space="preserve">Staff receive training in adolescent development, managing long-term conditions and transitional care, such as the </w:t>
            </w:r>
            <w:r>
              <w:fldChar w:fldCharType="begin"/>
            </w:r>
            <w:r>
              <w:instrText xml:space="preserve"> HYPERLINK "https://url.uk.m.mimecastprotect.com/s/WTvACjZpltjQVXqWTWf0SmqDdm?domain=e-lfh.org.uk/" </w:instrText>
            </w:r>
            <w:r>
              <w:fldChar w:fldCharType="separate"/>
            </w:r>
            <w:r w:rsidRPr="00D419DB">
              <w:rPr>
                <w:rStyle w:val="Hyperlink"/>
                <w:sz w:val="22"/>
                <w:szCs w:val="22"/>
                <w:lang w:val="en-US"/>
              </w:rPr>
              <w:t xml:space="preserve">Adolescent Health </w:t>
            </w:r>
            <w:r w:rsidRPr="00D419DB">
              <w:rPr>
                <w:rStyle w:val="Hyperlink"/>
                <w:sz w:val="22"/>
                <w:szCs w:val="22"/>
                <w:lang w:val="en-US"/>
              </w:rPr>
              <w:t>Programme</w:t>
            </w:r>
            <w:r w:rsidRPr="00D419DB">
              <w:rPr>
                <w:rStyle w:val="Hyperlink"/>
                <w:sz w:val="22"/>
                <w:szCs w:val="22"/>
                <w:lang w:val="en-US"/>
              </w:rPr>
              <w:t xml:space="preserve"> e-learning</w:t>
            </w:r>
            <w:r>
              <w:fldChar w:fldCharType="end"/>
            </w:r>
            <w:r w:rsidRPr="00D419DB">
              <w:rPr>
                <w:sz w:val="22"/>
                <w:szCs w:val="22"/>
                <w:lang w:val="en-US"/>
              </w:rPr>
              <w:t xml:space="preserve">, as a context for understanding the impact of complex and long-term health needs.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D419DB">
              <w:rPr>
                <w:rStyle w:val="Hyperlink"/>
                <w:sz w:val="22"/>
                <w:szCs w:val="22"/>
                <w:lang w:val="en-US"/>
              </w:rPr>
              <w:t>OHID You’re Welcome</w:t>
            </w:r>
            <w:r>
              <w:fldChar w:fldCharType="end"/>
            </w:r>
            <w:r w:rsidRPr="00D419DB">
              <w:rPr>
                <w:sz w:val="22"/>
                <w:szCs w:val="22"/>
                <w:lang w:val="en-US"/>
              </w:rPr>
              <w:t xml:space="preserve"> (4, 2023)</w:t>
            </w:r>
          </w:p>
          <w:p w:rsidR="00765C95" w:rsidRPr="003B4142" w:rsidP="00F42754">
            <w:pPr>
              <w:spacing w:after="120" w:line="259" w:lineRule="auto"/>
              <w:rPr>
                <w:b/>
                <w:sz w:val="22"/>
                <w:szCs w:val="22"/>
                <w:lang w:val="en-US"/>
              </w:rPr>
            </w:pPr>
            <w:r w:rsidRPr="00D419DB">
              <w:rPr>
                <w:b/>
                <w:bCs/>
                <w:sz w:val="22"/>
                <w:szCs w:val="22"/>
                <w:lang w:val="en-US"/>
              </w:rPr>
              <w:t xml:space="preserve">Statement of </w:t>
            </w:r>
            <w:r w:rsidRPr="12032C4C">
              <w:rPr>
                <w:b/>
                <w:bCs/>
                <w:sz w:val="22"/>
                <w:szCs w:val="22"/>
                <w:lang w:val="en-US"/>
              </w:rPr>
              <w:t>intent</w:t>
            </w:r>
            <w:r w:rsidRPr="00D419DB">
              <w:rPr>
                <w:b/>
                <w:bCs/>
                <w:sz w:val="22"/>
                <w:szCs w:val="22"/>
                <w:lang w:val="en-US"/>
              </w:rPr>
              <w:t xml:space="preserve"> 2</w:t>
            </w:r>
            <w:r>
              <w:rPr>
                <w:sz w:val="22"/>
                <w:szCs w:val="22"/>
                <w:lang w:val="en-US"/>
              </w:rPr>
              <w:t xml:space="preserve">: </w:t>
            </w:r>
            <w:r w:rsidRPr="00D419DB">
              <w:rPr>
                <w:sz w:val="22"/>
                <w:szCs w:val="22"/>
                <w:lang w:val="en-US"/>
              </w:rPr>
              <w:t xml:space="preserve">Young people who are moving from children's to adults' services have a named worker to coordinate care and support before, during and after transfer. </w:t>
            </w:r>
            <w:r>
              <w:fldChar w:fldCharType="begin"/>
            </w:r>
            <w:r>
              <w:instrText xml:space="preserve"> HYPERLINK "https://www.nice.org.uk/guidance/qs140/chapter/Quality-statement-4-Named-worker" </w:instrText>
            </w:r>
            <w:r>
              <w:fldChar w:fldCharType="separate"/>
            </w:r>
            <w:r w:rsidRPr="00D419DB">
              <w:rPr>
                <w:rStyle w:val="Hyperlink"/>
                <w:sz w:val="22"/>
                <w:szCs w:val="22"/>
                <w:lang w:val="en-US"/>
              </w:rPr>
              <w:t>NICE QS140 (4, 2016)</w:t>
            </w:r>
            <w:r>
              <w:fldChar w:fldCharType="end"/>
            </w:r>
          </w:p>
          <w:p w:rsidR="00765C95" w:rsidRPr="003B4142" w:rsidP="00F42754">
            <w:pPr>
              <w:spacing w:line="259" w:lineRule="auto"/>
              <w:rPr>
                <w:b/>
                <w:sz w:val="22"/>
                <w:szCs w:val="22"/>
                <w:lang w:val="en-US"/>
              </w:rPr>
            </w:pPr>
            <w:r w:rsidRPr="00D419DB">
              <w:rPr>
                <w:b/>
                <w:bCs/>
                <w:sz w:val="22"/>
                <w:szCs w:val="22"/>
                <w:lang w:val="en-US"/>
              </w:rPr>
              <w:t xml:space="preserve">Statement of </w:t>
            </w:r>
            <w:r w:rsidRPr="12032C4C">
              <w:rPr>
                <w:b/>
                <w:bCs/>
                <w:sz w:val="22"/>
                <w:szCs w:val="22"/>
                <w:lang w:val="en-US"/>
              </w:rPr>
              <w:t>intent</w:t>
            </w:r>
            <w:r w:rsidRPr="00D419DB">
              <w:rPr>
                <w:b/>
                <w:bCs/>
                <w:sz w:val="22"/>
                <w:szCs w:val="22"/>
                <w:lang w:val="en-US"/>
              </w:rPr>
              <w:t xml:space="preserve"> 3:</w:t>
            </w:r>
            <w:r>
              <w:rPr>
                <w:sz w:val="22"/>
                <w:szCs w:val="22"/>
                <w:lang w:val="en-US"/>
              </w:rPr>
              <w:t xml:space="preserve"> </w:t>
            </w:r>
            <w:r w:rsidRPr="00D419DB">
              <w:rPr>
                <w:sz w:val="22"/>
                <w:szCs w:val="22"/>
                <w:lang w:val="en-US"/>
              </w:rPr>
              <w:t>Each health and social care organisation, in both children's and adults' services supporting young people in transition, should nominate: 1 senior executive to be accountable for developing and publishing transition strategies and policies, 1 senior manager to be accountable for implementing transition strategies and policies. The senior executive should be responsible for championing transitions at a strategic level. The senior manager should be responsible for: liaising with the senior executive</w:t>
            </w:r>
            <w:r w:rsidRPr="00D419DB">
              <w:rPr>
                <w:sz w:val="22"/>
                <w:szCs w:val="22"/>
                <w:lang w:val="en-US"/>
              </w:rPr>
              <w:t xml:space="preserve">; championing, implementing, monitoring and reviewing the effectiveness of transition strategies and policies. </w:t>
            </w:r>
            <w:r>
              <w:fldChar w:fldCharType="begin"/>
            </w:r>
            <w:r>
              <w:instrText xml:space="preserve"> HYPERLINK "https://www.nice.org.uk/guidance/ng43/chapter/Recommendations" \l "supporting-infrastructure" </w:instrText>
            </w:r>
            <w:r>
              <w:fldChar w:fldCharType="separate"/>
            </w:r>
            <w:r w:rsidRPr="00D419DB">
              <w:rPr>
                <w:rStyle w:val="Hyperlink"/>
                <w:sz w:val="22"/>
                <w:szCs w:val="22"/>
                <w:lang w:val="en-US"/>
              </w:rPr>
              <w:t>NICE NG43 (1.5.1-3, 2016)</w:t>
            </w:r>
            <w:r>
              <w:fldChar w:fldCharType="end"/>
            </w:r>
          </w:p>
        </w:tc>
      </w:tr>
      <w:tr w:rsidTr="006C72F8">
        <w:tblPrEx>
          <w:tblW w:w="10490" w:type="dxa"/>
          <w:tblInd w:w="-714" w:type="dxa"/>
          <w:tblLook w:val="04A0"/>
        </w:tblPrEx>
        <w:tc>
          <w:tcPr>
            <w:tcW w:w="1985" w:type="dxa"/>
            <w:vMerge w:val="restart"/>
          </w:tcPr>
          <w:p w:rsidR="00765C95" w:rsidRPr="002E2577" w:rsidP="005624CB">
            <w:pPr>
              <w:rPr>
                <w:b/>
                <w:sz w:val="20"/>
                <w:szCs w:val="20"/>
              </w:rPr>
            </w:pPr>
            <w:r w:rsidRPr="002E2577">
              <w:rPr>
                <w:b/>
                <w:sz w:val="20"/>
                <w:szCs w:val="20"/>
              </w:rPr>
              <w:t>Resourcing</w:t>
            </w:r>
          </w:p>
        </w:tc>
        <w:tc>
          <w:tcPr>
            <w:tcW w:w="8505" w:type="dxa"/>
          </w:tcPr>
          <w:p w:rsidR="00765C95" w:rsidRPr="002277C5" w:rsidP="005624CB">
            <w:pPr>
              <w:rPr>
                <w:sz w:val="22"/>
                <w:szCs w:val="22"/>
              </w:rPr>
            </w:pPr>
            <w:r>
              <w:rPr>
                <w:sz w:val="22"/>
                <w:szCs w:val="22"/>
              </w:rPr>
              <w:t xml:space="preserve">1. Which healthcare professionals form the transition team for young people, and are their roles- including that of the lead healthcare professional- clearly defined? Do staff have sufficient time allocated for their specified roles? </w:t>
            </w:r>
          </w:p>
        </w:tc>
      </w:tr>
      <w:tr w:rsidTr="006C72F8">
        <w:tblPrEx>
          <w:tblW w:w="10490" w:type="dxa"/>
          <w:tblInd w:w="-714" w:type="dxa"/>
          <w:tblLook w:val="04A0"/>
        </w:tblPrEx>
        <w:tc>
          <w:tcPr>
            <w:tcW w:w="1985" w:type="dxa"/>
            <w:vMerge/>
          </w:tcPr>
          <w:p w:rsidR="00765C95" w:rsidRPr="002E2577" w:rsidP="005624CB">
            <w:pPr>
              <w:rPr>
                <w:b/>
                <w:sz w:val="20"/>
                <w:szCs w:val="20"/>
              </w:rPr>
            </w:pPr>
          </w:p>
        </w:tc>
        <w:tc>
          <w:tcPr>
            <w:tcW w:w="8505" w:type="dxa"/>
          </w:tcPr>
          <w:p w:rsidR="00765C95" w:rsidRPr="002277C5" w:rsidP="005624CB">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624CB">
            <w:pPr>
              <w:rPr>
                <w:b/>
                <w:sz w:val="20"/>
                <w:szCs w:val="20"/>
              </w:rPr>
            </w:pPr>
          </w:p>
        </w:tc>
        <w:tc>
          <w:tcPr>
            <w:tcW w:w="8505" w:type="dxa"/>
          </w:tcPr>
          <w:p w:rsidR="00765C95" w:rsidRPr="002277C5" w:rsidP="005624CB">
            <w:pPr>
              <w:rPr>
                <w:sz w:val="22"/>
                <w:szCs w:val="22"/>
              </w:rPr>
            </w:pPr>
            <w:r>
              <w:rPr>
                <w:sz w:val="22"/>
                <w:szCs w:val="22"/>
              </w:rPr>
              <w:t>2. What is the role of health and social care organisation executives in overseeing the implementation and evaluation of the transfer to adult services?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 xml:space="preserve">3. Is there any workforce data to demonstrate the required capacity to deliver an effective transition for young people at service level? To what extent </w:t>
            </w:r>
            <w:r w:rsidRPr="51BEFAB4">
              <w:rPr>
                <w:sz w:val="22"/>
                <w:szCs w:val="22"/>
              </w:rPr>
              <w:t xml:space="preserve">is </w:t>
            </w:r>
            <w:r>
              <w:rPr>
                <w:sz w:val="22"/>
                <w:szCs w:val="22"/>
              </w:rPr>
              <w:t>this currently being met?</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Effectiveness and implementation</w:t>
            </w:r>
          </w:p>
        </w:tc>
        <w:tc>
          <w:tcPr>
            <w:tcW w:w="8505" w:type="dxa"/>
          </w:tcPr>
          <w:p w:rsidR="00765C95" w:rsidP="005E7CD3">
            <w:r>
              <w:rPr>
                <w:sz w:val="22"/>
                <w:szCs w:val="22"/>
              </w:rPr>
              <w:t>1. Are existing training and education in place for staff effective in improving experiences for young people at the point of transition/transfer between services?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rPr>
                <w:sz w:val="22"/>
                <w:szCs w:val="22"/>
              </w:rPr>
              <w:t>2. How are staff trained to effectively support young people through the transition from child to adult health and social care? What is the standard training offer- is this available to all, and how is this different for staff regularly involved in transitions?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CE0263"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CE0263" w:rsidP="005E7CD3">
            <w:pPr>
              <w:rPr>
                <w:sz w:val="22"/>
                <w:szCs w:val="22"/>
              </w:rPr>
            </w:pPr>
            <w:r>
              <w:rPr>
                <w:sz w:val="22"/>
                <w:szCs w:val="22"/>
              </w:rPr>
              <w:t>3. To what extent are executives of health and social care organisations exercising their duty to champion transitions at a strategic level?</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Impact and outcomes</w:t>
            </w:r>
          </w:p>
        </w:tc>
        <w:tc>
          <w:tcPr>
            <w:tcW w:w="8505" w:type="dxa"/>
          </w:tcPr>
          <w:p w:rsidR="00765C95" w:rsidRPr="00216E08" w:rsidP="005E7CD3">
            <w:pPr>
              <w:rPr>
                <w:sz w:val="22"/>
                <w:szCs w:val="22"/>
              </w:rPr>
            </w:pPr>
            <w:r>
              <w:rPr>
                <w:sz w:val="22"/>
                <w:szCs w:val="22"/>
              </w:rPr>
              <w:t xml:space="preserve">1. What is the impact of training and education for staff on their experience, and young people’s experiences, of transitioning between child to adult services? </w:t>
            </w:r>
            <w:r w:rsidRPr="00380E11">
              <w:rPr>
                <w:sz w:val="22"/>
                <w:szCs w:val="22"/>
              </w:rPr>
              <w:t>How is this monitored?</w:t>
            </w:r>
          </w:p>
        </w:tc>
      </w:tr>
      <w:tr w:rsidTr="006C72F8">
        <w:tblPrEx>
          <w:tblW w:w="10490" w:type="dxa"/>
          <w:tblInd w:w="-714" w:type="dxa"/>
          <w:tblLook w:val="04A0"/>
        </w:tblPrEx>
        <w:trPr>
          <w:trHeight w:val="201"/>
        </w:trPr>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rPr>
                <w:sz w:val="22"/>
                <w:szCs w:val="22"/>
              </w:rPr>
              <w:t>2. Where staff are not equipped with the right skills, what is the impact on the service, and the young people it serves?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E14FCF" w:rsidP="005E7CD3">
            <w:pPr>
              <w:rPr>
                <w:sz w:val="22"/>
                <w:szCs w:val="22"/>
              </w:rPr>
            </w:pPr>
            <w:r>
              <w:rPr>
                <w:sz w:val="22"/>
                <w:szCs w:val="22"/>
              </w:rPr>
              <w:t xml:space="preserve">3. </w:t>
            </w:r>
            <w:r w:rsidRPr="00E14FCF">
              <w:rPr>
                <w:sz w:val="22"/>
                <w:szCs w:val="22"/>
              </w:rPr>
              <w:t xml:space="preserve">What is the impact of having named staff members responsible for transitions </w:t>
            </w:r>
            <w:r>
              <w:rPr>
                <w:sz w:val="22"/>
                <w:szCs w:val="22"/>
              </w:rPr>
              <w:t>–</w:t>
            </w:r>
            <w:r w:rsidRPr="00E14FCF">
              <w:rPr>
                <w:sz w:val="22"/>
                <w:szCs w:val="22"/>
              </w:rPr>
              <w:t xml:space="preserve"> </w:t>
            </w:r>
            <w:r>
              <w:rPr>
                <w:sz w:val="22"/>
                <w:szCs w:val="22"/>
              </w:rPr>
              <w:t xml:space="preserve">for example, </w:t>
            </w:r>
            <w:r w:rsidRPr="00E14FCF">
              <w:rPr>
                <w:sz w:val="22"/>
                <w:szCs w:val="22"/>
              </w:rPr>
              <w:t xml:space="preserve">a named worker for each individual, </w:t>
            </w:r>
            <w:r>
              <w:rPr>
                <w:sz w:val="22"/>
                <w:szCs w:val="22"/>
              </w:rPr>
              <w:t xml:space="preserve">a clinical lead </w:t>
            </w:r>
            <w:r w:rsidRPr="00E14FCF">
              <w:rPr>
                <w:sz w:val="22"/>
                <w:szCs w:val="22"/>
              </w:rPr>
              <w:t>and a named executive and senior manager at the organisational level?</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t>As discussed in a number of our responses, many features proposed to be beneficial were not associated with better outcomes. Named worker (key worke</w:t>
            </w:r>
            <w:r>
              <w:t>r</w:t>
            </w:r>
            <w:r>
              <w:t>) and clinical lead were two of these.</w:t>
            </w:r>
          </w:p>
          <w:p w:rsidR="00765C95" w:rsidP="005E7CD3">
            <w:r>
              <w:t>We did not examine ‘senior manager at executive level’.</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Appropriateness</w:t>
            </w:r>
          </w:p>
        </w:tc>
        <w:tc>
          <w:tcPr>
            <w:tcW w:w="8505" w:type="dxa"/>
          </w:tcPr>
          <w:p w:rsidR="00765C95" w:rsidRPr="00A646C6" w:rsidP="005E7CD3">
            <w:pPr>
              <w:rPr>
                <w:sz w:val="22"/>
                <w:szCs w:val="22"/>
              </w:rPr>
            </w:pPr>
            <w:r>
              <w:rPr>
                <w:sz w:val="22"/>
                <w:szCs w:val="22"/>
              </w:rPr>
              <w:t>1. Is the level of training and education provided to staff appropriate for the needs of young people at the point of transition?</w:t>
            </w:r>
          </w:p>
        </w:tc>
      </w:tr>
      <w:tr w:rsidTr="006C72F8">
        <w:tblPrEx>
          <w:tblW w:w="10490" w:type="dxa"/>
          <w:tblInd w:w="-714" w:type="dxa"/>
          <w:tblLook w:val="04A0"/>
        </w:tblPrEx>
        <w:tc>
          <w:tcPr>
            <w:tcW w:w="1985" w:type="dxa"/>
            <w:vMerge/>
          </w:tcPr>
          <w:p w:rsidR="00765C95" w:rsidRPr="00F42754" w:rsidP="005E7CD3">
            <w:pPr>
              <w:rPr>
                <w:b/>
                <w:sz w:val="22"/>
                <w:szCs w:val="22"/>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F42754" w:rsidP="005E7CD3">
            <w:pPr>
              <w:rPr>
                <w:b/>
                <w:sz w:val="22"/>
                <w:szCs w:val="22"/>
              </w:rPr>
            </w:pPr>
          </w:p>
        </w:tc>
        <w:tc>
          <w:tcPr>
            <w:tcW w:w="8505" w:type="dxa"/>
          </w:tcPr>
          <w:p w:rsidR="00765C95" w:rsidRPr="005D6BF5" w:rsidP="005E7CD3">
            <w:pPr>
              <w:rPr>
                <w:sz w:val="22"/>
                <w:szCs w:val="22"/>
              </w:rPr>
            </w:pPr>
            <w:r>
              <w:rPr>
                <w:sz w:val="22"/>
                <w:szCs w:val="22"/>
              </w:rPr>
              <w:t>2. Is there any</w:t>
            </w:r>
            <w:r w:rsidRPr="005D6BF5">
              <w:rPr>
                <w:sz w:val="22"/>
                <w:szCs w:val="22"/>
              </w:rPr>
              <w:t xml:space="preserve"> staff feedback on the </w:t>
            </w:r>
            <w:r>
              <w:rPr>
                <w:sz w:val="22"/>
                <w:szCs w:val="22"/>
              </w:rPr>
              <w:t>utility and suitability</w:t>
            </w:r>
            <w:r w:rsidRPr="005D6BF5">
              <w:rPr>
                <w:sz w:val="22"/>
                <w:szCs w:val="22"/>
              </w:rPr>
              <w:t xml:space="preserve"> of the training provided</w:t>
            </w:r>
            <w:r>
              <w:rPr>
                <w:sz w:val="22"/>
                <w:szCs w:val="22"/>
              </w:rPr>
              <w:t>, or data on the uptake</w:t>
            </w:r>
            <w:r w:rsidRPr="005D6BF5">
              <w:rPr>
                <w:sz w:val="22"/>
                <w:szCs w:val="22"/>
              </w:rPr>
              <w:t>?</w:t>
            </w:r>
          </w:p>
        </w:tc>
      </w:tr>
      <w:tr w:rsidTr="006C72F8">
        <w:tblPrEx>
          <w:tblW w:w="10490" w:type="dxa"/>
          <w:tblInd w:w="-714" w:type="dxa"/>
          <w:tblLook w:val="04A0"/>
        </w:tblPrEx>
        <w:tc>
          <w:tcPr>
            <w:tcW w:w="1985" w:type="dxa"/>
            <w:vMerge/>
          </w:tcPr>
          <w:p w:rsidR="00765C95" w:rsidRPr="00F42754" w:rsidP="005E7CD3">
            <w:pPr>
              <w:rPr>
                <w:b/>
                <w:sz w:val="22"/>
                <w:szCs w:val="22"/>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Equality and diversity</w:t>
            </w:r>
          </w:p>
        </w:tc>
        <w:tc>
          <w:tcPr>
            <w:tcW w:w="8505" w:type="dxa"/>
          </w:tcPr>
          <w:p w:rsidR="00765C95" w:rsidP="005E7CD3">
            <w:r>
              <w:rPr>
                <w:rFonts w:eastAsiaTheme="minorEastAsia"/>
                <w:sz w:val="22"/>
              </w:rPr>
              <w:t>1. To what extent are staff trained to deliver person-centred care for young people with additional needs, and to support their carers?</w:t>
            </w:r>
          </w:p>
        </w:tc>
      </w:tr>
      <w:tr w:rsidTr="006C72F8">
        <w:tblPrEx>
          <w:tblW w:w="10490" w:type="dxa"/>
          <w:tblInd w:w="-714" w:type="dxa"/>
          <w:tblLook w:val="04A0"/>
        </w:tblPrEx>
        <w:tc>
          <w:tcPr>
            <w:tcW w:w="1985" w:type="dxa"/>
            <w:vMerge/>
          </w:tcPr>
          <w:p w:rsidR="00765C95" w:rsidP="005E7CD3"/>
        </w:tc>
        <w:tc>
          <w:tcPr>
            <w:tcW w:w="8505" w:type="dxa"/>
          </w:tcPr>
          <w:p w:rsidR="00765C95" w:rsidRPr="002E1607" w:rsidP="005E7CD3">
            <w:pPr>
              <w:rPr>
                <w:sz w:val="22"/>
                <w:szCs w:val="22"/>
              </w:rPr>
            </w:pPr>
            <w:r>
              <w:rPr>
                <w:sz w:val="22"/>
                <w:szCs w:val="22"/>
              </w:rPr>
              <w:t>We have no information</w:t>
            </w:r>
          </w:p>
        </w:tc>
      </w:tr>
    </w:tbl>
    <w:p w:rsidR="00765C95"/>
    <w:p w:rsidR="00765C95"/>
    <w:tbl>
      <w:tblPr>
        <w:tblStyle w:val="TableGrid"/>
        <w:tblW w:w="10490" w:type="dxa"/>
        <w:tblInd w:w="-714" w:type="dxa"/>
        <w:tblLook w:val="04A0"/>
      </w:tblPr>
      <w:tblGrid>
        <w:gridCol w:w="1985"/>
        <w:gridCol w:w="8505"/>
      </w:tblGrid>
      <w:tr w:rsidTr="1A6F1BD2">
        <w:tblPrEx>
          <w:tblW w:w="10490" w:type="dxa"/>
          <w:tblInd w:w="-714" w:type="dxa"/>
          <w:tblLook w:val="04A0"/>
        </w:tblPrEx>
        <w:tc>
          <w:tcPr>
            <w:tcW w:w="10490" w:type="dxa"/>
            <w:gridSpan w:val="2"/>
          </w:tcPr>
          <w:p w:rsidR="00765C95">
            <w:pPr>
              <w:rPr>
                <w:b/>
                <w:bCs/>
              </w:rPr>
            </w:pPr>
            <w:r>
              <w:rPr>
                <w:b/>
                <w:bCs/>
              </w:rPr>
              <w:t xml:space="preserve">FOCUS AREA 5 </w:t>
            </w:r>
          </w:p>
          <w:p w:rsidR="00765C95" w:rsidRPr="0012331A" w:rsidP="005624CB">
            <w:pPr>
              <w:rPr>
                <w:b/>
                <w:bCs/>
              </w:rPr>
            </w:pPr>
            <w:r>
              <w:rPr>
                <w:b/>
                <w:bCs/>
              </w:rPr>
              <w:t xml:space="preserve">ENABLING DEVELOPMENTALLY APPROPRIATE INDEPENDENCE </w:t>
            </w:r>
          </w:p>
        </w:tc>
      </w:tr>
      <w:tr w:rsidTr="1A6F1BD2">
        <w:tblPrEx>
          <w:tblW w:w="10490" w:type="dxa"/>
          <w:tblInd w:w="-714" w:type="dxa"/>
          <w:tblLook w:val="04A0"/>
        </w:tblPrEx>
        <w:trPr>
          <w:trHeight w:val="2550"/>
        </w:trPr>
        <w:tc>
          <w:tcPr>
            <w:tcW w:w="10490" w:type="dxa"/>
            <w:gridSpan w:val="2"/>
          </w:tcPr>
          <w:p w:rsidR="00765C95" w:rsidRPr="00626444" w:rsidP="00113DCB">
            <w:pPr>
              <w:spacing w:after="120" w:line="259" w:lineRule="auto"/>
              <w:rPr>
                <w:sz w:val="22"/>
                <w:szCs w:val="22"/>
              </w:rPr>
            </w:pPr>
            <w:r w:rsidRPr="00EE21A7">
              <w:rPr>
                <w:b/>
                <w:bCs/>
                <w:sz w:val="22"/>
                <w:szCs w:val="22"/>
              </w:rPr>
              <w:t xml:space="preserve">Statement of </w:t>
            </w:r>
            <w:r w:rsidRPr="3AE0585D">
              <w:rPr>
                <w:b/>
                <w:bCs/>
                <w:sz w:val="22"/>
                <w:szCs w:val="22"/>
              </w:rPr>
              <w:t>intent</w:t>
            </w:r>
            <w:r w:rsidRPr="00EE21A7">
              <w:rPr>
                <w:b/>
                <w:bCs/>
                <w:sz w:val="22"/>
                <w:szCs w:val="22"/>
              </w:rPr>
              <w:t xml:space="preserve"> 1</w:t>
            </w:r>
            <w:r>
              <w:rPr>
                <w:sz w:val="22"/>
                <w:szCs w:val="22"/>
              </w:rPr>
              <w:t xml:space="preserve">: </w:t>
            </w:r>
            <w:r w:rsidRPr="00626444">
              <w:rPr>
                <w:sz w:val="22"/>
                <w:szCs w:val="22"/>
                <w:lang w:val="en-US"/>
              </w:rPr>
              <w:t>Service managers should ensure there are developmentally appropriate services for children, young people and adults to support transition, for example, age</w:t>
            </w:r>
            <w:r w:rsidRPr="7C547485">
              <w:rPr>
                <w:sz w:val="22"/>
                <w:szCs w:val="22"/>
                <w:lang w:val="en-US"/>
              </w:rPr>
              <w:t xml:space="preserve"> </w:t>
            </w:r>
            <w:r w:rsidRPr="00626444">
              <w:rPr>
                <w:sz w:val="22"/>
                <w:szCs w:val="22"/>
                <w:lang w:val="en-US"/>
              </w:rPr>
              <w:t>banded clinics. </w:t>
            </w:r>
            <w:r>
              <w:fldChar w:fldCharType="begin"/>
            </w:r>
            <w:r>
              <w:instrText xml:space="preserve"> HYPERLINK "https://www.nice.org.uk/guidance/ng43/chapter/Recommendations" \l "transition-planning" </w:instrText>
            </w:r>
            <w:r>
              <w:fldChar w:fldCharType="separate"/>
            </w:r>
            <w:r w:rsidRPr="7C547485">
              <w:rPr>
                <w:rStyle w:val="Hyperlink"/>
                <w:sz w:val="22"/>
                <w:szCs w:val="22"/>
                <w:lang w:val="en-US"/>
              </w:rPr>
              <w:t>NICE NG43 (1.5.11, 2016)</w:t>
            </w:r>
            <w:r>
              <w:fldChar w:fldCharType="end"/>
            </w:r>
            <w:r w:rsidRPr="7C547485">
              <w:rPr>
                <w:sz w:val="22"/>
                <w:szCs w:val="22"/>
              </w:rPr>
              <w:t> </w:t>
            </w:r>
          </w:p>
          <w:p w:rsidR="00765C95" w:rsidRPr="00113DCB" w:rsidP="00582273">
            <w:pPr>
              <w:spacing w:after="120" w:line="259" w:lineRule="auto"/>
              <w:rPr>
                <w:sz w:val="22"/>
                <w:szCs w:val="22"/>
              </w:rPr>
            </w:pPr>
            <w:r w:rsidRPr="00EE21A7">
              <w:rPr>
                <w:b/>
                <w:bCs/>
                <w:sz w:val="22"/>
                <w:szCs w:val="22"/>
              </w:rPr>
              <w:t xml:space="preserve">Statement of </w:t>
            </w:r>
            <w:r w:rsidRPr="3AE0585D">
              <w:rPr>
                <w:b/>
                <w:bCs/>
                <w:sz w:val="22"/>
                <w:szCs w:val="22"/>
              </w:rPr>
              <w:t>intent</w:t>
            </w:r>
            <w:r w:rsidRPr="00EE21A7">
              <w:rPr>
                <w:b/>
                <w:bCs/>
                <w:sz w:val="22"/>
                <w:szCs w:val="22"/>
              </w:rPr>
              <w:t xml:space="preserve"> </w:t>
            </w:r>
            <w:r>
              <w:rPr>
                <w:b/>
                <w:bCs/>
                <w:sz w:val="22"/>
                <w:szCs w:val="22"/>
              </w:rPr>
              <w:t xml:space="preserve">2: </w:t>
            </w:r>
            <w:r w:rsidRPr="00626444">
              <w:rPr>
                <w:sz w:val="22"/>
                <w:szCs w:val="22"/>
                <w:lang w:val="en-US"/>
              </w:rPr>
              <w:t>Use person-centred</w:t>
            </w:r>
            <w:r>
              <w:rPr>
                <w:sz w:val="22"/>
                <w:szCs w:val="22"/>
                <w:lang w:val="en-US"/>
              </w:rPr>
              <w:t xml:space="preserve"> </w:t>
            </w:r>
            <w:r w:rsidRPr="00626444">
              <w:rPr>
                <w:sz w:val="22"/>
                <w:szCs w:val="22"/>
                <w:lang w:val="en-US"/>
              </w:rPr>
              <w:t>approaches to ensure that transition support</w:t>
            </w:r>
            <w:r>
              <w:rPr>
                <w:sz w:val="22"/>
                <w:szCs w:val="22"/>
                <w:lang w:val="en-US"/>
              </w:rPr>
              <w:t xml:space="preserve"> </w:t>
            </w:r>
            <w:r w:rsidRPr="00626444">
              <w:rPr>
                <w:sz w:val="22"/>
                <w:szCs w:val="22"/>
                <w:lang w:val="en-US"/>
              </w:rPr>
              <w:t>addresses all relevant outcomes, including those related to education and employment, community inclusion, health and wellbeing, including emotional health, independent living and housing options. </w:t>
            </w:r>
            <w:r>
              <w:fldChar w:fldCharType="begin"/>
            </w:r>
            <w:r>
              <w:instrText xml:space="preserve"> HYPERLINK "https://www.nice.org.uk/guidance/ng43/chapter/Recommendations" \l "transition-planning" </w:instrText>
            </w:r>
            <w:r>
              <w:fldChar w:fldCharType="separate"/>
            </w:r>
            <w:r w:rsidRPr="50B1C498">
              <w:rPr>
                <w:rStyle w:val="Hyperlink"/>
                <w:sz w:val="22"/>
                <w:szCs w:val="22"/>
                <w:lang w:val="en-US"/>
              </w:rPr>
              <w:t>NICE NG43 (1.1.4)</w:t>
            </w:r>
            <w:r>
              <w:fldChar w:fldCharType="end"/>
            </w:r>
            <w:r w:rsidRPr="50B1C498">
              <w:rPr>
                <w:sz w:val="22"/>
                <w:szCs w:val="22"/>
              </w:rPr>
              <w:t> </w:t>
            </w:r>
          </w:p>
          <w:p w:rsidR="00765C95" w:rsidRPr="00113DCB" w:rsidP="00113DCB">
            <w:pPr>
              <w:spacing w:line="259" w:lineRule="auto"/>
              <w:rPr>
                <w:sz w:val="22"/>
                <w:szCs w:val="22"/>
              </w:rPr>
            </w:pPr>
            <w:r w:rsidRPr="004B7FEC">
              <w:rPr>
                <w:b/>
                <w:bCs/>
                <w:sz w:val="22"/>
                <w:szCs w:val="22"/>
              </w:rPr>
              <w:t xml:space="preserve">Statement of </w:t>
            </w:r>
            <w:r w:rsidRPr="3AE0585D">
              <w:rPr>
                <w:b/>
                <w:bCs/>
                <w:sz w:val="22"/>
                <w:szCs w:val="22"/>
              </w:rPr>
              <w:t>intent</w:t>
            </w:r>
            <w:r w:rsidRPr="004B7FEC">
              <w:rPr>
                <w:b/>
                <w:bCs/>
                <w:sz w:val="22"/>
                <w:szCs w:val="22"/>
              </w:rPr>
              <w:t xml:space="preserve"> 3</w:t>
            </w:r>
            <w:r w:rsidRPr="4F987DEC">
              <w:rPr>
                <w:sz w:val="22"/>
                <w:szCs w:val="22"/>
              </w:rPr>
              <w:t>: Local authorities are required to</w:t>
            </w:r>
            <w:r>
              <w:rPr>
                <w:sz w:val="22"/>
                <w:szCs w:val="22"/>
              </w:rPr>
              <w:t xml:space="preserve"> maintain a Pathway Plan for every eligible care leaver, setting out how the young person’s health needs- including mental health- will be met. </w:t>
            </w:r>
            <w:r>
              <w:fldChar w:fldCharType="begin"/>
            </w:r>
            <w:r>
              <w:instrText xml:space="preserve"> HYPERLINK "https://www.legislation.gov.uk/ukpga/1989/41/contents" </w:instrText>
            </w:r>
            <w:r>
              <w:fldChar w:fldCharType="separate"/>
            </w:r>
            <w:r w:rsidRPr="3AE0585D">
              <w:rPr>
                <w:rStyle w:val="Hyperlink"/>
                <w:sz w:val="22"/>
                <w:szCs w:val="22"/>
              </w:rPr>
              <w:t>Children Act 1989</w:t>
            </w:r>
            <w:r>
              <w:fldChar w:fldCharType="end"/>
            </w:r>
            <w:r w:rsidRPr="3AE0585D">
              <w:rPr>
                <w:sz w:val="22"/>
                <w:szCs w:val="22"/>
              </w:rPr>
              <w:t xml:space="preserve"> as amended by the </w:t>
            </w:r>
            <w:r>
              <w:fldChar w:fldCharType="begin"/>
            </w:r>
            <w:r>
              <w:instrText xml:space="preserve"> HYPERLINK "https://www.legislation.gov.uk/ukpga/2000/35/contents" </w:instrText>
            </w:r>
            <w:r>
              <w:fldChar w:fldCharType="separate"/>
            </w:r>
            <w:r w:rsidRPr="3AE0585D">
              <w:rPr>
                <w:rStyle w:val="Hyperlink"/>
                <w:sz w:val="22"/>
                <w:szCs w:val="22"/>
              </w:rPr>
              <w:t>Children (Leaving Care) Act 2000</w:t>
            </w:r>
            <w:r>
              <w:fldChar w:fldCharType="end"/>
            </w:r>
            <w:r w:rsidRPr="3AE0585D">
              <w:rPr>
                <w:sz w:val="22"/>
                <w:szCs w:val="22"/>
              </w:rPr>
              <w:t>.</w:t>
            </w:r>
          </w:p>
        </w:tc>
      </w:tr>
      <w:tr w:rsidTr="006C72F8">
        <w:tblPrEx>
          <w:tblW w:w="10490" w:type="dxa"/>
          <w:tblInd w:w="-714" w:type="dxa"/>
          <w:tblLook w:val="04A0"/>
        </w:tblPrEx>
        <w:tc>
          <w:tcPr>
            <w:tcW w:w="1985" w:type="dxa"/>
            <w:vMerge w:val="restart"/>
          </w:tcPr>
          <w:p w:rsidR="00765C95" w:rsidRPr="002E2577" w:rsidP="005624CB">
            <w:pPr>
              <w:rPr>
                <w:b/>
                <w:sz w:val="20"/>
                <w:szCs w:val="20"/>
              </w:rPr>
            </w:pPr>
            <w:r w:rsidRPr="002E2577">
              <w:rPr>
                <w:b/>
                <w:sz w:val="20"/>
                <w:szCs w:val="20"/>
              </w:rPr>
              <w:t>Resourcing</w:t>
            </w:r>
          </w:p>
        </w:tc>
        <w:tc>
          <w:tcPr>
            <w:tcW w:w="8505" w:type="dxa"/>
          </w:tcPr>
          <w:p w:rsidR="00765C95" w:rsidRPr="002277C5" w:rsidP="005624CB">
            <w:pPr>
              <w:rPr>
                <w:sz w:val="22"/>
                <w:szCs w:val="22"/>
              </w:rPr>
            </w:pPr>
            <w:r>
              <w:rPr>
                <w:sz w:val="22"/>
                <w:szCs w:val="22"/>
              </w:rPr>
              <w:t>1. Are services sufficiently resourced to offer developmentally appropriate provisions, such as age-banded services, and how is this monitored?</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 xml:space="preserve">2. Are services sufficiently resourced to assess need and provide support for the cross-sector outcomes listed in </w:t>
            </w:r>
            <w:r>
              <w:fldChar w:fldCharType="begin"/>
            </w:r>
            <w:r>
              <w:instrText xml:space="preserve"> HYPERLINK "https://www.nice.org.uk/guidance/ng43/chapter/Recommendations" \l "transition-planning" \t "_blank" </w:instrText>
            </w:r>
            <w:r>
              <w:fldChar w:fldCharType="separate"/>
            </w:r>
            <w:r w:rsidRPr="00626444">
              <w:rPr>
                <w:rStyle w:val="Hyperlink"/>
                <w:sz w:val="22"/>
                <w:szCs w:val="22"/>
                <w:lang w:val="en-US"/>
              </w:rPr>
              <w:t>NICE NG43 (1.1.4)</w:t>
            </w:r>
            <w:r>
              <w:fldChar w:fldCharType="end"/>
            </w:r>
            <w:r>
              <w:t>?</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Effectiveness and implementation</w:t>
            </w:r>
          </w:p>
        </w:tc>
        <w:tc>
          <w:tcPr>
            <w:tcW w:w="8505" w:type="dxa"/>
          </w:tcPr>
          <w:p w:rsidR="00765C95" w:rsidP="005E7CD3">
            <w:pPr>
              <w:rPr>
                <w:sz w:val="22"/>
                <w:szCs w:val="22"/>
              </w:rPr>
            </w:pPr>
            <w:r>
              <w:rPr>
                <w:sz w:val="22"/>
                <w:szCs w:val="22"/>
              </w:rPr>
              <w:t xml:space="preserve">1. What methods </w:t>
            </w:r>
            <w:r w:rsidRPr="437DD5FA">
              <w:rPr>
                <w:sz w:val="22"/>
                <w:szCs w:val="22"/>
              </w:rPr>
              <w:t>of delivering</w:t>
            </w:r>
            <w:r>
              <w:rPr>
                <w:sz w:val="22"/>
                <w:szCs w:val="22"/>
              </w:rPr>
              <w:t xml:space="preserve"> person-centred transition support </w:t>
            </w:r>
            <w:r w:rsidRPr="437DD5FA">
              <w:rPr>
                <w:sz w:val="22"/>
                <w:szCs w:val="22"/>
              </w:rPr>
              <w:t xml:space="preserve">have </w:t>
            </w:r>
            <w:r>
              <w:rPr>
                <w:sz w:val="22"/>
                <w:szCs w:val="22"/>
              </w:rPr>
              <w:t xml:space="preserve">been </w:t>
            </w:r>
            <w:r w:rsidRPr="437DD5FA">
              <w:rPr>
                <w:sz w:val="22"/>
                <w:szCs w:val="22"/>
              </w:rPr>
              <w:t xml:space="preserve">effective in improving outcomes </w:t>
            </w:r>
            <w:r>
              <w:rPr>
                <w:sz w:val="22"/>
                <w:szCs w:val="22"/>
              </w:rPr>
              <w:t xml:space="preserve">across </w:t>
            </w:r>
            <w:r w:rsidRPr="437DD5FA">
              <w:rPr>
                <w:sz w:val="22"/>
                <w:szCs w:val="22"/>
              </w:rPr>
              <w:t>the</w:t>
            </w:r>
            <w:r>
              <w:rPr>
                <w:sz w:val="22"/>
                <w:szCs w:val="22"/>
              </w:rPr>
              <w:t xml:space="preserve"> areas listed in statement of </w:t>
            </w:r>
            <w:r w:rsidRPr="1A6F1BD2">
              <w:rPr>
                <w:sz w:val="22"/>
                <w:szCs w:val="22"/>
              </w:rPr>
              <w:t>intent 2?</w:t>
            </w:r>
            <w:r>
              <w:rPr>
                <w:sz w:val="22"/>
                <w:szCs w:val="22"/>
              </w:rPr>
              <w:t xml:space="preserve"> Are there any methods that have been ineffective and have been discontinued as a result?</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RPr="00D54DC2" w:rsidP="007D335D">
            <w:pPr>
              <w:rPr>
                <w:highlight w:val="yellow"/>
              </w:rPr>
            </w:pPr>
            <w:r>
              <w:rPr>
                <w:sz w:val="22"/>
                <w:szCs w:val="22"/>
              </w:rPr>
              <w:t>We have no information</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P="007D335D">
            <w:pPr>
              <w:rPr>
                <w:sz w:val="22"/>
                <w:szCs w:val="22"/>
              </w:rPr>
            </w:pPr>
            <w:r>
              <w:rPr>
                <w:sz w:val="22"/>
                <w:szCs w:val="22"/>
              </w:rPr>
              <w:t xml:space="preserve">2. </w:t>
            </w:r>
            <w:r w:rsidRPr="519D140D">
              <w:rPr>
                <w:sz w:val="22"/>
                <w:szCs w:val="22"/>
              </w:rPr>
              <w:t xml:space="preserve">What methods of service design and delivery have been </w:t>
            </w:r>
            <w:r>
              <w:rPr>
                <w:sz w:val="22"/>
                <w:szCs w:val="22"/>
              </w:rPr>
              <w:t>effective</w:t>
            </w:r>
            <w:r w:rsidRPr="519D140D">
              <w:rPr>
                <w:sz w:val="22"/>
                <w:szCs w:val="22"/>
              </w:rPr>
              <w:t xml:space="preserve"> in ensuring that transition provision is developmentally appropriate, including being responsive to young people’s developmental stage, maturity and readiness for independence?</w:t>
            </w:r>
            <w:r>
              <w:rPr>
                <w:sz w:val="22"/>
                <w:szCs w:val="22"/>
              </w:rPr>
              <w:t xml:space="preserve"> Are there any particular methods of service design which have been ineffective and discontinued?</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RPr="00BE41E4" w:rsidP="007D335D">
            <w:r w:rsidRPr="00BE41E4">
              <w:t xml:space="preserve">One of our studies was an ethnographic study that examined the barriers and facilitators to introducing Developmentally Appropriate Healthcare. One cannot rely on informal networks of enthusiasts. Rather, an organisation-wide approach is required across adult and child services; Trusts with a </w:t>
            </w:r>
            <w:r>
              <w:t xml:space="preserve">Trustwide </w:t>
            </w:r>
            <w:r w:rsidRPr="00BE41E4">
              <w:t>Transition Coordinator were far more effective in introducing Developmentally Appropriate Healthcare.</w:t>
            </w:r>
          </w:p>
        </w:tc>
      </w:tr>
      <w:tr w:rsidTr="006C72F8">
        <w:tblPrEx>
          <w:tblW w:w="10490" w:type="dxa"/>
          <w:tblInd w:w="-714" w:type="dxa"/>
          <w:tblLook w:val="04A0"/>
        </w:tblPrEx>
        <w:trPr>
          <w:trHeight w:val="765"/>
        </w:trPr>
        <w:tc>
          <w:tcPr>
            <w:tcW w:w="1985" w:type="dxa"/>
            <w:vMerge/>
          </w:tcPr>
          <w:p w:rsidR="00765C95" w:rsidRPr="002E2577" w:rsidP="007D335D">
            <w:pPr>
              <w:rPr>
                <w:sz w:val="20"/>
                <w:szCs w:val="20"/>
              </w:rPr>
            </w:pPr>
          </w:p>
        </w:tc>
        <w:tc>
          <w:tcPr>
            <w:tcW w:w="8505" w:type="dxa"/>
          </w:tcPr>
          <w:p w:rsidR="00765C95" w:rsidP="007D335D">
            <w:pPr>
              <w:rPr>
                <w:sz w:val="22"/>
                <w:szCs w:val="22"/>
              </w:rPr>
            </w:pPr>
            <w:r>
              <w:rPr>
                <w:sz w:val="22"/>
                <w:szCs w:val="22"/>
              </w:rPr>
              <w:t xml:space="preserve">3. </w:t>
            </w:r>
            <w:r w:rsidRPr="000A525B">
              <w:rPr>
                <w:sz w:val="22"/>
                <w:szCs w:val="22"/>
              </w:rPr>
              <w:t xml:space="preserve">To what extent are local authorities fulfilling their duty to provide ‘Pathway Plans’ for children in care as they approach adulthood, in accordance with the </w:t>
            </w:r>
            <w:r>
              <w:fldChar w:fldCharType="begin"/>
            </w:r>
            <w:r>
              <w:instrText xml:space="preserve"> HYPERLINK "https://www.legislation.gov.uk/uksi/2010/2571/made" </w:instrText>
            </w:r>
            <w:r>
              <w:fldChar w:fldCharType="separate"/>
            </w:r>
            <w:r w:rsidRPr="008551F2">
              <w:rPr>
                <w:rStyle w:val="Hyperlink"/>
                <w:sz w:val="22"/>
                <w:szCs w:val="22"/>
              </w:rPr>
              <w:t>Care Leavers (England) Regulations 2010</w:t>
            </w:r>
            <w:r>
              <w:fldChar w:fldCharType="end"/>
            </w:r>
            <w:r w:rsidRPr="000A525B">
              <w:rPr>
                <w:sz w:val="22"/>
                <w:szCs w:val="22"/>
              </w:rPr>
              <w:t>?</w:t>
            </w:r>
            <w:r>
              <w:rPr>
                <w:sz w:val="22"/>
                <w:szCs w:val="22"/>
              </w:rPr>
              <w:t xml:space="preserve"> How is this monitored?</w:t>
            </w:r>
          </w:p>
        </w:tc>
      </w:tr>
      <w:tr w:rsidTr="006C72F8">
        <w:tblPrEx>
          <w:tblW w:w="10490" w:type="dxa"/>
          <w:tblInd w:w="-714" w:type="dxa"/>
          <w:tblLook w:val="04A0"/>
        </w:tblPrEx>
        <w:trPr>
          <w:trHeight w:val="300"/>
        </w:trPr>
        <w:tc>
          <w:tcPr>
            <w:tcW w:w="1985" w:type="dxa"/>
            <w:vMerge/>
          </w:tcPr>
          <w:p w:rsidR="00765C95" w:rsidRPr="002E2577" w:rsidP="007D335D">
            <w:pPr>
              <w:rPr>
                <w:sz w:val="20"/>
                <w:szCs w:val="20"/>
              </w:rPr>
            </w:pPr>
          </w:p>
        </w:tc>
        <w:tc>
          <w:tcPr>
            <w:tcW w:w="8505" w:type="dxa"/>
          </w:tcPr>
          <w:p w:rsidR="00765C95" w:rsidRPr="000A525B" w:rsidP="007D335D">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7D335D">
            <w:pPr>
              <w:rPr>
                <w:b/>
                <w:sz w:val="20"/>
                <w:szCs w:val="20"/>
              </w:rPr>
            </w:pPr>
            <w:r w:rsidRPr="002E2577">
              <w:rPr>
                <w:b/>
                <w:sz w:val="20"/>
                <w:szCs w:val="20"/>
              </w:rPr>
              <w:t>Impact and outcomes</w:t>
            </w:r>
          </w:p>
        </w:tc>
        <w:tc>
          <w:tcPr>
            <w:tcW w:w="8505" w:type="dxa"/>
          </w:tcPr>
          <w:p w:rsidR="00765C95" w:rsidRPr="00216E08" w:rsidP="007D335D">
            <w:pPr>
              <w:rPr>
                <w:sz w:val="22"/>
                <w:szCs w:val="22"/>
              </w:rPr>
            </w:pPr>
            <w:r>
              <w:rPr>
                <w:sz w:val="22"/>
                <w:szCs w:val="22"/>
              </w:rPr>
              <w:t xml:space="preserve">1. </w:t>
            </w:r>
            <w:r w:rsidRPr="37D0B205">
              <w:rPr>
                <w:sz w:val="22"/>
                <w:szCs w:val="22"/>
              </w:rPr>
              <w:t>What evidence is there that developmentally appropriate transition support improves</w:t>
            </w:r>
            <w:r>
              <w:rPr>
                <w:sz w:val="22"/>
                <w:szCs w:val="22"/>
              </w:rPr>
              <w:t xml:space="preserve"> safety and</w:t>
            </w:r>
            <w:r w:rsidRPr="37D0B205">
              <w:rPr>
                <w:sz w:val="22"/>
                <w:szCs w:val="22"/>
              </w:rPr>
              <w:t xml:space="preserve"> independence-related outcome</w:t>
            </w:r>
            <w:r>
              <w:rPr>
                <w:sz w:val="22"/>
                <w:szCs w:val="22"/>
              </w:rPr>
              <w:t xml:space="preserve">s </w:t>
            </w:r>
            <w:r w:rsidRPr="37D0B205">
              <w:rPr>
                <w:sz w:val="22"/>
                <w:szCs w:val="22"/>
              </w:rPr>
              <w:t>after entry to adult services?</w:t>
            </w:r>
          </w:p>
        </w:tc>
      </w:tr>
      <w:tr w:rsidTr="006C72F8">
        <w:tblPrEx>
          <w:tblW w:w="10490" w:type="dxa"/>
          <w:tblInd w:w="-714" w:type="dxa"/>
          <w:tblLook w:val="04A0"/>
        </w:tblPrEx>
        <w:trPr>
          <w:trHeight w:val="201"/>
        </w:trPr>
        <w:tc>
          <w:tcPr>
            <w:tcW w:w="1985" w:type="dxa"/>
            <w:vMerge/>
          </w:tcPr>
          <w:p w:rsidR="00765C95" w:rsidRPr="002E2577" w:rsidP="007D335D">
            <w:pPr>
              <w:rPr>
                <w:b/>
                <w:sz w:val="20"/>
                <w:szCs w:val="20"/>
              </w:rPr>
            </w:pPr>
          </w:p>
        </w:tc>
        <w:tc>
          <w:tcPr>
            <w:tcW w:w="8505" w:type="dxa"/>
          </w:tcPr>
          <w:p w:rsidR="00765C95" w:rsidP="007D335D">
            <w:r>
              <w:t xml:space="preserve">‘Developmentally appropriate healthcare’ has face validity whether applied for example to children, adolescence or the elderly. As such care has many elements, its practitioners need </w:t>
            </w:r>
            <w:r>
              <w:t xml:space="preserve">to learn </w:t>
            </w:r>
            <w:r>
              <w:t>an approach rather than thinking I must do this or that. However, some of the components of developmentally health care are included in our study. ‘Promotion of health self-efficacy’, ‘</w:t>
            </w:r>
            <w:r>
              <w:t>E</w:t>
            </w:r>
            <w:r>
              <w:t>ngaging with parents appropriately and in a manner with which the young person agrees’ are important features of developmentally appropriate healthcare and were evaluated in our study and</w:t>
            </w:r>
            <w:r>
              <w:t>,</w:t>
            </w:r>
            <w:r>
              <w:t xml:space="preserve"> as mentioned earlier</w:t>
            </w:r>
            <w:r>
              <w:t>,</w:t>
            </w:r>
            <w:r>
              <w:t xml:space="preserve"> improved outcomes.</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P="007D335D">
            <w:r>
              <w:rPr>
                <w:sz w:val="22"/>
                <w:szCs w:val="22"/>
              </w:rPr>
              <w:t xml:space="preserve">2. Across education and employment, community inclusion, health and wellbeing, independent living and housing options, are there areas which require more or better guidance to enable effective transition? </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RPr="00216E08" w:rsidP="007D335D">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P="007D335D">
            <w:r>
              <w:rPr>
                <w:sz w:val="22"/>
                <w:szCs w:val="22"/>
              </w:rPr>
              <w:t xml:space="preserve">3. </w:t>
            </w:r>
            <w:r w:rsidRPr="007516B4">
              <w:rPr>
                <w:sz w:val="22"/>
                <w:szCs w:val="22"/>
              </w:rPr>
              <w:t xml:space="preserve">What evidence is there that the use of </w:t>
            </w:r>
            <w:r>
              <w:rPr>
                <w:sz w:val="22"/>
                <w:szCs w:val="22"/>
              </w:rPr>
              <w:t>‘</w:t>
            </w:r>
            <w:r w:rsidRPr="007516B4">
              <w:rPr>
                <w:sz w:val="22"/>
                <w:szCs w:val="22"/>
              </w:rPr>
              <w:t>Pathway Plans</w:t>
            </w:r>
            <w:r>
              <w:rPr>
                <w:sz w:val="22"/>
                <w:szCs w:val="22"/>
              </w:rPr>
              <w:t>’</w:t>
            </w:r>
            <w:r w:rsidRPr="007516B4">
              <w:rPr>
                <w:sz w:val="22"/>
                <w:szCs w:val="22"/>
              </w:rPr>
              <w:t xml:space="preserve"> improves care leavers' access to appropriate health and mental health support and contributes to better outcomes in adult life?</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P="007D335D">
            <w:pPr>
              <w:rPr>
                <w:rStyle w:val="CommentReference"/>
                <w:sz w:val="24"/>
                <w:szCs w:val="24"/>
              </w:rPr>
            </w:pPr>
            <w:r>
              <w:t>We found that only three features of transitional healthcare were associated with improved outcomes: ‘appropriate parent involvement’, ‘promotion of young people's confidence in managing their health (health self-efficacy)’ and ‘meeting the adult team before transfer’. These should be maintained or introduced as a priority. Other features studied were</w:t>
            </w:r>
            <w:r w:rsidRPr="00D640B4">
              <w:t xml:space="preserve"> ‘coordinated team’, ‘age-banded clinic’, ‘holistic life-skills training’, ‘written transition plan</w:t>
            </w:r>
            <w:r>
              <w:t xml:space="preserve"> (pathway plan)’</w:t>
            </w:r>
            <w:r w:rsidRPr="00D640B4">
              <w:t>’, ‘key worker’ and ‘transition manager for clinical team’. Th</w:t>
            </w:r>
            <w:r>
              <w:t>ese were not associated with better outcomes.</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P="007D335D">
            <w:pPr>
              <w:rPr>
                <w:rStyle w:val="CommentReference"/>
                <w:sz w:val="24"/>
                <w:szCs w:val="24"/>
              </w:rPr>
            </w:pPr>
            <w:r>
              <w:rPr>
                <w:sz w:val="22"/>
                <w:szCs w:val="22"/>
              </w:rPr>
              <w:t xml:space="preserve">4. </w:t>
            </w:r>
            <w:r w:rsidRPr="00361B25">
              <w:rPr>
                <w:sz w:val="22"/>
                <w:szCs w:val="22"/>
              </w:rPr>
              <w:t>What are the consequences when transition support is absent or inconsistent?</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RPr="00361B25" w:rsidP="007D335D">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7D335D">
            <w:pPr>
              <w:rPr>
                <w:b/>
                <w:sz w:val="20"/>
                <w:szCs w:val="20"/>
              </w:rPr>
            </w:pPr>
            <w:r w:rsidRPr="002E2577">
              <w:rPr>
                <w:b/>
                <w:sz w:val="20"/>
                <w:szCs w:val="20"/>
              </w:rPr>
              <w:t>Appropriateness</w:t>
            </w:r>
          </w:p>
        </w:tc>
        <w:tc>
          <w:tcPr>
            <w:tcW w:w="8505" w:type="dxa"/>
          </w:tcPr>
          <w:p w:rsidR="00765C95" w:rsidRPr="00A646C6" w:rsidP="007D335D">
            <w:pPr>
              <w:rPr>
                <w:sz w:val="22"/>
                <w:szCs w:val="22"/>
              </w:rPr>
            </w:pPr>
            <w:r>
              <w:rPr>
                <w:sz w:val="22"/>
                <w:szCs w:val="22"/>
              </w:rPr>
              <w:t xml:space="preserve">1. </w:t>
            </w:r>
            <w:r w:rsidRPr="00DC266A">
              <w:rPr>
                <w:sz w:val="22"/>
                <w:szCs w:val="22"/>
              </w:rPr>
              <w:t>How far are current approaches to promoting independence tailored to developmental stage and individual circumstances</w:t>
            </w:r>
            <w:r>
              <w:rPr>
                <w:sz w:val="22"/>
                <w:szCs w:val="22"/>
              </w:rPr>
              <w:t xml:space="preserve">, compared to </w:t>
            </w:r>
            <w:r w:rsidRPr="00DC266A">
              <w:rPr>
                <w:sz w:val="22"/>
                <w:szCs w:val="22"/>
              </w:rPr>
              <w:t>standard age-based assumptions</w:t>
            </w:r>
            <w:r>
              <w:rPr>
                <w:sz w:val="22"/>
                <w:szCs w:val="22"/>
              </w:rPr>
              <w:t>?</w:t>
            </w:r>
          </w:p>
        </w:tc>
      </w:tr>
      <w:tr w:rsidTr="006C72F8">
        <w:tblPrEx>
          <w:tblW w:w="10490" w:type="dxa"/>
          <w:tblInd w:w="-714" w:type="dxa"/>
          <w:tblLook w:val="04A0"/>
        </w:tblPrEx>
        <w:tc>
          <w:tcPr>
            <w:tcW w:w="1985" w:type="dxa"/>
            <w:vMerge/>
          </w:tcPr>
          <w:p w:rsidR="00765C95" w:rsidRPr="002E2577" w:rsidP="007D335D">
            <w:pPr>
              <w:rPr>
                <w:b/>
                <w:sz w:val="20"/>
                <w:szCs w:val="20"/>
              </w:rPr>
            </w:pPr>
          </w:p>
        </w:tc>
        <w:tc>
          <w:tcPr>
            <w:tcW w:w="8505" w:type="dxa"/>
          </w:tcPr>
          <w:p w:rsidR="00765C95" w:rsidP="007D335D">
            <w:r>
              <w:t>We have no information</w:t>
            </w:r>
          </w:p>
        </w:tc>
      </w:tr>
      <w:tr w:rsidTr="006C72F8">
        <w:tblPrEx>
          <w:tblW w:w="10490" w:type="dxa"/>
          <w:tblInd w:w="-714" w:type="dxa"/>
          <w:tblLook w:val="04A0"/>
        </w:tblPrEx>
        <w:trPr>
          <w:trHeight w:val="300"/>
        </w:trPr>
        <w:tc>
          <w:tcPr>
            <w:tcW w:w="1985" w:type="dxa"/>
            <w:vMerge/>
          </w:tcPr>
          <w:p w:rsidR="00765C95" w:rsidRPr="002E2577" w:rsidP="007D335D">
            <w:pPr>
              <w:rPr>
                <w:b/>
                <w:bCs/>
                <w:sz w:val="20"/>
                <w:szCs w:val="20"/>
              </w:rPr>
            </w:pPr>
          </w:p>
        </w:tc>
        <w:tc>
          <w:tcPr>
            <w:tcW w:w="8505" w:type="dxa"/>
          </w:tcPr>
          <w:p w:rsidR="00765C95" w:rsidRPr="00361B25" w:rsidP="007D335D">
            <w:pPr>
              <w:rPr>
                <w:sz w:val="22"/>
                <w:szCs w:val="22"/>
              </w:rPr>
            </w:pPr>
            <w:r>
              <w:rPr>
                <w:sz w:val="22"/>
                <w:szCs w:val="22"/>
              </w:rPr>
              <w:t xml:space="preserve">2. </w:t>
            </w:r>
            <w:r w:rsidRPr="00361B25">
              <w:rPr>
                <w:sz w:val="22"/>
                <w:szCs w:val="22"/>
              </w:rPr>
              <w:t xml:space="preserve">How is the model of independence </w:t>
            </w:r>
            <w:r>
              <w:rPr>
                <w:sz w:val="22"/>
                <w:szCs w:val="22"/>
              </w:rPr>
              <w:t>appropriately adapted for</w:t>
            </w:r>
            <w:r w:rsidRPr="00361B25">
              <w:rPr>
                <w:sz w:val="22"/>
                <w:szCs w:val="22"/>
              </w:rPr>
              <w:t xml:space="preserve"> young people who will continue to require substantial support in adult life?</w:t>
            </w:r>
          </w:p>
        </w:tc>
      </w:tr>
      <w:tr w:rsidTr="006C72F8">
        <w:tblPrEx>
          <w:tblW w:w="10490" w:type="dxa"/>
          <w:tblInd w:w="-714" w:type="dxa"/>
          <w:tblLook w:val="04A0"/>
        </w:tblPrEx>
        <w:trPr>
          <w:trHeight w:val="300"/>
        </w:trPr>
        <w:tc>
          <w:tcPr>
            <w:tcW w:w="1985" w:type="dxa"/>
            <w:vMerge/>
          </w:tcPr>
          <w:p w:rsidR="00765C95" w:rsidRPr="002E2577" w:rsidP="007D335D">
            <w:pPr>
              <w:rPr>
                <w:b/>
                <w:bCs/>
                <w:sz w:val="20"/>
                <w:szCs w:val="20"/>
              </w:rPr>
            </w:pPr>
          </w:p>
        </w:tc>
        <w:tc>
          <w:tcPr>
            <w:tcW w:w="8505" w:type="dxa"/>
          </w:tcPr>
          <w:p w:rsidR="00765C95" w:rsidRPr="00BE41E4" w:rsidP="007D335D">
            <w:r w:rsidRPr="00BE41E4">
              <w:t>This should be covered by ensuring all staff are trained to deliver ‘developmentally appropriate health care’ and that both child and adult commissioners commission for this.</w:t>
            </w:r>
          </w:p>
        </w:tc>
      </w:tr>
      <w:tr w:rsidTr="006C72F8">
        <w:tblPrEx>
          <w:tblW w:w="10490" w:type="dxa"/>
          <w:tblInd w:w="-714" w:type="dxa"/>
          <w:tblLook w:val="04A0"/>
        </w:tblPrEx>
        <w:tc>
          <w:tcPr>
            <w:tcW w:w="1985" w:type="dxa"/>
            <w:vMerge w:val="restart"/>
          </w:tcPr>
          <w:p w:rsidR="00765C95" w:rsidRPr="002E2577" w:rsidP="007D335D">
            <w:pPr>
              <w:rPr>
                <w:b/>
                <w:sz w:val="20"/>
                <w:szCs w:val="20"/>
              </w:rPr>
            </w:pPr>
            <w:r w:rsidRPr="002E2577">
              <w:rPr>
                <w:b/>
                <w:sz w:val="20"/>
                <w:szCs w:val="20"/>
              </w:rPr>
              <w:t>Equality and diversity</w:t>
            </w:r>
          </w:p>
        </w:tc>
        <w:tc>
          <w:tcPr>
            <w:tcW w:w="8505" w:type="dxa"/>
          </w:tcPr>
          <w:p w:rsidR="00765C95" w:rsidP="007D335D">
            <w:pPr>
              <w:rPr>
                <w:sz w:val="22"/>
                <w:szCs w:val="22"/>
              </w:rPr>
            </w:pPr>
            <w:r>
              <w:rPr>
                <w:sz w:val="22"/>
                <w:szCs w:val="22"/>
              </w:rPr>
              <w:t xml:space="preserve">1. </w:t>
            </w:r>
            <w:r w:rsidRPr="00B0648A">
              <w:rPr>
                <w:sz w:val="22"/>
                <w:szCs w:val="22"/>
              </w:rPr>
              <w:t xml:space="preserve">How far do services adapt support for independence to the differing needs and circumstances of distinct groups of </w:t>
            </w:r>
            <w:r>
              <w:rPr>
                <w:sz w:val="22"/>
                <w:szCs w:val="22"/>
              </w:rPr>
              <w:t xml:space="preserve">young people? </w:t>
            </w:r>
          </w:p>
        </w:tc>
      </w:tr>
      <w:tr w:rsidTr="006C72F8">
        <w:tblPrEx>
          <w:tblW w:w="10490" w:type="dxa"/>
          <w:tblInd w:w="-714" w:type="dxa"/>
          <w:tblLook w:val="04A0"/>
        </w:tblPrEx>
        <w:tc>
          <w:tcPr>
            <w:tcW w:w="1985" w:type="dxa"/>
            <w:vMerge/>
          </w:tcPr>
          <w:p w:rsidR="00765C95" w:rsidP="007D335D"/>
        </w:tc>
        <w:tc>
          <w:tcPr>
            <w:tcW w:w="8505" w:type="dxa"/>
          </w:tcPr>
          <w:p w:rsidR="00765C95" w:rsidRPr="002E1607" w:rsidP="007D335D">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P="007D335D"/>
        </w:tc>
        <w:tc>
          <w:tcPr>
            <w:tcW w:w="8505" w:type="dxa"/>
          </w:tcPr>
          <w:p w:rsidR="00765C95" w:rsidRPr="00AC1E9B" w:rsidP="007D335D">
            <w:pPr>
              <w:rPr>
                <w:sz w:val="22"/>
                <w:szCs w:val="22"/>
              </w:rPr>
            </w:pPr>
            <w:r>
              <w:rPr>
                <w:sz w:val="22"/>
                <w:szCs w:val="22"/>
              </w:rPr>
              <w:t xml:space="preserve">2. </w:t>
            </w:r>
            <w:r w:rsidRPr="00AC1E9B">
              <w:rPr>
                <w:sz w:val="22"/>
                <w:szCs w:val="22"/>
              </w:rPr>
              <w:t>What evidence is there that some groups are less likely to receive appropriate or sufficiently ambitious support for independence, and why?</w:t>
            </w:r>
          </w:p>
        </w:tc>
      </w:tr>
      <w:tr w:rsidTr="006C72F8">
        <w:tblPrEx>
          <w:tblW w:w="10490" w:type="dxa"/>
          <w:tblInd w:w="-714" w:type="dxa"/>
          <w:tblLook w:val="04A0"/>
        </w:tblPrEx>
        <w:tc>
          <w:tcPr>
            <w:tcW w:w="1985" w:type="dxa"/>
            <w:vMerge/>
          </w:tcPr>
          <w:p w:rsidR="00765C95" w:rsidP="007D335D"/>
        </w:tc>
        <w:tc>
          <w:tcPr>
            <w:tcW w:w="8505" w:type="dxa"/>
          </w:tcPr>
          <w:p w:rsidR="00765C95" w:rsidRPr="002E1607" w:rsidP="007D335D">
            <w:pPr>
              <w:rPr>
                <w:sz w:val="22"/>
                <w:szCs w:val="22"/>
              </w:rPr>
            </w:pPr>
            <w:r>
              <w:rPr>
                <w:sz w:val="22"/>
                <w:szCs w:val="22"/>
              </w:rPr>
              <w:t>We have no information</w:t>
            </w:r>
          </w:p>
        </w:tc>
      </w:tr>
    </w:tbl>
    <w:p w:rsidR="00765C95"/>
    <w:p w:rsidR="00765C95"/>
    <w:tbl>
      <w:tblPr>
        <w:tblStyle w:val="TableGrid"/>
        <w:tblW w:w="10490" w:type="dxa"/>
        <w:tblInd w:w="-714" w:type="dxa"/>
        <w:tblLook w:val="04A0"/>
      </w:tblPr>
      <w:tblGrid>
        <w:gridCol w:w="1985"/>
        <w:gridCol w:w="8505"/>
      </w:tblGrid>
      <w:tr w:rsidTr="39258F6B">
        <w:tblPrEx>
          <w:tblW w:w="10490" w:type="dxa"/>
          <w:tblInd w:w="-714" w:type="dxa"/>
          <w:tblLook w:val="04A0"/>
        </w:tblPrEx>
        <w:tc>
          <w:tcPr>
            <w:tcW w:w="10490" w:type="dxa"/>
            <w:gridSpan w:val="2"/>
          </w:tcPr>
          <w:p w:rsidR="00765C95">
            <w:pPr>
              <w:rPr>
                <w:b/>
                <w:bCs/>
              </w:rPr>
            </w:pPr>
            <w:r>
              <w:rPr>
                <w:b/>
                <w:bCs/>
              </w:rPr>
              <w:t xml:space="preserve">FOCUS AREA 6 </w:t>
            </w:r>
          </w:p>
          <w:p w:rsidR="00765C95" w:rsidRPr="0012331A" w:rsidP="005624CB">
            <w:pPr>
              <w:rPr>
                <w:b/>
                <w:bCs/>
              </w:rPr>
            </w:pPr>
            <w:r>
              <w:rPr>
                <w:b/>
                <w:bCs/>
              </w:rPr>
              <w:t>PROMOTING EQUITY ACROSS THE TRANSITION</w:t>
            </w:r>
          </w:p>
        </w:tc>
      </w:tr>
      <w:tr w:rsidTr="39258F6B">
        <w:tblPrEx>
          <w:tblW w:w="10490" w:type="dxa"/>
          <w:tblInd w:w="-714" w:type="dxa"/>
          <w:tblLook w:val="04A0"/>
        </w:tblPrEx>
        <w:tc>
          <w:tcPr>
            <w:tcW w:w="10490" w:type="dxa"/>
            <w:gridSpan w:val="2"/>
          </w:tcPr>
          <w:p w:rsidR="00765C95" w:rsidRPr="00BF6D79" w:rsidP="00F10BB3">
            <w:pPr>
              <w:spacing w:after="120" w:line="259" w:lineRule="auto"/>
              <w:rPr>
                <w:sz w:val="22"/>
                <w:szCs w:val="22"/>
              </w:rPr>
            </w:pPr>
            <w:r w:rsidRPr="00BF6D79">
              <w:rPr>
                <w:b/>
                <w:bCs/>
                <w:sz w:val="22"/>
                <w:szCs w:val="22"/>
              </w:rPr>
              <w:t xml:space="preserve">Statement of </w:t>
            </w:r>
            <w:r w:rsidRPr="3AE0585D">
              <w:rPr>
                <w:b/>
                <w:bCs/>
                <w:sz w:val="22"/>
                <w:szCs w:val="22"/>
              </w:rPr>
              <w:t>intent</w:t>
            </w:r>
            <w:r w:rsidRPr="00BF6D79">
              <w:rPr>
                <w:b/>
                <w:bCs/>
                <w:sz w:val="22"/>
                <w:szCs w:val="22"/>
              </w:rPr>
              <w:t xml:space="preserve"> 1</w:t>
            </w:r>
            <w:r w:rsidRPr="00BF6D79">
              <w:rPr>
                <w:sz w:val="22"/>
                <w:szCs w:val="22"/>
              </w:rPr>
              <w:t xml:space="preserve">: </w:t>
            </w:r>
            <w:r w:rsidRPr="00BF6D79">
              <w:rPr>
                <w:sz w:val="22"/>
                <w:szCs w:val="22"/>
                <w:lang w:val="en-US"/>
              </w:rPr>
              <w:t xml:space="preserve">The service provides publicity material specifically on transition to adult services that is accessible for everyone such as in different languages or for young people with or without disabilities. This </w:t>
            </w:r>
            <w:r w:rsidRPr="00BF6D79">
              <w:rPr>
                <w:sz w:val="22"/>
                <w:szCs w:val="22"/>
                <w:lang w:val="en-US"/>
              </w:rPr>
              <w:t xml:space="preserve">is youth-friendly, and uses age-appropriate language and images for the age and ability of the young person.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BF6D79">
              <w:rPr>
                <w:rStyle w:val="Hyperlink"/>
                <w:sz w:val="22"/>
                <w:szCs w:val="22"/>
                <w:lang w:val="en-US"/>
              </w:rPr>
              <w:t>OHID You’re Welcome (8, 2023)</w:t>
            </w:r>
            <w:r>
              <w:fldChar w:fldCharType="end"/>
            </w:r>
          </w:p>
          <w:p w:rsidR="00765C95" w:rsidRPr="00F701C2" w:rsidP="00F10BB3">
            <w:pPr>
              <w:rPr>
                <w:sz w:val="22"/>
                <w:szCs w:val="22"/>
                <w:lang w:val="en-US"/>
              </w:rPr>
            </w:pPr>
            <w:r w:rsidRPr="00BF6D79">
              <w:rPr>
                <w:b/>
                <w:bCs/>
                <w:sz w:val="22"/>
                <w:szCs w:val="22"/>
              </w:rPr>
              <w:t xml:space="preserve">Statement of </w:t>
            </w:r>
            <w:r w:rsidRPr="3AE0585D">
              <w:rPr>
                <w:b/>
                <w:bCs/>
                <w:sz w:val="22"/>
                <w:szCs w:val="22"/>
              </w:rPr>
              <w:t>intent</w:t>
            </w:r>
            <w:r w:rsidRPr="00BF6D79">
              <w:rPr>
                <w:b/>
                <w:bCs/>
                <w:sz w:val="22"/>
                <w:szCs w:val="22"/>
              </w:rPr>
              <w:t xml:space="preserve"> 2:</w:t>
            </w:r>
            <w:r w:rsidRPr="00BF6D79">
              <w:rPr>
                <w:sz w:val="22"/>
                <w:szCs w:val="22"/>
                <w:lang w:val="en-US"/>
              </w:rPr>
              <w:t xml:space="preserve"> Service managers should ensure a range of tools is available, and used, to help young people communicate effectively with practitioners. These may include, for example: ways to produce a written record of how a young person communicates, for example, communication passports or 1</w:t>
            </w:r>
            <w:r w:rsidRPr="00BF6D79">
              <w:rPr>
                <w:rFonts w:ascii="Cambria Math" w:hAnsi="Cambria Math" w:cs="Cambria Math"/>
                <w:sz w:val="22"/>
                <w:szCs w:val="22"/>
                <w:lang w:val="en-US"/>
              </w:rPr>
              <w:t>‑</w:t>
            </w:r>
            <w:r w:rsidRPr="00BF6D79">
              <w:rPr>
                <w:sz w:val="22"/>
                <w:szCs w:val="22"/>
                <w:lang w:val="en-US"/>
              </w:rPr>
              <w:t xml:space="preserve">page profiles; ways to help the young person communicate, for example, communication boards and digital communication tools. </w:t>
            </w:r>
            <w:r>
              <w:fldChar w:fldCharType="begin"/>
            </w:r>
            <w:r>
              <w:instrText xml:space="preserve"> HYPERLINK "https://www.nice.org.uk/guidance/ng43/chapter/Recommendations" \l "support-before-transfer" </w:instrText>
            </w:r>
            <w:r>
              <w:fldChar w:fldCharType="separate"/>
            </w:r>
            <w:r w:rsidRPr="00BF6D79">
              <w:rPr>
                <w:rStyle w:val="Hyperlink"/>
                <w:sz w:val="22"/>
                <w:szCs w:val="22"/>
                <w:lang w:val="en-US"/>
              </w:rPr>
              <w:t>NICE NG43 (1.2.12, 2016)</w:t>
            </w:r>
            <w:r>
              <w:fldChar w:fldCharType="end"/>
            </w:r>
            <w:r w:rsidRPr="00BF6D79">
              <w:rPr>
                <w:sz w:val="22"/>
                <w:szCs w:val="22"/>
                <w:lang w:val="en-US"/>
              </w:rPr>
              <w:t xml:space="preserve">  </w:t>
            </w:r>
          </w:p>
        </w:tc>
      </w:tr>
      <w:tr w:rsidTr="006C72F8">
        <w:tblPrEx>
          <w:tblW w:w="10490" w:type="dxa"/>
          <w:tblInd w:w="-714" w:type="dxa"/>
          <w:tblLook w:val="04A0"/>
        </w:tblPrEx>
        <w:tc>
          <w:tcPr>
            <w:tcW w:w="1985" w:type="dxa"/>
            <w:vMerge w:val="restart"/>
          </w:tcPr>
          <w:p w:rsidR="00765C95" w:rsidRPr="002E2577" w:rsidP="005624CB">
            <w:pPr>
              <w:rPr>
                <w:b/>
                <w:sz w:val="20"/>
                <w:szCs w:val="20"/>
              </w:rPr>
            </w:pPr>
            <w:r w:rsidRPr="002E2577">
              <w:rPr>
                <w:b/>
                <w:sz w:val="20"/>
                <w:szCs w:val="20"/>
              </w:rPr>
              <w:t>Resourcing</w:t>
            </w:r>
          </w:p>
        </w:tc>
        <w:tc>
          <w:tcPr>
            <w:tcW w:w="8505" w:type="dxa"/>
          </w:tcPr>
          <w:p w:rsidR="00765C95" w:rsidRPr="002277C5" w:rsidP="005624CB">
            <w:pPr>
              <w:rPr>
                <w:sz w:val="22"/>
                <w:szCs w:val="22"/>
              </w:rPr>
            </w:pPr>
            <w:r>
              <w:rPr>
                <w:sz w:val="22"/>
                <w:szCs w:val="22"/>
              </w:rPr>
              <w:t xml:space="preserve">1. Do services have the capacity and funding to deliver on these statements of </w:t>
            </w:r>
            <w:r w:rsidRPr="39258F6B">
              <w:rPr>
                <w:sz w:val="22"/>
                <w:szCs w:val="22"/>
              </w:rPr>
              <w:t>intent</w:t>
            </w:r>
            <w:r>
              <w:rPr>
                <w:sz w:val="22"/>
                <w:szCs w:val="22"/>
              </w:rPr>
              <w:t xml:space="preserve"> for young people with additional needs?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277C5" w:rsidP="005E7CD3">
            <w:pPr>
              <w:rPr>
                <w:sz w:val="22"/>
                <w:szCs w:val="22"/>
              </w:rPr>
            </w:pPr>
            <w:r>
              <w:rPr>
                <w:sz w:val="22"/>
                <w:szCs w:val="22"/>
              </w:rPr>
              <w:t>2. Do all staff involved in transition services receive training that is culturally competent based on local population needs?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Effectiveness and implementation</w:t>
            </w:r>
          </w:p>
        </w:tc>
        <w:tc>
          <w:tcPr>
            <w:tcW w:w="8505" w:type="dxa"/>
          </w:tcPr>
          <w:p w:rsidR="00765C95" w:rsidP="005E7CD3">
            <w:r>
              <w:rPr>
                <w:sz w:val="22"/>
                <w:szCs w:val="22"/>
              </w:rPr>
              <w:t>1. How effective are services in addressing the specific needs of young people as individuals?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F14675">
            <w:r w:rsidRPr="00F14675">
              <w:t xml:space="preserve">Many </w:t>
            </w:r>
            <w:r>
              <w:t xml:space="preserve">of the features proposed as beneficial were </w:t>
            </w:r>
            <w:r w:rsidRPr="00F14675">
              <w:t>delivered infrequently.</w:t>
            </w:r>
          </w:p>
          <w:p w:rsidR="00765C95" w:rsidRPr="00F14675" w:rsidP="00F14675">
            <w:r>
              <w:t>Exposure to recommended features was 61% for ‘coordinated team’, 53% for ‘age-banded clinic’, 48% for ‘holistic life-skills training’, 42% for ‘promotion of health self-efficacy’, 40% for ‘meeting the adult team before transfer’, 34% for ‘appropriate parent involvement’ and less than 30% for ‘written transition plan’, ‘key worker’ and ‘transition manager for clinical team’.</w:t>
            </w:r>
          </w:p>
          <w:p w:rsidR="00765C95" w:rsidP="005E7CD3">
            <w:r w:rsidRPr="00F14675">
              <w:t>We also found much disagreement between what a service said it provided and what the young person said they experienced. For example</w:t>
            </w:r>
            <w:r>
              <w:t>,</w:t>
            </w:r>
            <w:r w:rsidRPr="00F14675">
              <w:t xml:space="preserve"> agreement about ‘having a written transition plan’ was only 30%; but agreement about ‘promotion of health self-efficacy’ was 77%.</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rPr>
                <w:sz w:val="22"/>
                <w:szCs w:val="22"/>
              </w:rPr>
              <w:t>2. To what extent are services providing the right tools to ensure that all young people can communicate their needs?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CE0263"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CE0263" w:rsidP="005E7CD3">
            <w:pPr>
              <w:rPr>
                <w:sz w:val="22"/>
                <w:szCs w:val="22"/>
              </w:rPr>
            </w:pPr>
            <w:r>
              <w:rPr>
                <w:sz w:val="22"/>
                <w:szCs w:val="22"/>
              </w:rPr>
              <w:t>3. To what extent is data recorded and monitored for effectiveness and quality of the transition for individuals from underserved patient groups, or with protected characteristics?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CE0263"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Impact and outcomes</w:t>
            </w:r>
          </w:p>
        </w:tc>
        <w:tc>
          <w:tcPr>
            <w:tcW w:w="8505" w:type="dxa"/>
          </w:tcPr>
          <w:p w:rsidR="00765C95" w:rsidRPr="00216E08" w:rsidP="005E7CD3">
            <w:pPr>
              <w:rPr>
                <w:sz w:val="22"/>
                <w:szCs w:val="22"/>
              </w:rPr>
            </w:pPr>
            <w:r>
              <w:rPr>
                <w:sz w:val="22"/>
                <w:szCs w:val="22"/>
              </w:rPr>
              <w:t>1. What is the impact of the provision, or lack of provision, of person-centred care for individuals with additional needs?</w:t>
            </w:r>
          </w:p>
        </w:tc>
      </w:tr>
      <w:tr w:rsidTr="006C72F8">
        <w:tblPrEx>
          <w:tblW w:w="10490" w:type="dxa"/>
          <w:tblInd w:w="-714" w:type="dxa"/>
          <w:tblLook w:val="04A0"/>
        </w:tblPrEx>
        <w:trPr>
          <w:trHeight w:val="201"/>
        </w:trPr>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P="005E7CD3">
            <w:r>
              <w:rPr>
                <w:sz w:val="22"/>
                <w:szCs w:val="22"/>
              </w:rPr>
              <w:t xml:space="preserve">2. </w:t>
            </w:r>
            <w:r w:rsidRPr="004A1F26">
              <w:rPr>
                <w:sz w:val="22"/>
                <w:szCs w:val="22"/>
              </w:rPr>
              <w:t>What is the impact of comprehensive data collection and usage for young people with additional needs and/or protected characteristics?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Appropriateness</w:t>
            </w:r>
          </w:p>
        </w:tc>
        <w:tc>
          <w:tcPr>
            <w:tcW w:w="8505" w:type="dxa"/>
          </w:tcPr>
          <w:p w:rsidR="00765C95" w:rsidRPr="00A646C6" w:rsidP="005E7CD3">
            <w:pPr>
              <w:rPr>
                <w:sz w:val="22"/>
                <w:szCs w:val="22"/>
              </w:rPr>
            </w:pPr>
            <w:r>
              <w:rPr>
                <w:sz w:val="22"/>
                <w:szCs w:val="22"/>
              </w:rPr>
              <w:t>1. How appropriately are health and social care services providing tailored care to individuals with additional needs?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FD27B0" w:rsidP="005E7CD3">
            <w:pPr>
              <w:rPr>
                <w:sz w:val="22"/>
                <w:szCs w:val="22"/>
              </w:rPr>
            </w:pPr>
            <w:r>
              <w:rPr>
                <w:sz w:val="22"/>
                <w:szCs w:val="22"/>
              </w:rPr>
              <w:t>2. To what extent are services able to accommodate different communication needs for individuals with communication difficulties?</w:t>
            </w:r>
          </w:p>
        </w:tc>
      </w:tr>
      <w:tr w:rsidTr="006C72F8">
        <w:tblPrEx>
          <w:tblW w:w="10490" w:type="dxa"/>
          <w:tblInd w:w="-714" w:type="dxa"/>
          <w:tblLook w:val="04A0"/>
        </w:tblPrEx>
        <w:tc>
          <w:tcPr>
            <w:tcW w:w="1985" w:type="dxa"/>
            <w:vMerge/>
          </w:tcPr>
          <w:p w:rsidR="00765C95" w:rsidRPr="002E2577" w:rsidP="005E7CD3">
            <w:pPr>
              <w:rPr>
                <w:b/>
                <w:sz w:val="20"/>
                <w:szCs w:val="20"/>
              </w:rPr>
            </w:pPr>
          </w:p>
        </w:tc>
        <w:tc>
          <w:tcPr>
            <w:tcW w:w="8505" w:type="dxa"/>
          </w:tcPr>
          <w:p w:rsidR="00765C95" w:rsidRPr="004665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val="restart"/>
          </w:tcPr>
          <w:p w:rsidR="00765C95" w:rsidRPr="002E2577" w:rsidP="005E7CD3">
            <w:pPr>
              <w:rPr>
                <w:b/>
                <w:sz w:val="20"/>
                <w:szCs w:val="20"/>
              </w:rPr>
            </w:pPr>
            <w:r w:rsidRPr="002E2577">
              <w:rPr>
                <w:b/>
                <w:sz w:val="20"/>
                <w:szCs w:val="20"/>
              </w:rPr>
              <w:t>Equality and diversity</w:t>
            </w:r>
          </w:p>
        </w:tc>
        <w:tc>
          <w:tcPr>
            <w:tcW w:w="8505" w:type="dxa"/>
          </w:tcPr>
          <w:p w:rsidR="00765C95" w:rsidP="005E7CD3">
            <w:r>
              <w:rPr>
                <w:rFonts w:eastAsiaTheme="minorEastAsia"/>
                <w:sz w:val="22"/>
              </w:rPr>
              <w:t xml:space="preserve">1. </w:t>
            </w:r>
            <w:r w:rsidRPr="5AF7BFDC">
              <w:rPr>
                <w:rFonts w:eastAsiaTheme="minorEastAsia"/>
                <w:sz w:val="22"/>
              </w:rPr>
              <w:t xml:space="preserve">How are underserved or vulnerable patient groups considered in the </w:t>
            </w:r>
            <w:r>
              <w:rPr>
                <w:rFonts w:eastAsiaTheme="minorEastAsia"/>
                <w:sz w:val="22"/>
              </w:rPr>
              <w:t>planning, strategy and delivery of transition services?</w:t>
            </w:r>
          </w:p>
        </w:tc>
      </w:tr>
      <w:tr w:rsidTr="006C72F8">
        <w:tblPrEx>
          <w:tblW w:w="10490" w:type="dxa"/>
          <w:tblInd w:w="-714" w:type="dxa"/>
          <w:tblLook w:val="04A0"/>
        </w:tblPrEx>
        <w:tc>
          <w:tcPr>
            <w:tcW w:w="1985" w:type="dxa"/>
            <w:vMerge/>
          </w:tcPr>
          <w:p w:rsidR="00765C95" w:rsidP="005E7CD3"/>
        </w:tc>
        <w:tc>
          <w:tcPr>
            <w:tcW w:w="8505" w:type="dxa"/>
          </w:tcPr>
          <w:p w:rsidR="00765C95" w:rsidRPr="002E1607" w:rsidP="005E7CD3">
            <w:pPr>
              <w:rPr>
                <w:sz w:val="22"/>
                <w:szCs w:val="22"/>
              </w:rPr>
            </w:pPr>
            <w:r>
              <w:rPr>
                <w:sz w:val="22"/>
                <w:szCs w:val="22"/>
              </w:rPr>
              <w:t>We have no information</w:t>
            </w:r>
          </w:p>
        </w:tc>
      </w:tr>
      <w:tr w:rsidTr="006C72F8">
        <w:tblPrEx>
          <w:tblW w:w="10490" w:type="dxa"/>
          <w:tblInd w:w="-714" w:type="dxa"/>
          <w:tblLook w:val="04A0"/>
        </w:tblPrEx>
        <w:tc>
          <w:tcPr>
            <w:tcW w:w="1985" w:type="dxa"/>
            <w:vMerge/>
          </w:tcPr>
          <w:p w:rsidR="00765C95" w:rsidP="005E7CD3"/>
        </w:tc>
        <w:tc>
          <w:tcPr>
            <w:tcW w:w="8505" w:type="dxa"/>
          </w:tcPr>
          <w:p w:rsidR="00765C95" w:rsidRPr="00361B25" w:rsidP="005E7CD3">
            <w:pPr>
              <w:rPr>
                <w:sz w:val="22"/>
                <w:szCs w:val="22"/>
              </w:rPr>
            </w:pPr>
            <w:r>
              <w:rPr>
                <w:sz w:val="22"/>
                <w:szCs w:val="22"/>
              </w:rPr>
              <w:t>2. What extra data is captured for young people with additional needs, specifically those at the intersection of different protected characteristics?</w:t>
            </w:r>
          </w:p>
        </w:tc>
      </w:tr>
      <w:tr w:rsidTr="006C72F8">
        <w:tblPrEx>
          <w:tblW w:w="10490" w:type="dxa"/>
          <w:tblInd w:w="-714" w:type="dxa"/>
          <w:tblLook w:val="04A0"/>
        </w:tblPrEx>
        <w:tc>
          <w:tcPr>
            <w:tcW w:w="1985" w:type="dxa"/>
            <w:vMerge/>
          </w:tcPr>
          <w:p w:rsidR="00765C95" w:rsidP="005E7CD3"/>
        </w:tc>
        <w:tc>
          <w:tcPr>
            <w:tcW w:w="8505" w:type="dxa"/>
          </w:tcPr>
          <w:p w:rsidR="00765C95" w:rsidRPr="002E1607" w:rsidP="005E7CD3">
            <w:pPr>
              <w:rPr>
                <w:sz w:val="22"/>
                <w:szCs w:val="22"/>
              </w:rPr>
            </w:pPr>
            <w:r>
              <w:rPr>
                <w:sz w:val="22"/>
                <w:szCs w:val="22"/>
              </w:rPr>
              <w:t>We have no information</w:t>
            </w:r>
          </w:p>
        </w:tc>
      </w:tr>
    </w:tbl>
    <w:p w:rsidR="00765C95"/>
    <w:sectPr w:rsidSect="00D77B1C">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E0839"/>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5820262"/>
    <w:multiLevelType w:val="hybridMultilevel"/>
    <w:tmpl w:val="FCA87CF6"/>
    <w:lvl w:ilvl="0">
      <w:start w:val="1"/>
      <w:numFmt w:val="decimal"/>
      <w:lvlText w:val="%1."/>
      <w:lvlJc w:val="left"/>
      <w:pPr>
        <w:ind w:left="-360" w:hanging="360"/>
      </w:pPr>
      <w:rPr>
        <w:rFonts w:ascii="Aptos" w:eastAsia="Aptos" w:hAnsi="Aptos" w:cstheme="minorBidi"/>
      </w:rPr>
    </w:lvl>
    <w:lvl w:ilvl="1">
      <w:start w:val="1"/>
      <w:numFmt w:val="bullet"/>
      <w:lvlText w:val="o"/>
      <w:lvlJc w:val="left"/>
      <w:pPr>
        <w:ind w:left="36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2">
    <w:nsid w:val="083C1A6C"/>
    <w:multiLevelType w:val="multilevel"/>
    <w:tmpl w:val="917E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8D0028"/>
    <w:multiLevelType w:val="multilevel"/>
    <w:tmpl w:val="5AB4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6705BF"/>
    <w:multiLevelType w:val="hybridMultilevel"/>
    <w:tmpl w:val="0D9C6B08"/>
    <w:lvl w:ilvl="0">
      <w:start w:val="1"/>
      <w:numFmt w:val="bullet"/>
      <w:lvlText w:val="·"/>
      <w:lvlJc w:val="left"/>
      <w:pPr>
        <w:ind w:left="36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0FF27C5"/>
    <w:multiLevelType w:val="multilevel"/>
    <w:tmpl w:val="FAAA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4C3985"/>
    <w:multiLevelType w:val="hybridMultilevel"/>
    <w:tmpl w:val="AB66F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EC5B36"/>
    <w:multiLevelType w:val="hybridMultilevel"/>
    <w:tmpl w:val="BC384F5E"/>
    <w:lvl w:ilvl="0">
      <w:start w:val="1"/>
      <w:numFmt w:val="bullet"/>
      <w:lvlText w:val=""/>
      <w:lvlJc w:val="left"/>
      <w:pPr>
        <w:ind w:left="360" w:hanging="360"/>
      </w:pPr>
      <w:rPr>
        <w:rFonts w:ascii="Symbol" w:hAnsi="Symbol" w:hint="default"/>
        <w:b w:val="0"/>
        <w:bCs w:val="0"/>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53576A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A2058B8"/>
    <w:multiLevelType w:val="hybridMultilevel"/>
    <w:tmpl w:val="52C47B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E065863"/>
    <w:multiLevelType w:val="multilevel"/>
    <w:tmpl w:val="3BBA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A06B0A"/>
    <w:multiLevelType w:val="multilevel"/>
    <w:tmpl w:val="629A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D8F59A5"/>
    <w:multiLevelType w:val="multilevel"/>
    <w:tmpl w:val="CFA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5C55A53"/>
    <w:multiLevelType w:val="multilevel"/>
    <w:tmpl w:val="BECA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EA96E7F"/>
    <w:multiLevelType w:val="hybridMultilevel"/>
    <w:tmpl w:val="A51E1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365203B"/>
    <w:multiLevelType w:val="hybridMultilevel"/>
    <w:tmpl w:val="BE6268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3CEC334"/>
    <w:multiLevelType w:val="hybridMultilevel"/>
    <w:tmpl w:val="9B1E4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A1E0120"/>
    <w:multiLevelType w:val="multilevel"/>
    <w:tmpl w:val="C67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BB053B"/>
    <w:multiLevelType w:val="multilevel"/>
    <w:tmpl w:val="B4E4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0A36164"/>
    <w:multiLevelType w:val="multilevel"/>
    <w:tmpl w:val="1CC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5FC11D6"/>
    <w:multiLevelType w:val="multilevel"/>
    <w:tmpl w:val="C73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D4D4460"/>
    <w:multiLevelType w:val="hybridMultilevel"/>
    <w:tmpl w:val="613EF1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A06D72"/>
    <w:multiLevelType w:val="hybridMultilevel"/>
    <w:tmpl w:val="169E1B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7"/>
  </w:num>
  <w:num w:numId="4">
    <w:abstractNumId w:val="16"/>
  </w:num>
  <w:num w:numId="5">
    <w:abstractNumId w:val="4"/>
  </w:num>
  <w:num w:numId="6">
    <w:abstractNumId w:val="12"/>
  </w:num>
  <w:num w:numId="7">
    <w:abstractNumId w:val="19"/>
  </w:num>
  <w:num w:numId="8">
    <w:abstractNumId w:val="18"/>
  </w:num>
  <w:num w:numId="9">
    <w:abstractNumId w:val="10"/>
  </w:num>
  <w:num w:numId="10">
    <w:abstractNumId w:val="5"/>
  </w:num>
  <w:num w:numId="11">
    <w:abstractNumId w:val="14"/>
  </w:num>
  <w:num w:numId="12">
    <w:abstractNumId w:val="9"/>
  </w:num>
  <w:num w:numId="13">
    <w:abstractNumId w:val="0"/>
  </w:num>
  <w:num w:numId="14">
    <w:abstractNumId w:val="8"/>
  </w:num>
  <w:num w:numId="15">
    <w:abstractNumId w:val="2"/>
  </w:num>
  <w:num w:numId="16">
    <w:abstractNumId w:val="11"/>
  </w:num>
  <w:num w:numId="17">
    <w:abstractNumId w:val="13"/>
  </w:num>
  <w:num w:numId="18">
    <w:abstractNumId w:val="3"/>
  </w:num>
  <w:num w:numId="19">
    <w:abstractNumId w:val="17"/>
  </w:num>
  <w:num w:numId="20">
    <w:abstractNumId w:val="20"/>
  </w:num>
  <w:num w:numId="21">
    <w:abstractNumId w:val="22"/>
  </w:num>
  <w:num w:numId="22">
    <w:abstractNumId w:val="2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51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E90"/>
    <w:rPr>
      <w:rFonts w:eastAsiaTheme="majorEastAsia" w:cstheme="majorBidi"/>
      <w:color w:val="272727" w:themeColor="text1" w:themeTint="D8"/>
    </w:rPr>
  </w:style>
  <w:style w:type="paragraph" w:styleId="Title">
    <w:name w:val="Title"/>
    <w:basedOn w:val="Normal"/>
    <w:next w:val="Normal"/>
    <w:link w:val="TitleChar"/>
    <w:uiPriority w:val="10"/>
    <w:qFormat/>
    <w:rsid w:val="00D51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E90"/>
    <w:pPr>
      <w:spacing w:before="160"/>
      <w:jc w:val="center"/>
    </w:pPr>
    <w:rPr>
      <w:i/>
      <w:iCs/>
      <w:color w:val="404040" w:themeColor="text1" w:themeTint="BF"/>
    </w:rPr>
  </w:style>
  <w:style w:type="character" w:customStyle="1" w:styleId="QuoteChar">
    <w:name w:val="Quote Char"/>
    <w:basedOn w:val="DefaultParagraphFont"/>
    <w:link w:val="Quote"/>
    <w:uiPriority w:val="29"/>
    <w:rsid w:val="00D51E90"/>
    <w:rPr>
      <w:i/>
      <w:iCs/>
      <w:color w:val="404040" w:themeColor="text1" w:themeTint="BF"/>
    </w:rPr>
  </w:style>
  <w:style w:type="paragraph" w:styleId="ListParagraph">
    <w:name w:val="List Paragraph"/>
    <w:basedOn w:val="Normal"/>
    <w:uiPriority w:val="34"/>
    <w:qFormat/>
    <w:rsid w:val="00D51E90"/>
    <w:pPr>
      <w:ind w:left="720"/>
      <w:contextualSpacing/>
    </w:pPr>
  </w:style>
  <w:style w:type="character" w:styleId="IntenseEmphasis">
    <w:name w:val="Intense Emphasis"/>
    <w:basedOn w:val="DefaultParagraphFont"/>
    <w:uiPriority w:val="21"/>
    <w:qFormat/>
    <w:rsid w:val="00D51E90"/>
    <w:rPr>
      <w:i/>
      <w:iCs/>
      <w:color w:val="0F4761" w:themeColor="accent1" w:themeShade="BF"/>
    </w:rPr>
  </w:style>
  <w:style w:type="paragraph" w:styleId="IntenseQuote">
    <w:name w:val="Intense Quote"/>
    <w:basedOn w:val="Normal"/>
    <w:next w:val="Normal"/>
    <w:link w:val="IntenseQuoteChar"/>
    <w:uiPriority w:val="30"/>
    <w:qFormat/>
    <w:rsid w:val="00D51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E90"/>
    <w:rPr>
      <w:i/>
      <w:iCs/>
      <w:color w:val="0F4761" w:themeColor="accent1" w:themeShade="BF"/>
    </w:rPr>
  </w:style>
  <w:style w:type="character" w:styleId="IntenseReference">
    <w:name w:val="Intense Reference"/>
    <w:basedOn w:val="DefaultParagraphFont"/>
    <w:uiPriority w:val="32"/>
    <w:qFormat/>
    <w:rsid w:val="00D51E90"/>
    <w:rPr>
      <w:b/>
      <w:bCs/>
      <w:smallCaps/>
      <w:color w:val="0F4761" w:themeColor="accent1" w:themeShade="BF"/>
      <w:spacing w:val="5"/>
    </w:rPr>
  </w:style>
  <w:style w:type="table" w:styleId="TableGrid">
    <w:name w:val="Table Grid"/>
    <w:basedOn w:val="TableNormal"/>
    <w:uiPriority w:val="39"/>
    <w:rsid w:val="00D5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48D114B8"/>
    <w:rPr>
      <w:color w:val="467886"/>
      <w:u w:val="single"/>
    </w:rPr>
  </w:style>
  <w:style w:type="character" w:styleId="CommentReference">
    <w:name w:val="annotation reference"/>
    <w:basedOn w:val="DefaultParagraphFont"/>
    <w:uiPriority w:val="99"/>
    <w:semiHidden/>
    <w:unhideWhenUsed/>
    <w:rsid w:val="00A632C1"/>
    <w:rPr>
      <w:sz w:val="16"/>
      <w:szCs w:val="16"/>
    </w:rPr>
  </w:style>
  <w:style w:type="paragraph" w:styleId="CommentText">
    <w:name w:val="annotation text"/>
    <w:basedOn w:val="Normal"/>
    <w:link w:val="CommentTextChar"/>
    <w:uiPriority w:val="99"/>
    <w:unhideWhenUsed/>
    <w:rsid w:val="00A632C1"/>
    <w:pPr>
      <w:spacing w:line="240" w:lineRule="auto"/>
    </w:pPr>
    <w:rPr>
      <w:sz w:val="20"/>
      <w:szCs w:val="20"/>
    </w:rPr>
  </w:style>
  <w:style w:type="character" w:customStyle="1" w:styleId="CommentTextChar">
    <w:name w:val="Comment Text Char"/>
    <w:basedOn w:val="DefaultParagraphFont"/>
    <w:link w:val="CommentText"/>
    <w:uiPriority w:val="99"/>
    <w:rsid w:val="00A632C1"/>
    <w:rPr>
      <w:sz w:val="20"/>
      <w:szCs w:val="20"/>
    </w:rPr>
  </w:style>
  <w:style w:type="paragraph" w:styleId="CommentSubject">
    <w:name w:val="annotation subject"/>
    <w:basedOn w:val="CommentText"/>
    <w:next w:val="CommentText"/>
    <w:link w:val="CommentSubjectChar"/>
    <w:uiPriority w:val="99"/>
    <w:semiHidden/>
    <w:unhideWhenUsed/>
    <w:rsid w:val="00A632C1"/>
    <w:rPr>
      <w:b/>
      <w:bCs/>
    </w:rPr>
  </w:style>
  <w:style w:type="character" w:customStyle="1" w:styleId="CommentSubjectChar">
    <w:name w:val="Comment Subject Char"/>
    <w:basedOn w:val="CommentTextChar"/>
    <w:link w:val="CommentSubject"/>
    <w:uiPriority w:val="99"/>
    <w:semiHidden/>
    <w:rsid w:val="00A632C1"/>
    <w:rPr>
      <w:b/>
      <w:bCs/>
      <w:sz w:val="20"/>
      <w:szCs w:val="20"/>
    </w:rPr>
  </w:style>
  <w:style w:type="character" w:customStyle="1" w:styleId="UnresolvedMention1">
    <w:name w:val="Unresolved Mention1"/>
    <w:basedOn w:val="DefaultParagraphFont"/>
    <w:uiPriority w:val="99"/>
    <w:semiHidden/>
    <w:unhideWhenUsed/>
    <w:rsid w:val="00880424"/>
    <w:rPr>
      <w:color w:val="605E5C"/>
      <w:shd w:val="clear" w:color="auto" w:fill="E1DFDD"/>
    </w:rPr>
  </w:style>
  <w:style w:type="paragraph" w:styleId="Revision">
    <w:name w:val="Revision"/>
    <w:hidden/>
    <w:uiPriority w:val="99"/>
    <w:semiHidden/>
    <w:rsid w:val="00461691"/>
    <w:pPr>
      <w:spacing w:after="0" w:line="240" w:lineRule="auto"/>
    </w:pPr>
  </w:style>
  <w:style w:type="paragraph" w:styleId="Header">
    <w:name w:val="header"/>
    <w:basedOn w:val="Normal"/>
    <w:link w:val="HeaderChar"/>
    <w:uiPriority w:val="99"/>
    <w:unhideWhenUsed/>
    <w:rsid w:val="00B62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AD5"/>
  </w:style>
  <w:style w:type="paragraph" w:styleId="Footer">
    <w:name w:val="footer"/>
    <w:basedOn w:val="Normal"/>
    <w:link w:val="FooterChar"/>
    <w:uiPriority w:val="99"/>
    <w:unhideWhenUsed/>
    <w:rsid w:val="00B62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AD5"/>
  </w:style>
  <w:style w:type="paragraph" w:customStyle="1" w:styleId="Para">
    <w:name w:val="Para"/>
    <w:basedOn w:val="Normal"/>
    <w:uiPriority w:val="19"/>
    <w:qFormat/>
    <w:rsid w:val="00D07D51"/>
    <w:pPr>
      <w:spacing w:before="160" w:line="259" w:lineRule="auto"/>
    </w:pPr>
    <w:rPr>
      <w:rFonts w:ascii="Arial" w:hAnsi="Arial"/>
      <w:kern w:val="24"/>
      <w:sz w:val="28"/>
      <w:szCs w:val="22"/>
    </w:rPr>
  </w:style>
  <w:style w:type="character" w:customStyle="1" w:styleId="Mention1">
    <w:name w:val="Mention1"/>
    <w:basedOn w:val="DefaultParagraphFont"/>
    <w:uiPriority w:val="99"/>
    <w:unhideWhenUsed/>
    <w:rsid w:val="00B56F70"/>
    <w:rPr>
      <w:color w:val="2B579A"/>
      <w:shd w:val="clear" w:color="auto" w:fill="E1DFDD"/>
    </w:rPr>
  </w:style>
  <w:style w:type="character" w:customStyle="1" w:styleId="UnresolvedMention2">
    <w:name w:val="Unresolved Mention2"/>
    <w:basedOn w:val="DefaultParagraphFont"/>
    <w:uiPriority w:val="99"/>
    <w:rsid w:val="00AA13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TRN0033</dc:title>
  <cp:revision>0</cp:revision>
</cp:coreProperties>
</file>