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3E8F" w:rsidRPr="004C3E8F" w:rsidP="00A93B1C">
      <w:pPr>
        <w:pStyle w:val="NoSpacing"/>
        <w:jc w:val="center"/>
        <w:rPr>
          <w:rFonts w:ascii="Calibri" w:hAnsi="Calibri" w:cs="Calibri"/>
          <w:b/>
          <w:bCs/>
          <w:i/>
          <w:iCs/>
          <w:sz w:val="28"/>
          <w:szCs w:val="28"/>
        </w:rPr>
      </w:pPr>
      <w:r w:rsidRPr="004C3E8F">
        <w:rPr>
          <w:rFonts w:ascii="Calibri" w:hAnsi="Calibri" w:cs="Calibri"/>
          <w:b/>
          <w:bCs/>
          <w:i/>
          <w:iCs/>
          <w:sz w:val="28"/>
          <w:szCs w:val="28"/>
        </w:rPr>
        <w:t>Written Evidence submitted by Social Care Institute for Excellence (SCIE)</w:t>
      </w:r>
      <w:r w:rsidRPr="004C3E8F">
        <w:rPr>
          <w:rFonts w:ascii="Calibri" w:hAnsi="Calibri" w:cs="Calibri"/>
          <w:b/>
          <w:bCs/>
          <w:i/>
          <w:iCs/>
          <w:sz w:val="28"/>
          <w:szCs w:val="28"/>
        </w:rPr>
        <w:t xml:space="preserve"> </w:t>
      </w:r>
      <w:r w:rsidRPr="004C3E8F">
        <w:rPr>
          <w:rFonts w:ascii="Calibri" w:hAnsi="Calibri" w:cs="Calibri"/>
          <w:b/>
          <w:bCs/>
          <w:i/>
          <w:iCs/>
          <w:sz w:val="28"/>
          <w:szCs w:val="28"/>
        </w:rPr>
        <w:t>(TRN00</w:t>
      </w:r>
      <w:r>
        <w:rPr>
          <w:rFonts w:ascii="Calibri" w:hAnsi="Calibri" w:cs="Calibri"/>
          <w:b/>
          <w:bCs/>
          <w:i/>
          <w:iCs/>
          <w:sz w:val="28"/>
          <w:szCs w:val="28"/>
        </w:rPr>
        <w:t>30</w:t>
      </w:r>
      <w:r w:rsidRPr="004C3E8F">
        <w:rPr>
          <w:rFonts w:ascii="Calibri" w:hAnsi="Calibri" w:cs="Calibri"/>
          <w:b/>
          <w:bCs/>
          <w:i/>
          <w:iCs/>
          <w:sz w:val="28"/>
          <w:szCs w:val="28"/>
        </w:rPr>
        <w:t>)</w:t>
      </w:r>
    </w:p>
    <w:p w:rsidR="004C3E8F" w:rsidRPr="004C3E8F" w:rsidP="00A93B1C">
      <w:pPr>
        <w:pStyle w:val="NoSpacing"/>
        <w:jc w:val="center"/>
        <w:rPr>
          <w:rFonts w:ascii="Calibri" w:hAnsi="Calibri" w:cs="Calibri"/>
          <w:b/>
          <w:bCs/>
          <w:i/>
          <w:iCs/>
          <w:sz w:val="28"/>
          <w:szCs w:val="28"/>
        </w:rPr>
      </w:pPr>
    </w:p>
    <w:p w:rsidR="004C3E8F" w:rsidRPr="004C3E8F" w:rsidP="00A93B1C">
      <w:pPr>
        <w:pStyle w:val="NoSpacing"/>
        <w:jc w:val="center"/>
        <w:rPr>
          <w:rFonts w:ascii="Calibri" w:hAnsi="Calibri" w:cs="Calibri"/>
          <w:b/>
          <w:bCs/>
          <w:i/>
          <w:iCs/>
        </w:rPr>
      </w:pPr>
    </w:p>
    <w:p w:rsidR="004C3E8F" w:rsidRPr="004C3E8F" w:rsidP="00A93B1C">
      <w:pPr>
        <w:pStyle w:val="NoSpacing"/>
        <w:jc w:val="center"/>
        <w:rPr>
          <w:rFonts w:ascii="Calibri" w:hAnsi="Calibri" w:cs="Calibri"/>
          <w:b/>
          <w:bCs/>
          <w:i/>
          <w:iCs/>
        </w:rPr>
      </w:pPr>
    </w:p>
    <w:p w:rsidR="004C3E8F" w:rsidRPr="004C3E8F" w:rsidP="00A93B1C">
      <w:pPr>
        <w:pStyle w:val="NoSpacing"/>
        <w:jc w:val="center"/>
        <w:rPr>
          <w:rFonts w:ascii="Calibri" w:hAnsi="Calibri" w:cs="Calibri"/>
          <w:b/>
          <w:bCs/>
          <w:i/>
          <w:iCs/>
        </w:rPr>
      </w:pPr>
    </w:p>
    <w:p w:rsidR="005B5906" w:rsidRPr="004C3E8F" w:rsidP="00A93B1C">
      <w:pPr>
        <w:pStyle w:val="NoSpacing"/>
        <w:jc w:val="center"/>
        <w:rPr>
          <w:rFonts w:ascii="Calibri" w:hAnsi="Calibri" w:cs="Calibri"/>
          <w:b/>
          <w:bCs/>
          <w:i/>
          <w:iCs/>
        </w:rPr>
      </w:pPr>
      <w:r w:rsidRPr="004C3E8F">
        <w:rPr>
          <w:rFonts w:ascii="Calibri" w:hAnsi="Calibri" w:cs="Calibri"/>
          <w:b/>
          <w:bCs/>
          <w:i/>
          <w:iCs/>
        </w:rPr>
        <w:t>Social Care Institute for Excellence response to the Health and Social Care Committee call for evidence ‘The transition from child to adult health and social care services’</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 xml:space="preserve">Overview </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The Social Care Institute for Excellence (SCIE) welcomes the opportunity to respond to the Health and Social Care Committee’s call for evidence focused on ‘The transition from child to adult health and social care services.’</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 xml:space="preserve">SCIE is a leading independent social care improvement charity working with organisations that support adults, families and children across the UK. Our mission is to improve the lives of people of all ages by co-producing, sharing, and supporting the use of the best available social care evidence about what works in practice. We also work closely with related services such as health care and housing. </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 xml:space="preserve">We improve the quality of care and support services for adults and children by: </w:t>
      </w:r>
    </w:p>
    <w:p w:rsidR="005B5906" w:rsidRPr="004C3E8F" w:rsidP="00A93B1C">
      <w:pPr>
        <w:pStyle w:val="NoSpacing"/>
        <w:numPr>
          <w:ilvl w:val="0"/>
          <w:numId w:val="27"/>
        </w:numPr>
        <w:rPr>
          <w:rFonts w:ascii="Calibri" w:hAnsi="Calibri" w:cs="Calibri"/>
          <w:b/>
          <w:bCs/>
          <w:i/>
          <w:iCs/>
        </w:rPr>
      </w:pPr>
      <w:r w:rsidRPr="004C3E8F">
        <w:rPr>
          <w:rFonts w:ascii="Calibri" w:hAnsi="Calibri" w:cs="Calibri"/>
          <w:b/>
          <w:bCs/>
          <w:i/>
          <w:iCs/>
        </w:rPr>
        <w:t xml:space="preserve">identifying and sharing evidence about what works and what’s new; </w:t>
      </w:r>
    </w:p>
    <w:p w:rsidR="005B5906" w:rsidRPr="004C3E8F" w:rsidP="00A93B1C">
      <w:pPr>
        <w:pStyle w:val="NoSpacing"/>
        <w:numPr>
          <w:ilvl w:val="0"/>
          <w:numId w:val="27"/>
        </w:numPr>
        <w:rPr>
          <w:rFonts w:ascii="Calibri" w:hAnsi="Calibri" w:cs="Calibri"/>
          <w:b/>
          <w:bCs/>
          <w:i/>
          <w:iCs/>
        </w:rPr>
      </w:pPr>
      <w:r w:rsidRPr="004C3E8F">
        <w:rPr>
          <w:rFonts w:ascii="Calibri" w:hAnsi="Calibri" w:cs="Calibri"/>
          <w:b/>
          <w:bCs/>
          <w:i/>
          <w:iCs/>
        </w:rPr>
        <w:t>supporting people who plan, commission, deliver and use services to put that evidence into practice; and</w:t>
      </w:r>
    </w:p>
    <w:p w:rsidR="005B5906" w:rsidRPr="004C3E8F" w:rsidP="00A93B1C">
      <w:pPr>
        <w:pStyle w:val="NoSpacing"/>
        <w:numPr>
          <w:ilvl w:val="0"/>
          <w:numId w:val="27"/>
        </w:numPr>
        <w:rPr>
          <w:rFonts w:ascii="Calibri" w:hAnsi="Calibri" w:cs="Calibri"/>
          <w:b/>
          <w:bCs/>
          <w:i/>
          <w:iCs/>
        </w:rPr>
      </w:pPr>
      <w:r w:rsidRPr="004C3E8F">
        <w:rPr>
          <w:rFonts w:ascii="Calibri" w:hAnsi="Calibri" w:cs="Calibri"/>
          <w:b/>
          <w:bCs/>
          <w:i/>
          <w:iCs/>
        </w:rPr>
        <w:t>informing, influencing and inspiring the direction of future social care practice and policy.</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 xml:space="preserve">SCIE is responding to this </w:t>
      </w:r>
      <w:r w:rsidRPr="004C3E8F">
        <w:rPr>
          <w:rFonts w:ascii="Calibri" w:hAnsi="Calibri" w:cs="Calibri"/>
          <w:b/>
          <w:bCs/>
          <w:i/>
          <w:iCs/>
        </w:rPr>
        <w:t>call for evidence</w:t>
      </w:r>
      <w:r w:rsidRPr="004C3E8F">
        <w:rPr>
          <w:rFonts w:ascii="Calibri" w:hAnsi="Calibri" w:cs="Calibri"/>
          <w:b/>
          <w:bCs/>
          <w:i/>
          <w:iCs/>
        </w:rPr>
        <w:t xml:space="preserve"> with a focus on the early insights, specifically those from a desktop review, we have gathered as part of a Department of Health and Social Care-funded project exploring transitions. Our early insights focus on identifying and assessing existing grey literature on transitions for young people, including guidance, legislation, policy frameworks, and practice tools. </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We have chosen to answer only two of the six broad policy areas:</w:t>
      </w:r>
    </w:p>
    <w:p w:rsidR="005B5906" w:rsidRPr="004C3E8F" w:rsidP="00A93B1C">
      <w:pPr>
        <w:pStyle w:val="NoSpacing"/>
        <w:numPr>
          <w:ilvl w:val="0"/>
          <w:numId w:val="28"/>
        </w:numPr>
        <w:rPr>
          <w:rFonts w:ascii="Calibri" w:hAnsi="Calibri" w:cs="Calibri"/>
          <w:b/>
          <w:bCs/>
          <w:i/>
          <w:iCs/>
        </w:rPr>
      </w:pPr>
      <w:r w:rsidRPr="004C3E8F">
        <w:rPr>
          <w:rFonts w:ascii="Calibri" w:hAnsi="Calibri" w:cs="Calibri"/>
          <w:b/>
          <w:bCs/>
          <w:i/>
          <w:iCs/>
        </w:rPr>
        <w:t>Meaningful involvement of children, young people and their carers </w:t>
      </w:r>
    </w:p>
    <w:p w:rsidR="005B5906" w:rsidRPr="004C3E8F" w:rsidP="00A93B1C">
      <w:pPr>
        <w:pStyle w:val="NoSpacing"/>
        <w:numPr>
          <w:ilvl w:val="0"/>
          <w:numId w:val="28"/>
        </w:numPr>
        <w:rPr>
          <w:rFonts w:ascii="Calibri" w:hAnsi="Calibri" w:cs="Calibri"/>
          <w:b/>
          <w:bCs/>
          <w:i/>
          <w:iCs/>
        </w:rPr>
      </w:pPr>
      <w:r w:rsidRPr="004C3E8F">
        <w:rPr>
          <w:rFonts w:ascii="Calibri" w:hAnsi="Calibri" w:cs="Calibri"/>
          <w:b/>
          <w:bCs/>
          <w:i/>
          <w:iCs/>
        </w:rPr>
        <w:t>Promoting equity across the transition  </w:t>
      </w:r>
    </w:p>
    <w:p w:rsidR="005B5906" w:rsidRPr="004C3E8F" w:rsidP="00A93B1C">
      <w:pPr>
        <w:pStyle w:val="NoSpacing"/>
        <w:rPr>
          <w:rFonts w:ascii="Calibri" w:hAnsi="Calibri" w:cs="Calibri"/>
          <w:b/>
          <w:bCs/>
          <w:i/>
          <w:iCs/>
        </w:rPr>
      </w:pPr>
    </w:p>
    <w:p w:rsidR="005B5906" w:rsidRPr="004C3E8F" w:rsidP="00A93B1C">
      <w:pPr>
        <w:pStyle w:val="NoSpacing"/>
        <w:rPr>
          <w:rFonts w:ascii="Calibri" w:hAnsi="Calibri" w:cs="Calibri"/>
          <w:b/>
          <w:bCs/>
          <w:i/>
          <w:iCs/>
        </w:rPr>
      </w:pPr>
      <w:r w:rsidRPr="004C3E8F">
        <w:rPr>
          <w:rFonts w:ascii="Calibri" w:hAnsi="Calibri" w:cs="Calibri"/>
          <w:b/>
          <w:bCs/>
          <w:i/>
          <w:iCs/>
        </w:rPr>
        <w:t xml:space="preserve">SCIE’s Interim Chief Executive, Gerard Crofton-Martin, would be happy to give oral evidence to the Committee as part of this call for evidence. </w:t>
      </w:r>
    </w:p>
    <w:p w:rsidR="005B5906" w:rsidRPr="004C3E8F" w:rsidP="003B0316">
      <w:pPr>
        <w:pStyle w:val="NoSpacing"/>
        <w:rPr>
          <w:rFonts w:ascii="Calibri" w:hAnsi="Calibri" w:cs="Calibri"/>
          <w:b/>
          <w:bCs/>
          <w:i/>
          <w:iCs/>
        </w:rPr>
      </w:pPr>
    </w:p>
    <w:p w:rsidR="005B5906" w:rsidRPr="004C3E8F" w:rsidP="003B0316">
      <w:pPr>
        <w:pStyle w:val="NoSpacing"/>
        <w:rPr>
          <w:rFonts w:ascii="Calibri" w:hAnsi="Calibri" w:cs="Calibri"/>
          <w:b/>
          <w:bCs/>
          <w:i/>
          <w:iCs/>
        </w:rPr>
      </w:pPr>
    </w:p>
    <w:p w:rsidR="005B5906" w:rsidRPr="004C3E8F" w:rsidP="003B0316">
      <w:pPr>
        <w:pStyle w:val="NoSpacing"/>
        <w:rPr>
          <w:rFonts w:ascii="Calibri" w:hAnsi="Calibri" w:cs="Calibri"/>
          <w:b/>
          <w:bCs/>
          <w:i/>
          <w:iCs/>
        </w:rPr>
      </w:pPr>
      <w:r w:rsidRPr="004C3E8F">
        <w:rPr>
          <w:rFonts w:ascii="Calibri" w:hAnsi="Calibri" w:cs="Calibri"/>
          <w:b/>
          <w:bCs/>
          <w:i/>
          <w:iCs/>
        </w:rPr>
        <w:t xml:space="preserve">MEANINGFUL INVOLVEMENT OF CHILDREN, YOUNG PEOPLE AND THEIR CARERS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How are services resourced to </w:t>
      </w:r>
      <w:r w:rsidRPr="004C3E8F">
        <w:rPr>
          <w:rFonts w:ascii="Calibri" w:hAnsi="Calibri" w:cs="Calibri"/>
          <w:b/>
          <w:bCs/>
          <w:i/>
          <w:iCs/>
        </w:rPr>
        <w:t>take into account</w:t>
      </w:r>
      <w:r w:rsidRPr="004C3E8F">
        <w:rPr>
          <w:rFonts w:ascii="Calibri" w:hAnsi="Calibri" w:cs="Calibri"/>
          <w:b/>
          <w:bCs/>
          <w:i/>
          <w:iCs/>
        </w:rPr>
        <w:t xml:space="preserve"> the needs, wishes and aspirations of </w:t>
      </w:r>
    </w:p>
    <w:p w:rsidR="005B5906" w:rsidRPr="004C3E8F" w:rsidP="00091A28">
      <w:pPr>
        <w:pStyle w:val="NoSpacing"/>
        <w:rPr>
          <w:rFonts w:ascii="Calibri" w:hAnsi="Calibri" w:cs="Calibri"/>
          <w:b/>
          <w:bCs/>
          <w:i/>
          <w:iCs/>
        </w:rPr>
      </w:pPr>
      <w:r w:rsidRPr="004C3E8F">
        <w:rPr>
          <w:rFonts w:ascii="Calibri" w:hAnsi="Calibri" w:cs="Calibri"/>
          <w:b/>
          <w:bCs/>
          <w:i/>
          <w:iCs/>
        </w:rPr>
        <w:t xml:space="preserve">the young person, including during the planning process and after transition?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 xml:space="preserve">SCIE has conducted a desktop review </w:t>
      </w:r>
      <w:r w:rsidRPr="004C3E8F">
        <w:rPr>
          <w:rFonts w:ascii="Calibri" w:hAnsi="Calibri" w:cs="Calibri"/>
          <w:b/>
          <w:bCs/>
          <w:i/>
          <w:iCs/>
        </w:rPr>
        <w:t xml:space="preserve">of 21 resources and practical guidance documents </w:t>
      </w:r>
      <w:r w:rsidRPr="004C3E8F">
        <w:rPr>
          <w:rFonts w:ascii="Calibri" w:hAnsi="Calibri" w:cs="Calibri"/>
          <w:b/>
          <w:bCs/>
          <w:i/>
          <w:iCs/>
        </w:rPr>
        <w:t xml:space="preserve">as part of </w:t>
      </w:r>
      <w:r w:rsidRPr="004C3E8F">
        <w:rPr>
          <w:rFonts w:ascii="Calibri" w:hAnsi="Calibri" w:cs="Calibri"/>
          <w:b/>
          <w:bCs/>
          <w:i/>
          <w:iCs/>
        </w:rPr>
        <w:t xml:space="preserve">a </w:t>
      </w:r>
      <w:r w:rsidRPr="004C3E8F">
        <w:rPr>
          <w:rFonts w:ascii="Calibri" w:hAnsi="Calibri" w:cs="Calibri"/>
          <w:b/>
          <w:bCs/>
          <w:i/>
          <w:iCs/>
        </w:rPr>
        <w:t xml:space="preserve">Department of Health and Social Care funded projected focusing on identifying and assessing existing grey literature on transitions for young people, including guidance, legislation, policy frameworks, and practice tools.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The current resource landscape is fragmented and spread across multiple organisations, creating a navigation burden for professionals, young people and families. This suggests that, while resources do exist, they are not sufficiently joined up to consistently support young people’s needs, wishes and aspirations throughout transition planning and after transition.</w:t>
      </w:r>
    </w:p>
    <w:p w:rsidR="005B5906" w:rsidRPr="004C3E8F" w:rsidP="00A07AA2">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 xml:space="preserve">There </w:t>
      </w:r>
      <w:r w:rsidRPr="004C3E8F">
        <w:rPr>
          <w:rFonts w:ascii="Calibri" w:hAnsi="Calibri" w:cs="Calibri"/>
          <w:b/>
          <w:bCs/>
          <w:i/>
          <w:iCs/>
        </w:rPr>
        <w:t>is</w:t>
      </w:r>
      <w:r w:rsidRPr="004C3E8F">
        <w:rPr>
          <w:rFonts w:ascii="Calibri" w:hAnsi="Calibri" w:cs="Calibri"/>
          <w:b/>
          <w:bCs/>
          <w:i/>
          <w:iCs/>
        </w:rPr>
        <w:t xml:space="preserve"> a strong legal and policy framework underpinning transition</w:t>
      </w:r>
      <w:r w:rsidRPr="004C3E8F">
        <w:rPr>
          <w:rFonts w:ascii="Calibri" w:hAnsi="Calibri" w:cs="Calibri"/>
          <w:b/>
          <w:bCs/>
          <w:i/>
          <w:iCs/>
        </w:rPr>
        <w:t>s</w:t>
      </w:r>
      <w:r w:rsidRPr="004C3E8F">
        <w:rPr>
          <w:rFonts w:ascii="Calibri" w:hAnsi="Calibri" w:cs="Calibri"/>
          <w:b/>
          <w:bCs/>
          <w:i/>
          <w:iCs/>
        </w:rPr>
        <w:t>, but statutory guidance provides limited practical support for implementation or use by families and young people. This points to a gap between policy expectations and the practical tools needed to deliver person-centred transition support.</w:t>
      </w:r>
    </w:p>
    <w:p w:rsidR="005B5906" w:rsidRPr="004C3E8F" w:rsidP="00A07AA2">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 xml:space="preserve">There is also a need for more accessible resources. </w:t>
      </w:r>
      <w:r w:rsidRPr="004C3E8F">
        <w:rPr>
          <w:rFonts w:ascii="Calibri" w:hAnsi="Calibri" w:cs="Calibri"/>
          <w:b/>
          <w:bCs/>
          <w:i/>
          <w:iCs/>
        </w:rPr>
        <w:t>The majority of</w:t>
      </w:r>
      <w:r w:rsidRPr="004C3E8F">
        <w:rPr>
          <w:rFonts w:ascii="Calibri" w:hAnsi="Calibri" w:cs="Calibri"/>
          <w:b/>
          <w:bCs/>
          <w:i/>
          <w:iCs/>
        </w:rPr>
        <w:t xml:space="preserve"> resources are text-heavy PDFs</w:t>
      </w:r>
      <w:r w:rsidRPr="004C3E8F">
        <w:rPr>
          <w:rFonts w:ascii="Calibri" w:hAnsi="Calibri" w:cs="Calibri"/>
          <w:b/>
          <w:bCs/>
          <w:i/>
          <w:iCs/>
        </w:rPr>
        <w:t>,</w:t>
      </w:r>
      <w:r w:rsidRPr="004C3E8F">
        <w:rPr>
          <w:rFonts w:ascii="Calibri" w:hAnsi="Calibri" w:cs="Calibri"/>
          <w:b/>
          <w:bCs/>
          <w:i/>
          <w:iCs/>
        </w:rPr>
        <w:t xml:space="preserve"> and there are limited easy read, youth-friendly formats. Young people often need additional support to interpret resources and use the resources to help them </w:t>
      </w:r>
      <w:r w:rsidRPr="004C3E8F">
        <w:rPr>
          <w:rFonts w:ascii="Calibri" w:hAnsi="Calibri" w:cs="Calibri"/>
          <w:b/>
          <w:bCs/>
          <w:i/>
          <w:iCs/>
        </w:rPr>
        <w:t>with</w:t>
      </w:r>
      <w:r w:rsidRPr="004C3E8F">
        <w:rPr>
          <w:rFonts w:ascii="Calibri" w:hAnsi="Calibri" w:cs="Calibri"/>
          <w:b/>
          <w:bCs/>
          <w:i/>
          <w:iCs/>
        </w:rPr>
        <w:t xml:space="preserve"> what they need.</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resourcing is required to enable co-production of transition strategies/policies </w:t>
      </w:r>
    </w:p>
    <w:p w:rsidR="005B5906" w:rsidRPr="004C3E8F" w:rsidP="00091A28">
      <w:pPr>
        <w:pStyle w:val="NoSpacing"/>
        <w:rPr>
          <w:rFonts w:ascii="Calibri" w:hAnsi="Calibri" w:cs="Calibri"/>
          <w:b/>
          <w:bCs/>
          <w:i/>
          <w:iCs/>
        </w:rPr>
      </w:pPr>
      <w:r w:rsidRPr="004C3E8F">
        <w:rPr>
          <w:rFonts w:ascii="Calibri" w:hAnsi="Calibri" w:cs="Calibri"/>
          <w:b/>
          <w:bCs/>
          <w:i/>
          <w:iCs/>
        </w:rPr>
        <w:t xml:space="preserve">and provide feedback on the outcomes of the co-produced initiatives?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Our desktop review points to resources being informed by case studies which reflect lived experience, but the resources themselves are not co-produced.</w:t>
      </w:r>
    </w:p>
    <w:p w:rsidR="005B5906" w:rsidRPr="004C3E8F" w:rsidP="00A07AA2">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Meaningful co-production requires a nationally recognised, co-produced transition resource bringing together legal rights, practical tools, escalation routes, and accessible formats specifically for young people and families. This would provide a clearer basis for feeding back to young people and families about how their involvement has shaped policy and practice.</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How are young people, and their carers, involved in their transition planning and what methods are effective in supporting involvement? </w:t>
      </w:r>
    </w:p>
    <w:p w:rsidR="005B5906" w:rsidRPr="004C3E8F" w:rsidP="00A07AA2">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Evidence suggests that involvement is limited where resources primarily explain systems rather than support active decision making. Government factsheets and public information focus on explaining processes rather than supporting decision-making.</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does effective inclusion of young people in the planning and delivery of their transition look like?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Effective inclusion means treating transition as a process and not a single event to prepare for. It also requires early planning and whole-family and whole-system working.</w:t>
      </w:r>
    </w:p>
    <w:p w:rsidR="005B5906" w:rsidRPr="004C3E8F" w:rsidP="00A07AA2">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The evidence suggests that inclusion is strongest when young people and families are supported to understand and use information, rather than simply being given information. At present, many resources are text-heavy PDFs, lack visual tools, and have limited easy read, youth-friendly formats.</w:t>
      </w:r>
    </w:p>
    <w:p w:rsidR="005B5906" w:rsidRPr="004C3E8F" w:rsidP="00A07AA2">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Effective inclusion would involve young people and carers in service design, because while some resources reflect lived experience, the resources themselves are not co-produced.</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are the impacts of co-producing transition policies and strategies with children and young people?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The evidence suggests that co-production would help address some of the key weaknesses in the current transition resource landscape. Current materials are fragmented, often largely text-based, and do not always support decision making.</w:t>
      </w:r>
    </w:p>
    <w:p w:rsidR="005B5906" w:rsidRPr="004C3E8F" w:rsidP="00A07AA2">
      <w:pPr>
        <w:pStyle w:val="NoSpacing"/>
        <w:rPr>
          <w:rFonts w:ascii="Calibri" w:hAnsi="Calibri" w:cs="Calibri"/>
          <w:b/>
          <w:bCs/>
          <w:i/>
          <w:iCs/>
        </w:rPr>
      </w:pPr>
    </w:p>
    <w:p w:rsidR="005B5906" w:rsidRPr="004C3E8F" w:rsidP="00A07AA2">
      <w:pPr>
        <w:pStyle w:val="NoSpacing"/>
        <w:rPr>
          <w:rFonts w:ascii="Calibri" w:hAnsi="Calibri" w:cs="Calibri"/>
          <w:b/>
          <w:bCs/>
          <w:i/>
          <w:iCs/>
        </w:rPr>
      </w:pPr>
      <w:r w:rsidRPr="004C3E8F">
        <w:rPr>
          <w:rFonts w:ascii="Calibri" w:hAnsi="Calibri" w:cs="Calibri"/>
          <w:b/>
          <w:bCs/>
          <w:i/>
          <w:iCs/>
        </w:rPr>
        <w:t xml:space="preserve">A co-produced approach could help ensure resources are more practical, accessible and reflective of the real experiences of young people and families. The need identified is for a nationally recognised, </w:t>
      </w:r>
      <w:r w:rsidRPr="004C3E8F">
        <w:rPr>
          <w:rFonts w:ascii="Calibri" w:hAnsi="Calibri" w:cs="Calibri"/>
          <w:b/>
          <w:bCs/>
          <w:i/>
          <w:iCs/>
        </w:rPr>
        <w:t>co-produced</w:t>
      </w:r>
      <w:r w:rsidRPr="004C3E8F">
        <w:rPr>
          <w:rFonts w:ascii="Calibri" w:hAnsi="Calibri" w:cs="Calibri"/>
          <w:b/>
          <w:bCs/>
          <w:i/>
          <w:iCs/>
        </w:rPr>
        <w:t xml:space="preserve"> transition resource that brings together legal rights, practical tools, escalation routes, and accessible formats.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does a good transition service look like, and how is an effective transition defined, measured and monitored at both individual and service levels? </w:t>
      </w:r>
    </w:p>
    <w:p w:rsidR="005B5906" w:rsidRPr="004C3E8F" w:rsidP="00091A28">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A good transition service is one that recognises transition as a process and not a single event to prepare for. It should support early planning and whole-family and whole-system working.</w:t>
      </w:r>
    </w:p>
    <w:p w:rsidR="005B5906" w:rsidRPr="004C3E8F" w:rsidP="00AB281A">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The evidence suggests that good transition support should be joined up across health, social care, education and safeguarding, rather than leaving young people and families to navigate fragmented systems. </w:t>
      </w:r>
    </w:p>
    <w:p w:rsidR="005B5906" w:rsidRPr="004C3E8F" w:rsidP="00AB281A">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A good service would also provide practical, accessible support, including legal rights, practical tools, escalation routes, and accessible formats.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Are the current guidelines for the involvement of individuals and their carers in the transition to adult services appropriate for the needs of young people and services? </w:t>
      </w:r>
    </w:p>
    <w:p w:rsidR="005B5906" w:rsidRPr="004C3E8F" w:rsidP="00091A28">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There </w:t>
      </w:r>
      <w:r w:rsidRPr="004C3E8F">
        <w:rPr>
          <w:rFonts w:ascii="Calibri" w:hAnsi="Calibri" w:cs="Calibri"/>
          <w:b/>
          <w:bCs/>
          <w:i/>
          <w:iCs/>
        </w:rPr>
        <w:t>is</w:t>
      </w:r>
      <w:r w:rsidRPr="004C3E8F">
        <w:rPr>
          <w:rFonts w:ascii="Calibri" w:hAnsi="Calibri" w:cs="Calibri"/>
          <w:b/>
          <w:bCs/>
          <w:i/>
          <w:iCs/>
        </w:rPr>
        <w:t xml:space="preserve"> a strong legal and policy framework underpinning transition and clear recognition across resources of transition as a process and not a single event.</w:t>
      </w:r>
    </w:p>
    <w:p w:rsidR="005B5906" w:rsidRPr="004C3E8F" w:rsidP="00AB281A">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However, the evidence suggests that current guidance is not sufficient on its own. Statutory guidance provides strong legal clarity and </w:t>
      </w:r>
      <w:r w:rsidRPr="004C3E8F">
        <w:rPr>
          <w:rFonts w:ascii="Calibri" w:hAnsi="Calibri" w:cs="Calibri"/>
          <w:b/>
          <w:bCs/>
          <w:i/>
          <w:iCs/>
        </w:rPr>
        <w:t>accountability, but</w:t>
      </w:r>
      <w:r w:rsidRPr="004C3E8F">
        <w:rPr>
          <w:rFonts w:ascii="Calibri" w:hAnsi="Calibri" w:cs="Calibri"/>
          <w:b/>
          <w:bCs/>
          <w:i/>
          <w:iCs/>
        </w:rPr>
        <w:t xml:space="preserve"> limited practical support for implementation or use by families and young people.</w:t>
      </w:r>
    </w:p>
    <w:p w:rsidR="005B5906" w:rsidRPr="004C3E8F" w:rsidP="00AB281A">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Many resources are also outdated, largely text-based, and focus on explaining processes rather than supporting decision making.</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How are underserved or vulnerable patient groups, including those with special educational needs and disabilities involved in their own transition planning?</w:t>
      </w:r>
    </w:p>
    <w:p w:rsidR="005B5906" w:rsidRPr="004C3E8F" w:rsidP="00091A28">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There is limited practical guidance on addressing inequalities in transition experiences, including for young people from minoritised ethnic backgrounds, care experienced young people, those with communication needs, or families facing digital exclusion.</w:t>
      </w:r>
    </w:p>
    <w:p w:rsidR="005B5906" w:rsidRPr="004C3E8F" w:rsidP="00AB281A">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For young people with SEND, the gap is particularly clear. There is </w:t>
      </w:r>
      <w:r w:rsidRPr="004C3E8F">
        <w:rPr>
          <w:rFonts w:ascii="Calibri" w:hAnsi="Calibri" w:cs="Calibri"/>
          <w:b/>
          <w:bCs/>
          <w:i/>
          <w:iCs/>
        </w:rPr>
        <w:t>no</w:t>
      </w:r>
      <w:r w:rsidRPr="004C3E8F">
        <w:rPr>
          <w:rFonts w:ascii="Calibri" w:hAnsi="Calibri" w:cs="Calibri"/>
          <w:b/>
          <w:bCs/>
          <w:i/>
          <w:iCs/>
        </w:rPr>
        <w:t xml:space="preserve"> real focus on SEND guidance</w:t>
      </w:r>
      <w:r w:rsidRPr="004C3E8F">
        <w:rPr>
          <w:rFonts w:ascii="Calibri" w:hAnsi="Calibri" w:cs="Calibri"/>
          <w:b/>
          <w:bCs/>
          <w:i/>
          <w:iCs/>
        </w:rPr>
        <w:t>,</w:t>
      </w:r>
      <w:r w:rsidRPr="004C3E8F">
        <w:rPr>
          <w:rFonts w:ascii="Calibri" w:hAnsi="Calibri" w:cs="Calibri"/>
          <w:b/>
          <w:bCs/>
          <w:i/>
          <w:iCs/>
        </w:rPr>
        <w:t xml:space="preserve"> and young people and families are left to join the dots. SEND young people are often grouped into young people with additional</w:t>
      </w:r>
      <w:r w:rsidRPr="004C3E8F">
        <w:rPr>
          <w:rFonts w:ascii="Calibri" w:hAnsi="Calibri" w:cs="Calibri"/>
          <w:b/>
          <w:bCs/>
          <w:i/>
          <w:iCs/>
        </w:rPr>
        <w:t xml:space="preserve"> or </w:t>
      </w:r>
      <w:r w:rsidRPr="004C3E8F">
        <w:rPr>
          <w:rFonts w:ascii="Calibri" w:hAnsi="Calibri" w:cs="Calibri"/>
          <w:b/>
          <w:bCs/>
          <w:i/>
          <w:iCs/>
        </w:rPr>
        <w:t>complex needs rather than treated as distinct audiences.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To what extent are underserved or vulnerable service-user groups involved in co production of transition policies and strategies? </w:t>
      </w:r>
    </w:p>
    <w:p w:rsidR="005B5906" w:rsidRPr="004C3E8F" w:rsidP="00091A28">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Some resources are informed by case studies and reflect lived experience, but the resources themselves are not co-produced.</w:t>
      </w:r>
    </w:p>
    <w:p w:rsidR="005B5906" w:rsidRPr="004C3E8F" w:rsidP="00AB281A">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For underserved groups, the evidence points to a further gap. There is limited practical guidance on addressing inequalities in transition experiences, and there is not a real focus on SEND guidance. </w:t>
      </w:r>
    </w:p>
    <w:p w:rsidR="005B5906" w:rsidRPr="004C3E8F" w:rsidP="00091A28">
      <w:pPr>
        <w:pStyle w:val="NoSpacing"/>
        <w:rPr>
          <w:rFonts w:ascii="Calibri" w:hAnsi="Calibri" w:cs="Calibri"/>
          <w:b/>
          <w:bCs/>
          <w:i/>
          <w:iCs/>
        </w:rPr>
      </w:pPr>
    </w:p>
    <w:p w:rsidR="005B5906" w:rsidRPr="004C3E8F" w:rsidP="00A07AA2">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PROMOTING EQUITY ACROSS THE TRANSITION</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Do services have the capacity and funding to deliver on these statements of intent for young people with additional needs?</w:t>
      </w:r>
    </w:p>
    <w:p w:rsidR="005B5906" w:rsidRPr="004C3E8F" w:rsidP="00091A28">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Resources exist, but they are fragmented and spread across multiple organisations, creating a navigation burden for professionals, young people and families.</w:t>
      </w:r>
    </w:p>
    <w:p w:rsidR="005B5906" w:rsidRPr="004C3E8F" w:rsidP="00AB281A">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There are also clear gaps in accessible formats. </w:t>
      </w:r>
      <w:r w:rsidRPr="004C3E8F">
        <w:rPr>
          <w:rFonts w:ascii="Calibri" w:hAnsi="Calibri" w:cs="Calibri"/>
          <w:b/>
          <w:bCs/>
          <w:i/>
          <w:iCs/>
        </w:rPr>
        <w:t>The majority of</w:t>
      </w:r>
      <w:r w:rsidRPr="004C3E8F">
        <w:rPr>
          <w:rFonts w:ascii="Calibri" w:hAnsi="Calibri" w:cs="Calibri"/>
          <w:b/>
          <w:bCs/>
          <w:i/>
          <w:iCs/>
        </w:rPr>
        <w:t xml:space="preserve"> resources are text-heavy PDFs, there are limited easy read, youth-friendly formats, and there aren’t alternative formats such as audio or video formats.</w:t>
      </w:r>
    </w:p>
    <w:p w:rsidR="005B5906" w:rsidRPr="004C3E8F" w:rsidP="00AB281A">
      <w:pPr>
        <w:pStyle w:val="NoSpacing"/>
        <w:rPr>
          <w:rFonts w:ascii="Calibri" w:hAnsi="Calibri" w:cs="Calibri"/>
          <w:b/>
          <w:bCs/>
          <w:i/>
          <w:iCs/>
        </w:rPr>
      </w:pPr>
    </w:p>
    <w:p w:rsidR="005B5906" w:rsidRPr="004C3E8F" w:rsidP="00AB281A">
      <w:pPr>
        <w:pStyle w:val="NoSpacing"/>
        <w:rPr>
          <w:rFonts w:ascii="Calibri" w:hAnsi="Calibri" w:cs="Calibri"/>
          <w:b/>
          <w:bCs/>
          <w:i/>
          <w:iCs/>
        </w:rPr>
      </w:pPr>
      <w:r w:rsidRPr="004C3E8F">
        <w:rPr>
          <w:rFonts w:ascii="Calibri" w:hAnsi="Calibri" w:cs="Calibri"/>
          <w:b/>
          <w:bCs/>
          <w:i/>
          <w:iCs/>
        </w:rPr>
        <w:t xml:space="preserve">For young people with SEND, the evidence identifies not a real focus on SEND guidance, with young people and families left to join the dots.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Do all staff involved in transition services receive training that is culturally competent based on local population needs? </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There is limited practical guidance on addressing inequalities in transition experiences, including for young people from minoritised ethnic backgrounds, care experienced young people, those with communication needs and families facing digital exclusion.</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This suggests that culturally competent practice requires stronger practical guidance and evidence-informed support for professionals. SCIE’s new</w:t>
      </w:r>
      <w:r w:rsidRPr="004C3E8F">
        <w:rPr>
          <w:rFonts w:ascii="Calibri" w:hAnsi="Calibri" w:cs="Calibri"/>
          <w:b/>
          <w:bCs/>
          <w:i/>
          <w:iCs/>
        </w:rPr>
        <w:t xml:space="preserve"> Care Equity Evidence Hub may help support this by bringing together research, data and practice evidence to inform policy, commissioning and practice decisions.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How effective are services in addressing the specific needs of young people as individuals?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While best practice resources often focus on person centred approaches, this is not consistent across the system.</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Our desktop review</w:t>
      </w:r>
      <w:r w:rsidRPr="004C3E8F">
        <w:rPr>
          <w:rFonts w:ascii="Calibri" w:hAnsi="Calibri" w:cs="Calibri"/>
          <w:b/>
          <w:bCs/>
          <w:i/>
          <w:iCs/>
        </w:rPr>
        <w:t xml:space="preserve"> of evidence</w:t>
      </w:r>
      <w:r w:rsidRPr="004C3E8F">
        <w:rPr>
          <w:rFonts w:ascii="Calibri" w:hAnsi="Calibri" w:cs="Calibri"/>
          <w:b/>
          <w:bCs/>
          <w:i/>
          <w:iCs/>
        </w:rPr>
        <w:t xml:space="preserve"> identified </w:t>
      </w:r>
      <w:r w:rsidRPr="004C3E8F">
        <w:rPr>
          <w:rFonts w:ascii="Calibri" w:hAnsi="Calibri" w:cs="Calibri"/>
          <w:b/>
          <w:bCs/>
          <w:i/>
          <w:iCs/>
        </w:rPr>
        <w:t xml:space="preserve">limited practical guidance on addressing inequalities in transition experiences, and resources are often text-heavy PDFs with limited easy read, youth-friendly formats. Young people would often need additional support to interpret resources and use the resources to help them </w:t>
      </w:r>
      <w:r w:rsidRPr="004C3E8F">
        <w:rPr>
          <w:rFonts w:ascii="Calibri" w:hAnsi="Calibri" w:cs="Calibri"/>
          <w:b/>
          <w:bCs/>
          <w:i/>
          <w:iCs/>
        </w:rPr>
        <w:t>with</w:t>
      </w:r>
      <w:r w:rsidRPr="004C3E8F">
        <w:rPr>
          <w:rFonts w:ascii="Calibri" w:hAnsi="Calibri" w:cs="Calibri"/>
          <w:b/>
          <w:bCs/>
          <w:i/>
          <w:iCs/>
        </w:rPr>
        <w:t xml:space="preserve"> what they need.</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To what extent are services providing the right tools to ensure that all young people can communicate their needs?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The majority of</w:t>
      </w:r>
      <w:r w:rsidRPr="004C3E8F">
        <w:rPr>
          <w:rFonts w:ascii="Calibri" w:hAnsi="Calibri" w:cs="Calibri"/>
          <w:b/>
          <w:bCs/>
          <w:i/>
          <w:iCs/>
        </w:rPr>
        <w:t xml:space="preserve"> resources are text-heavy PDFs and don’t have visual tools. There are limited easy read, youth-friendly formats and there aren’t alternative formats such as audio or video formats.</w:t>
      </w:r>
      <w:r w:rsidRPr="004C3E8F">
        <w:rPr>
          <w:rFonts w:ascii="Calibri" w:hAnsi="Calibri" w:cs="Calibri"/>
          <w:b/>
          <w:bCs/>
          <w:i/>
          <w:iCs/>
        </w:rPr>
        <w:t xml:space="preserve"> </w:t>
      </w:r>
      <w:r w:rsidRPr="004C3E8F">
        <w:rPr>
          <w:rFonts w:ascii="Calibri" w:hAnsi="Calibri" w:cs="Calibri"/>
          <w:b/>
          <w:bCs/>
          <w:i/>
          <w:iCs/>
        </w:rPr>
        <w:t xml:space="preserve">This is particularly important for young people with communication needs.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To what extent is data recorded and monitored for effectiveness and quality of the transition for individuals from underserved patient groups, or with protected characteristics?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 xml:space="preserve">The evidence highlights the importance of data and evidence in understanding </w:t>
      </w:r>
      <w:r w:rsidRPr="004C3E8F">
        <w:rPr>
          <w:rFonts w:ascii="Calibri" w:hAnsi="Calibri" w:cs="Calibri"/>
          <w:b/>
          <w:bCs/>
          <w:i/>
          <w:iCs/>
        </w:rPr>
        <w:t>inequalities, but</w:t>
      </w:r>
      <w:r w:rsidRPr="004C3E8F">
        <w:rPr>
          <w:rFonts w:ascii="Calibri" w:hAnsi="Calibri" w:cs="Calibri"/>
          <w:b/>
          <w:bCs/>
          <w:i/>
          <w:iCs/>
        </w:rPr>
        <w:t xml:space="preserve"> does not show that transition-specific data is consistently recorded and monitored.</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The Care Equity Evidence Hub brings together research, data and practice evidence and highlights where inequities exist in access to care and support, experiences of care and outcomes from care. This provides a foundation for better understanding inequity</w:t>
      </w:r>
      <w:r w:rsidRPr="004C3E8F">
        <w:rPr>
          <w:rFonts w:ascii="Calibri" w:hAnsi="Calibri" w:cs="Calibri"/>
          <w:b/>
          <w:bCs/>
          <w:i/>
          <w:iCs/>
        </w:rPr>
        <w:t>,</w:t>
      </w:r>
      <w:r w:rsidRPr="004C3E8F">
        <w:rPr>
          <w:rFonts w:ascii="Calibri" w:hAnsi="Calibri" w:cs="Calibri"/>
          <w:b/>
          <w:bCs/>
          <w:i/>
          <w:iCs/>
        </w:rPr>
        <w:t xml:space="preserve"> with further work planned for exploring transitions.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is the impact of the provision, or lack of provision, of person-centred care for individuals with additional needs?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Existing resources are fragmented and spread across multiple organisations, creating a navigation burden for professionals, young people and families.</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 xml:space="preserve">For young people with SEND, the evidence states that there is not a real focus on SEND guidance and that young people and families are left to join the dots. </w:t>
      </w:r>
    </w:p>
    <w:p w:rsidR="005B5906" w:rsidRPr="004C3E8F" w:rsidP="009426AB">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Conversely, resources that focus on lived experience, whole system and </w:t>
      </w:r>
      <w:r w:rsidRPr="004C3E8F">
        <w:rPr>
          <w:rFonts w:ascii="Calibri" w:hAnsi="Calibri" w:cs="Calibri"/>
          <w:b/>
          <w:bCs/>
          <w:i/>
          <w:iCs/>
        </w:rPr>
        <w:t>person-centred</w:t>
      </w:r>
      <w:r w:rsidRPr="004C3E8F">
        <w:rPr>
          <w:rFonts w:ascii="Calibri" w:hAnsi="Calibri" w:cs="Calibri"/>
          <w:b/>
          <w:bCs/>
          <w:i/>
          <w:iCs/>
        </w:rPr>
        <w:t xml:space="preserve"> approaches appear better aligned with effective transition support.</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is the impact of comprehensive data collection and usage for young people with additional needs and/or protected characteristics?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 xml:space="preserve">The evidence suggests that comprehensive data collection and use can support more informed and equitable </w:t>
      </w:r>
      <w:r w:rsidRPr="004C3E8F">
        <w:rPr>
          <w:rFonts w:ascii="Calibri" w:hAnsi="Calibri" w:cs="Calibri"/>
          <w:b/>
          <w:bCs/>
          <w:i/>
          <w:iCs/>
        </w:rPr>
        <w:t>decision-making</w:t>
      </w:r>
      <w:r w:rsidRPr="004C3E8F">
        <w:rPr>
          <w:rFonts w:ascii="Calibri" w:hAnsi="Calibri" w:cs="Calibri"/>
          <w:b/>
          <w:bCs/>
          <w:i/>
          <w:iCs/>
        </w:rPr>
        <w:t>. The Care Equity Evidence Hub brings together research, data and practice evidence in one place to support more informed policy, commissioning and practice decisions.</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It helps stakeholders identify where inequities exist in access to care and support, experiences of care and outcomes from care, and presents evidence on approaches that may help address them.</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By translating evidence into accessible summaries and practical insights, the Hub helps bridge the gap between research and policy, commissioning and frontline practice. This suggests that better use of data can support more targeted action for young people with additional needs and protected characteristics.</w:t>
      </w:r>
    </w:p>
    <w:p w:rsidR="005B5906" w:rsidRPr="004C3E8F" w:rsidP="009426AB">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We would be happy to be guided by </w:t>
      </w:r>
      <w:r w:rsidRPr="004C3E8F">
        <w:rPr>
          <w:rFonts w:ascii="Calibri" w:hAnsi="Calibri" w:cs="Calibri"/>
          <w:b/>
          <w:bCs/>
          <w:i/>
          <w:iCs/>
        </w:rPr>
        <w:t xml:space="preserve">the learning from this call for evidence </w:t>
      </w:r>
      <w:r w:rsidRPr="004C3E8F">
        <w:rPr>
          <w:rFonts w:ascii="Calibri" w:hAnsi="Calibri" w:cs="Calibri"/>
          <w:b/>
          <w:bCs/>
          <w:i/>
          <w:iCs/>
        </w:rPr>
        <w:t xml:space="preserve">as to what further work and evidence would support transitions. </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How appropriately are health and social care services providing tailored care to individuals with additional needs?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 xml:space="preserve">The evidence suggests that tailored support is not yet consistently available. While some best practice resources focus on </w:t>
      </w:r>
      <w:r w:rsidRPr="004C3E8F">
        <w:rPr>
          <w:rFonts w:ascii="Calibri" w:hAnsi="Calibri" w:cs="Calibri"/>
          <w:b/>
          <w:bCs/>
          <w:i/>
          <w:iCs/>
        </w:rPr>
        <w:t>person-centred</w:t>
      </w:r>
      <w:r w:rsidRPr="004C3E8F">
        <w:rPr>
          <w:rFonts w:ascii="Calibri" w:hAnsi="Calibri" w:cs="Calibri"/>
          <w:b/>
          <w:bCs/>
          <w:i/>
          <w:iCs/>
        </w:rPr>
        <w:t xml:space="preserve"> approaches, the wider resource landscape is fragmented.</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There is limited practical guidance on addressing inequalities in transition experiences and there is no real focus on SEND guidance. Young people with SEND are often grouped into young people with additional/complex needs rather than recognised as distinct audiences.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To what extent are services able to accommodate different communication needs for individuals with communication difficulties?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Services are not yet fully equipped to accommodate different communication needs. Our desktop review found that young people with communication needs is a group for whom there is limited practical guidance on addressing inequalities in transition experiences.</w:t>
      </w:r>
    </w:p>
    <w:p w:rsidR="005B5906" w:rsidRPr="004C3E8F" w:rsidP="009426AB">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The accessibility of resources is also limited. </w:t>
      </w:r>
      <w:r w:rsidRPr="004C3E8F">
        <w:rPr>
          <w:rFonts w:ascii="Calibri" w:hAnsi="Calibri" w:cs="Calibri"/>
          <w:b/>
          <w:bCs/>
          <w:i/>
          <w:iCs/>
        </w:rPr>
        <w:t>The majority of</w:t>
      </w:r>
      <w:r w:rsidRPr="004C3E8F">
        <w:rPr>
          <w:rFonts w:ascii="Calibri" w:hAnsi="Calibri" w:cs="Calibri"/>
          <w:b/>
          <w:bCs/>
          <w:i/>
          <w:iCs/>
        </w:rPr>
        <w:t xml:space="preserve"> resources are text-heavy PDFs, there are limited easy read, youth-friendly formats, and there aren’t alternative formats such as audio or video formats.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How are underserved or vulnerable patient groups considered in the planning, strategy and delivery of transition services?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There is limited practical guidance on addressing inequalities in transition experiences, including for young people from minoritised ethnic backgrounds, care experienced young people, those with communication needs, or families facing digital exclusion.</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SEND is also a clear gap. There is no real focus on SEND guidance, and young people and families are left to join the dots.</w:t>
      </w:r>
    </w:p>
    <w:p w:rsidR="005B5906" w:rsidRPr="004C3E8F" w:rsidP="009426AB">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 xml:space="preserve">There is a need for a nationally recognised, </w:t>
      </w:r>
      <w:r w:rsidRPr="004C3E8F">
        <w:rPr>
          <w:rFonts w:ascii="Calibri" w:hAnsi="Calibri" w:cs="Calibri"/>
          <w:b/>
          <w:bCs/>
          <w:i/>
          <w:iCs/>
        </w:rPr>
        <w:t>co-produced</w:t>
      </w:r>
      <w:r w:rsidRPr="004C3E8F">
        <w:rPr>
          <w:rFonts w:ascii="Calibri" w:hAnsi="Calibri" w:cs="Calibri"/>
          <w:b/>
          <w:bCs/>
          <w:i/>
          <w:iCs/>
        </w:rPr>
        <w:t xml:space="preserve"> transition resource covering SEND, health, social care and safeguarding whereby planning and delivery are more explicitly designed around the needs of underserved and vulnerable groups.</w:t>
      </w:r>
    </w:p>
    <w:p w:rsidR="005B5906" w:rsidRPr="004C3E8F" w:rsidP="00091A28">
      <w:pPr>
        <w:pStyle w:val="NoSpacing"/>
        <w:rPr>
          <w:rFonts w:ascii="Calibri" w:hAnsi="Calibri" w:cs="Calibri"/>
          <w:b/>
          <w:bCs/>
          <w:i/>
          <w:iCs/>
        </w:rPr>
      </w:pPr>
    </w:p>
    <w:p w:rsidR="005B5906" w:rsidRPr="004C3E8F" w:rsidP="00091A28">
      <w:pPr>
        <w:pStyle w:val="NoSpacing"/>
        <w:rPr>
          <w:rFonts w:ascii="Calibri" w:hAnsi="Calibri" w:cs="Calibri"/>
          <w:b/>
          <w:bCs/>
          <w:i/>
          <w:iCs/>
        </w:rPr>
      </w:pPr>
      <w:r w:rsidRPr="004C3E8F">
        <w:rPr>
          <w:rFonts w:ascii="Calibri" w:hAnsi="Calibri" w:cs="Calibri"/>
          <w:b/>
          <w:bCs/>
          <w:i/>
          <w:iCs/>
        </w:rPr>
        <w:t xml:space="preserve">What extra data is captured for young people with additional needs, specifically those at the intersection of different protected characteristics? </w:t>
      </w:r>
    </w:p>
    <w:p w:rsidR="005B5906" w:rsidRPr="004C3E8F" w:rsidP="00091A28">
      <w:pPr>
        <w:pStyle w:val="NoSpacing"/>
        <w:rPr>
          <w:rFonts w:ascii="Calibri" w:hAnsi="Calibri" w:cs="Calibri"/>
          <w:b/>
          <w:bCs/>
          <w:i/>
          <w:iCs/>
        </w:rPr>
      </w:pPr>
    </w:p>
    <w:p w:rsidR="005B5906" w:rsidRPr="004C3E8F" w:rsidP="009426AB">
      <w:pPr>
        <w:pStyle w:val="NoSpacing"/>
        <w:rPr>
          <w:rFonts w:ascii="Calibri" w:hAnsi="Calibri" w:cs="Calibri"/>
          <w:b/>
          <w:bCs/>
          <w:i/>
          <w:iCs/>
        </w:rPr>
      </w:pPr>
      <w:r w:rsidRPr="004C3E8F">
        <w:rPr>
          <w:rFonts w:ascii="Calibri" w:hAnsi="Calibri" w:cs="Calibri"/>
          <w:b/>
          <w:bCs/>
          <w:i/>
          <w:iCs/>
        </w:rPr>
        <w:t>Inequities in adult social care can be shaped by where people live, their socioeconomic circumstances, ethnicity, disability, gender, or the availability of services in their area. Better data on intersecting characteristics would support more informed planning, commissioning and practice, particularly for young people whose transition experiences may be shaped by multiple forms of disadvantage.</w:t>
      </w:r>
    </w:p>
    <w:p w:rsidR="005B5906" w:rsidP="00091A28">
      <w:pPr>
        <w:pStyle w:val="NoSpacing"/>
        <w:rPr>
          <w:rFonts w:ascii="Calibri" w:hAnsi="Calibri" w:cs="Calibri"/>
          <w:b/>
          <w:bCs/>
          <w:i/>
          <w:iCs/>
        </w:rPr>
      </w:pPr>
    </w:p>
    <w:p w:rsidR="004C3E8F" w:rsidP="00091A28">
      <w:pPr>
        <w:pStyle w:val="NoSpacing"/>
        <w:rPr>
          <w:rFonts w:ascii="Calibri" w:hAnsi="Calibri" w:cs="Calibri"/>
          <w:b/>
          <w:bCs/>
          <w:i/>
          <w:iCs/>
        </w:rPr>
      </w:pPr>
    </w:p>
    <w:p w:rsidR="004C3E8F" w:rsidP="00091A28">
      <w:pPr>
        <w:pStyle w:val="NoSpacing"/>
        <w:rPr>
          <w:rFonts w:ascii="Calibri" w:hAnsi="Calibri" w:cs="Calibri"/>
          <w:b/>
          <w:bCs/>
          <w:i/>
          <w:iCs/>
        </w:rPr>
      </w:pPr>
    </w:p>
    <w:p w:rsidR="004C3E8F" w:rsidRPr="004C3E8F" w:rsidP="00091A28">
      <w:pPr>
        <w:pStyle w:val="NoSpacing"/>
        <w:rPr>
          <w:rFonts w:ascii="Calibri" w:hAnsi="Calibri" w:cs="Calibri"/>
          <w:i/>
          <w:iCs/>
        </w:rPr>
      </w:pPr>
      <w:r w:rsidRPr="004C3E8F">
        <w:rPr>
          <w:rFonts w:ascii="Calibri" w:hAnsi="Calibri" w:cs="Calibri"/>
          <w:i/>
          <w:iCs/>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A13A7"/>
    <w:multiLevelType w:val="multilevel"/>
    <w:tmpl w:val="4016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087AA1"/>
    <w:multiLevelType w:val="multilevel"/>
    <w:tmpl w:val="8D20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4B5E23"/>
    <w:multiLevelType w:val="hybridMultilevel"/>
    <w:tmpl w:val="49465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530660"/>
    <w:multiLevelType w:val="multilevel"/>
    <w:tmpl w:val="633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F9C7A23"/>
    <w:multiLevelType w:val="multilevel"/>
    <w:tmpl w:val="C12C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41274A"/>
    <w:multiLevelType w:val="multilevel"/>
    <w:tmpl w:val="E948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2C846E8"/>
    <w:multiLevelType w:val="hybridMultilevel"/>
    <w:tmpl w:val="F1222F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290890"/>
    <w:multiLevelType w:val="multilevel"/>
    <w:tmpl w:val="6B42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9E7620"/>
    <w:multiLevelType w:val="multilevel"/>
    <w:tmpl w:val="D27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42761A"/>
    <w:multiLevelType w:val="multilevel"/>
    <w:tmpl w:val="428C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5B4360"/>
    <w:multiLevelType w:val="multilevel"/>
    <w:tmpl w:val="FAF8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CF2770"/>
    <w:multiLevelType w:val="multilevel"/>
    <w:tmpl w:val="71C4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AA122D4"/>
    <w:multiLevelType w:val="multilevel"/>
    <w:tmpl w:val="BBC2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D46DDB"/>
    <w:multiLevelType w:val="multilevel"/>
    <w:tmpl w:val="6326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98F60C0"/>
    <w:multiLevelType w:val="multilevel"/>
    <w:tmpl w:val="A630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1F41FF"/>
    <w:multiLevelType w:val="multilevel"/>
    <w:tmpl w:val="39DA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1F4498"/>
    <w:multiLevelType w:val="multilevel"/>
    <w:tmpl w:val="77A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02B7C00"/>
    <w:multiLevelType w:val="multilevel"/>
    <w:tmpl w:val="C818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1773849"/>
    <w:multiLevelType w:val="multilevel"/>
    <w:tmpl w:val="00D6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24920B3"/>
    <w:multiLevelType w:val="multilevel"/>
    <w:tmpl w:val="44C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38C0C35"/>
    <w:multiLevelType w:val="multilevel"/>
    <w:tmpl w:val="F4B43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75B205A"/>
    <w:multiLevelType w:val="multilevel"/>
    <w:tmpl w:val="AC04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9C5DAB"/>
    <w:multiLevelType w:val="multilevel"/>
    <w:tmpl w:val="84E4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FC12DBE"/>
    <w:multiLevelType w:val="hybridMultilevel"/>
    <w:tmpl w:val="00DA1A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3753FBB"/>
    <w:multiLevelType w:val="multilevel"/>
    <w:tmpl w:val="6232A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65A5340"/>
    <w:multiLevelType w:val="multilevel"/>
    <w:tmpl w:val="0864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9523C9"/>
    <w:multiLevelType w:val="multilevel"/>
    <w:tmpl w:val="3880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CEA79D9"/>
    <w:multiLevelType w:val="multilevel"/>
    <w:tmpl w:val="862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2"/>
  </w:num>
  <w:num w:numId="3">
    <w:abstractNumId w:val="0"/>
  </w:num>
  <w:num w:numId="4">
    <w:abstractNumId w:val="9"/>
  </w:num>
  <w:num w:numId="5">
    <w:abstractNumId w:val="25"/>
  </w:num>
  <w:num w:numId="6">
    <w:abstractNumId w:val="23"/>
  </w:num>
  <w:num w:numId="7">
    <w:abstractNumId w:val="18"/>
  </w:num>
  <w:num w:numId="8">
    <w:abstractNumId w:val="26"/>
  </w:num>
  <w:num w:numId="9">
    <w:abstractNumId w:val="17"/>
  </w:num>
  <w:num w:numId="10">
    <w:abstractNumId w:val="24"/>
  </w:num>
  <w:num w:numId="11">
    <w:abstractNumId w:val="7"/>
  </w:num>
  <w:num w:numId="12">
    <w:abstractNumId w:val="1"/>
  </w:num>
  <w:num w:numId="13">
    <w:abstractNumId w:val="15"/>
  </w:num>
  <w:num w:numId="14">
    <w:abstractNumId w:val="27"/>
  </w:num>
  <w:num w:numId="15">
    <w:abstractNumId w:val="12"/>
  </w:num>
  <w:num w:numId="16">
    <w:abstractNumId w:val="3"/>
  </w:num>
  <w:num w:numId="17">
    <w:abstractNumId w:val="19"/>
  </w:num>
  <w:num w:numId="18">
    <w:abstractNumId w:val="11"/>
  </w:num>
  <w:num w:numId="19">
    <w:abstractNumId w:val="5"/>
  </w:num>
  <w:num w:numId="20">
    <w:abstractNumId w:val="20"/>
  </w:num>
  <w:num w:numId="21">
    <w:abstractNumId w:val="16"/>
  </w:num>
  <w:num w:numId="22">
    <w:abstractNumId w:val="21"/>
  </w:num>
  <w:num w:numId="23">
    <w:abstractNumId w:val="8"/>
  </w:num>
  <w:num w:numId="24">
    <w:abstractNumId w:val="10"/>
  </w:num>
  <w:num w:numId="25">
    <w:abstractNumId w:val="13"/>
  </w:num>
  <w:num w:numId="26">
    <w:abstractNumId w:val="4"/>
  </w:num>
  <w:num w:numId="27">
    <w:abstractNumId w:val="6"/>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45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4B2"/>
    <w:rPr>
      <w:rFonts w:eastAsiaTheme="majorEastAsia" w:cstheme="majorBidi"/>
      <w:color w:val="272727" w:themeColor="text1" w:themeTint="D8"/>
    </w:rPr>
  </w:style>
  <w:style w:type="paragraph" w:styleId="Title">
    <w:name w:val="Title"/>
    <w:basedOn w:val="Normal"/>
    <w:next w:val="Normal"/>
    <w:link w:val="TitleChar"/>
    <w:uiPriority w:val="10"/>
    <w:qFormat/>
    <w:rsid w:val="00345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4B2"/>
    <w:pPr>
      <w:spacing w:before="160"/>
      <w:jc w:val="center"/>
    </w:pPr>
    <w:rPr>
      <w:i/>
      <w:iCs/>
      <w:color w:val="404040" w:themeColor="text1" w:themeTint="BF"/>
    </w:rPr>
  </w:style>
  <w:style w:type="character" w:customStyle="1" w:styleId="QuoteChar">
    <w:name w:val="Quote Char"/>
    <w:basedOn w:val="DefaultParagraphFont"/>
    <w:link w:val="Quote"/>
    <w:uiPriority w:val="29"/>
    <w:rsid w:val="003454B2"/>
    <w:rPr>
      <w:i/>
      <w:iCs/>
      <w:color w:val="404040" w:themeColor="text1" w:themeTint="BF"/>
    </w:rPr>
  </w:style>
  <w:style w:type="paragraph" w:styleId="ListParagraph">
    <w:name w:val="List Paragraph"/>
    <w:basedOn w:val="Normal"/>
    <w:uiPriority w:val="34"/>
    <w:qFormat/>
    <w:rsid w:val="003454B2"/>
    <w:pPr>
      <w:ind w:left="720"/>
      <w:contextualSpacing/>
    </w:pPr>
  </w:style>
  <w:style w:type="character" w:styleId="IntenseEmphasis">
    <w:name w:val="Intense Emphasis"/>
    <w:basedOn w:val="DefaultParagraphFont"/>
    <w:uiPriority w:val="21"/>
    <w:qFormat/>
    <w:rsid w:val="003454B2"/>
    <w:rPr>
      <w:i/>
      <w:iCs/>
      <w:color w:val="0F4761" w:themeColor="accent1" w:themeShade="BF"/>
    </w:rPr>
  </w:style>
  <w:style w:type="paragraph" w:styleId="IntenseQuote">
    <w:name w:val="Intense Quote"/>
    <w:basedOn w:val="Normal"/>
    <w:next w:val="Normal"/>
    <w:link w:val="IntenseQuoteChar"/>
    <w:uiPriority w:val="30"/>
    <w:qFormat/>
    <w:rsid w:val="00345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4B2"/>
    <w:rPr>
      <w:i/>
      <w:iCs/>
      <w:color w:val="0F4761" w:themeColor="accent1" w:themeShade="BF"/>
    </w:rPr>
  </w:style>
  <w:style w:type="character" w:styleId="IntenseReference">
    <w:name w:val="Intense Reference"/>
    <w:basedOn w:val="DefaultParagraphFont"/>
    <w:uiPriority w:val="32"/>
    <w:qFormat/>
    <w:rsid w:val="003454B2"/>
    <w:rPr>
      <w:b/>
      <w:bCs/>
      <w:smallCaps/>
      <w:color w:val="0F4761" w:themeColor="accent1" w:themeShade="BF"/>
      <w:spacing w:val="5"/>
    </w:rPr>
  </w:style>
  <w:style w:type="paragraph" w:styleId="NoSpacing">
    <w:name w:val="No Spacing"/>
    <w:uiPriority w:val="1"/>
    <w:qFormat/>
    <w:rsid w:val="003B0316"/>
    <w:pPr>
      <w:spacing w:after="0" w:line="240" w:lineRule="auto"/>
    </w:pPr>
  </w:style>
  <w:style w:type="paragraph" w:styleId="Header">
    <w:name w:val="header"/>
    <w:basedOn w:val="Normal"/>
    <w:link w:val="HeaderChar"/>
    <w:uiPriority w:val="99"/>
    <w:unhideWhenUsed/>
    <w:rsid w:val="004C3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E8F"/>
  </w:style>
  <w:style w:type="paragraph" w:styleId="Footer">
    <w:name w:val="footer"/>
    <w:basedOn w:val="Normal"/>
    <w:link w:val="FooterChar"/>
    <w:uiPriority w:val="99"/>
    <w:unhideWhenUsed/>
    <w:rsid w:val="004C3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TRN0030</dc:title>
  <cp:revision>0</cp:revision>
</cp:coreProperties>
</file>