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2E59" w:rsidRPr="002A6843" w:rsidP="005665C7">
      <w:pPr>
        <w:widowControl w:val="0"/>
        <w:suppressAutoHyphens/>
        <w:autoSpaceDE w:val="0"/>
        <w:autoSpaceDN w:val="0"/>
        <w:spacing w:line="259" w:lineRule="auto"/>
        <w:rPr>
          <w:rFonts w:ascii="Calibri" w:eastAsia="Arial Nova" w:hAnsi="Calibri" w:cs="Calibri"/>
          <w:b/>
          <w:bCs/>
          <w:kern w:val="0"/>
          <w:sz w:val="22"/>
          <w:szCs w:val="22"/>
          <w:lang w:val="en-US" w:eastAsia="en-GB"/>
        </w:rPr>
      </w:pPr>
      <w:bookmarkStart w:id="0" w:name="_Hlk211339302"/>
      <w:bookmarkStart w:id="1" w:name="OLE_LINK14"/>
      <w:r w:rsidRPr="00402B86">
        <w:rPr>
          <w:rFonts w:ascii="Calibri" w:eastAsia="Arial Nova" w:hAnsi="Calibri" w:cs="Calibri"/>
          <w:b/>
          <w:bCs/>
          <w:kern w:val="0"/>
          <w:sz w:val="22"/>
          <w:szCs w:val="22"/>
          <w:lang w:val="en-US" w:eastAsia="en-GB"/>
        </w:rPr>
        <w:t xml:space="preserve">Written evidence submitted by </w:t>
      </w:r>
      <w:r>
        <w:rPr>
          <w:rFonts w:ascii="Calibri" w:eastAsia="Arial Nova" w:hAnsi="Calibri" w:cs="Calibri"/>
          <w:b/>
          <w:bCs/>
          <w:kern w:val="0"/>
          <w:sz w:val="22"/>
          <w:szCs w:val="22"/>
          <w:lang w:val="en-US" w:eastAsia="en-GB"/>
        </w:rPr>
        <w:t>Professor Felicity Matthews</w:t>
      </w:r>
      <w:r w:rsidRPr="005665C7" w:rsidR="005665C7">
        <w:t xml:space="preserve"> </w:t>
      </w:r>
      <w:r w:rsidRPr="005665C7" w:rsidR="005665C7">
        <w:rPr>
          <w:rFonts w:ascii="Calibri" w:eastAsia="Arial Nova" w:hAnsi="Calibri" w:cs="Calibri"/>
          <w:b/>
          <w:bCs/>
          <w:kern w:val="0"/>
          <w:sz w:val="22"/>
          <w:szCs w:val="22"/>
          <w:lang w:val="en-US" w:eastAsia="en-GB"/>
        </w:rPr>
        <w:t>(University of Sheffield)</w:t>
      </w:r>
      <w:r w:rsidRPr="00402B86">
        <w:rPr>
          <w:rFonts w:ascii="Calibri" w:eastAsia="Arial Nova" w:hAnsi="Calibri" w:cs="Calibri"/>
          <w:b/>
          <w:bCs/>
          <w:kern w:val="0"/>
          <w:sz w:val="22"/>
          <w:szCs w:val="22"/>
          <w:lang w:val="en-US" w:eastAsia="en-GB"/>
        </w:rPr>
        <w:t xml:space="preserve"> (BBB001</w:t>
      </w:r>
      <w:r>
        <w:rPr>
          <w:rFonts w:ascii="Calibri" w:eastAsia="Arial Nova" w:hAnsi="Calibri" w:cs="Calibri"/>
          <w:b/>
          <w:bCs/>
          <w:kern w:val="0"/>
          <w:sz w:val="22"/>
          <w:szCs w:val="22"/>
          <w:lang w:val="en-US" w:eastAsia="en-GB"/>
        </w:rPr>
        <w:t>6</w:t>
      </w:r>
      <w:r w:rsidRPr="00402B86">
        <w:rPr>
          <w:rFonts w:ascii="Calibri" w:eastAsia="Arial Nova" w:hAnsi="Calibri" w:cs="Calibri"/>
          <w:b/>
          <w:bCs/>
          <w:kern w:val="0"/>
          <w:sz w:val="22"/>
          <w:szCs w:val="22"/>
          <w:lang w:val="en-US" w:eastAsia="en-GB"/>
        </w:rPr>
        <w:t>)</w:t>
      </w:r>
      <w:bookmarkEnd w:id="0"/>
      <w:bookmarkEnd w:id="1"/>
    </w:p>
    <w:p w:rsidR="00122E59" w:rsidP="00A24CBC">
      <w:pPr>
        <w:jc w:val="both"/>
        <w:rPr>
          <w:rFonts w:ascii="Calibri" w:hAnsi="Calibri" w:cs="Calibri"/>
          <w:sz w:val="22"/>
          <w:szCs w:val="22"/>
        </w:rPr>
      </w:pPr>
    </w:p>
    <w:p w:rsidR="00122E59" w:rsidRPr="00CA6BE9" w:rsidP="00A24CBC">
      <w:pPr>
        <w:jc w:val="both"/>
        <w:rPr>
          <w:rFonts w:ascii="Calibri" w:hAnsi="Calibri" w:cs="Calibri"/>
          <w:sz w:val="22"/>
          <w:szCs w:val="22"/>
        </w:rPr>
      </w:pPr>
      <w:r w:rsidRPr="00CA6BE9">
        <w:rPr>
          <w:rFonts w:ascii="Calibri" w:hAnsi="Calibri" w:cs="Calibri"/>
          <w:sz w:val="22"/>
          <w:szCs w:val="22"/>
        </w:rPr>
        <w:t xml:space="preserve">The evidence below draws directly on my research expertise, which critically examines the exercise of power in the policy process, and the relationships that exist between government, Parliament and citizens, with specific geographical expertise in British Politics. </w:t>
      </w:r>
      <w:r>
        <w:rPr>
          <w:rFonts w:ascii="Calibri" w:hAnsi="Calibri" w:cs="Calibri"/>
          <w:sz w:val="22"/>
          <w:szCs w:val="22"/>
        </w:rPr>
        <w:t>Between</w:t>
      </w:r>
      <w:r w:rsidRPr="00CA6BE9">
        <w:rPr>
          <w:rFonts w:ascii="Calibri" w:hAnsi="Calibri" w:cs="Calibri"/>
          <w:sz w:val="22"/>
          <w:szCs w:val="22"/>
        </w:rPr>
        <w:t xml:space="preserve"> 2018-9, I held a Parliamentary Academic Fellowship, funded by the ESRC, working under the sponsorship of the House of Commons Petitions Committee to explore Members’ understanding of, and attitudes towards, the parliamentary petitions process.</w:t>
      </w:r>
    </w:p>
    <w:p w:rsidR="00122E59" w:rsidRPr="00CA6BE9" w:rsidP="00A24CBC">
      <w:pPr>
        <w:jc w:val="both"/>
        <w:rPr>
          <w:rFonts w:ascii="Calibri" w:hAnsi="Calibri" w:cs="Calibri"/>
          <w:b/>
          <w:bCs/>
          <w:sz w:val="22"/>
          <w:szCs w:val="22"/>
        </w:rPr>
      </w:pPr>
    </w:p>
    <w:p w:rsidR="00122E59" w:rsidP="00354B99">
      <w:pPr>
        <w:jc w:val="both"/>
        <w:rPr>
          <w:rFonts w:ascii="Calibri" w:hAnsi="Calibri" w:cs="Calibri"/>
          <w:b/>
          <w:bCs/>
          <w:sz w:val="22"/>
          <w:szCs w:val="22"/>
        </w:rPr>
      </w:pPr>
    </w:p>
    <w:p w:rsidR="00122E59" w:rsidRPr="00CA6BE9" w:rsidP="00354B99">
      <w:pPr>
        <w:jc w:val="both"/>
        <w:rPr>
          <w:rFonts w:ascii="Calibri" w:hAnsi="Calibri" w:cs="Calibri"/>
          <w:b/>
          <w:bCs/>
          <w:sz w:val="22"/>
          <w:szCs w:val="22"/>
        </w:rPr>
      </w:pPr>
      <w:r w:rsidRPr="00CA6BE9">
        <w:rPr>
          <w:rFonts w:ascii="Calibri" w:hAnsi="Calibri" w:cs="Calibri"/>
          <w:b/>
          <w:bCs/>
          <w:sz w:val="22"/>
          <w:szCs w:val="22"/>
        </w:rPr>
        <w:t xml:space="preserve">1. Is the current allocation of time for Petitions and Backbench Business debates appropriate and effective?   </w:t>
      </w:r>
      <w:r w:rsidRPr="00CA6BE9">
        <w:rPr>
          <w:rFonts w:ascii="Calibri" w:hAnsi="Calibri" w:cs="Calibri"/>
          <w:b/>
          <w:bCs/>
          <w:sz w:val="22"/>
          <w:szCs w:val="22"/>
          <w:lang w:val="en-US"/>
        </w:rPr>
        <w:t>What impact, if any, does the timing and scheduling of debates have on attendance?</w:t>
      </w:r>
    </w:p>
    <w:p w:rsidR="00122E59" w:rsidRPr="00CA6BE9" w:rsidP="00A24CBC">
      <w:pPr>
        <w:jc w:val="both"/>
        <w:rPr>
          <w:rFonts w:ascii="Calibri" w:hAnsi="Calibri" w:cs="Calibri"/>
          <w:sz w:val="22"/>
          <w:szCs w:val="22"/>
        </w:rPr>
      </w:pPr>
    </w:p>
    <w:p w:rsidR="00122E59" w:rsidRPr="00CA6BE9" w:rsidP="00A24CBC">
      <w:pPr>
        <w:jc w:val="both"/>
        <w:rPr>
          <w:rFonts w:ascii="Calibri" w:hAnsi="Calibri" w:cs="Calibri"/>
          <w:sz w:val="22"/>
          <w:szCs w:val="22"/>
        </w:rPr>
      </w:pPr>
      <w:r w:rsidRPr="00CA6BE9">
        <w:rPr>
          <w:rFonts w:ascii="Calibri" w:hAnsi="Calibri" w:cs="Calibri"/>
          <w:sz w:val="22"/>
          <w:szCs w:val="22"/>
        </w:rPr>
        <w:t xml:space="preserve">At any given point in </w:t>
      </w:r>
      <w:r>
        <w:rPr>
          <w:rFonts w:ascii="Calibri" w:hAnsi="Calibri" w:cs="Calibri"/>
          <w:sz w:val="22"/>
          <w:szCs w:val="22"/>
        </w:rPr>
        <w:t>the Parliamentary Calendar</w:t>
      </w:r>
      <w:r w:rsidRPr="00CA6BE9">
        <w:rPr>
          <w:rFonts w:ascii="Calibri" w:hAnsi="Calibri" w:cs="Calibri"/>
          <w:sz w:val="22"/>
          <w:szCs w:val="22"/>
        </w:rPr>
        <w:t xml:space="preserve">, Members face competing demands and diary pressures; and any changes to the allocation of time needs to account for this, and to be undertaken with realistic expectations concerning the impact on attendance and engagement.  </w:t>
      </w:r>
    </w:p>
    <w:p w:rsidR="00122E59" w:rsidRPr="00CA6BE9" w:rsidP="00A24CBC">
      <w:pPr>
        <w:jc w:val="both"/>
        <w:rPr>
          <w:rFonts w:ascii="Calibri" w:hAnsi="Calibri" w:cs="Calibri"/>
          <w:b/>
          <w:bCs/>
          <w:sz w:val="22"/>
          <w:szCs w:val="22"/>
        </w:rPr>
      </w:pPr>
    </w:p>
    <w:p w:rsidR="00122E59" w:rsidRPr="00CA6BE9" w:rsidP="00A24CBC">
      <w:pPr>
        <w:jc w:val="both"/>
        <w:rPr>
          <w:rFonts w:ascii="Calibri" w:hAnsi="Calibri" w:cs="Calibri"/>
          <w:sz w:val="22"/>
          <w:szCs w:val="22"/>
        </w:rPr>
      </w:pPr>
      <w:r w:rsidRPr="00FB1B65">
        <w:rPr>
          <w:rFonts w:ascii="Calibri" w:hAnsi="Calibri" w:cs="Calibri"/>
          <w:sz w:val="22"/>
          <w:szCs w:val="22"/>
        </w:rPr>
        <w:t>Backbench Business debates are normally held on Thursday afternoons, and attendance data compiled by the Modernisation Committee suggests that this has become something of a graveyard slot (HC 1548, paras. 37-45).  Given the manifold pressures on both the time of Members and on parliamentary time itself, the identification of a specific alternative day and time is challenging.  Instead, consideration should be given to building greater flexibility into the weekly parliamentary business schedule.  In particular, merging Backbench Business debates with Speaker’s Ballot debates would give greater flexibility across the week (see below for further recommendations).  Should this recommendation be adopted, thought would need to be given to the process of allocating slots, in order to avoid the Backbench Business Committee being seen to offer value judgements on the relative merits of topics and their eligibility for ‘prime’ slots (i.e. where attendance is likely to be higher).</w:t>
      </w:r>
    </w:p>
    <w:p w:rsidR="00122E59" w:rsidRPr="00CA6BE9" w:rsidP="00A24CBC">
      <w:pPr>
        <w:jc w:val="both"/>
        <w:rPr>
          <w:rFonts w:ascii="Calibri" w:hAnsi="Calibri" w:cs="Calibri"/>
          <w:sz w:val="22"/>
          <w:szCs w:val="22"/>
        </w:rPr>
      </w:pPr>
    </w:p>
    <w:p w:rsidR="00122E59" w:rsidRPr="00CA6BE9" w:rsidP="00354B99">
      <w:pPr>
        <w:jc w:val="both"/>
        <w:rPr>
          <w:rFonts w:ascii="Calibri" w:hAnsi="Calibri" w:cs="Calibri"/>
          <w:sz w:val="22"/>
          <w:szCs w:val="22"/>
        </w:rPr>
      </w:pPr>
      <w:r w:rsidRPr="00CA6BE9">
        <w:rPr>
          <w:rFonts w:ascii="Calibri" w:hAnsi="Calibri" w:cs="Calibri"/>
          <w:sz w:val="22"/>
          <w:szCs w:val="22"/>
        </w:rPr>
        <w:t xml:space="preserve">Petition Committee debates are currently scheduled for 16:30 on </w:t>
      </w:r>
      <w:r w:rsidRPr="00CA6BE9">
        <w:rPr>
          <w:rFonts w:ascii="Calibri" w:hAnsi="Calibri" w:cs="Calibri"/>
          <w:sz w:val="22"/>
          <w:szCs w:val="22"/>
        </w:rPr>
        <w:t>Mondays, and</w:t>
      </w:r>
      <w:r w:rsidRPr="00CA6BE9">
        <w:rPr>
          <w:rFonts w:ascii="Calibri" w:hAnsi="Calibri" w:cs="Calibri"/>
          <w:sz w:val="22"/>
          <w:szCs w:val="22"/>
        </w:rPr>
        <w:t xml:space="preserve"> are held in Westminster Hall.  My own research suggests that Petition Committee debates are typically attended by around 20-25 Members; and that Members are more likely to prioritise participation in an e-petition debate when the subject of the e-petition is of particular salience to their constituents.  Setting aside questions about whether e-Petition debates should be held in the Main Chamber (but see below), there is limited evidence that the scheduling of debates has impacted attendance.  Indeed, it is important to remember that e-petition debates have two distinct audiences: Members of the House and members of public (including, and in particular, petition creators who may be in attendance).  In terms of the members of the public, consistency is key; and holding debates in a regular slot (which is also towards the end of the standard working day) is important for building public understanding and engagement (including watching events live in person or on parliamentlive.tv).</w:t>
      </w:r>
    </w:p>
    <w:p w:rsidR="00122E59" w:rsidRPr="00CA6BE9" w:rsidP="00354B99">
      <w:pPr>
        <w:jc w:val="both"/>
        <w:rPr>
          <w:rFonts w:ascii="Calibri" w:hAnsi="Calibri" w:cs="Calibri"/>
          <w:sz w:val="22"/>
          <w:szCs w:val="22"/>
        </w:rPr>
      </w:pPr>
    </w:p>
    <w:p w:rsidR="00122E59" w:rsidRPr="00CA6BE9" w:rsidP="00354B99">
      <w:pPr>
        <w:jc w:val="both"/>
        <w:rPr>
          <w:rFonts w:ascii="Calibri" w:hAnsi="Calibri" w:cs="Calibri"/>
          <w:sz w:val="22"/>
          <w:szCs w:val="22"/>
        </w:rPr>
      </w:pPr>
    </w:p>
    <w:p w:rsidR="00122E59" w:rsidRPr="00CA6BE9" w:rsidP="00A24CBC">
      <w:pPr>
        <w:jc w:val="both"/>
        <w:rPr>
          <w:rFonts w:ascii="Calibri" w:hAnsi="Calibri" w:cs="Calibri"/>
          <w:sz w:val="22"/>
          <w:szCs w:val="22"/>
        </w:rPr>
      </w:pPr>
      <w:r w:rsidRPr="00B329FD">
        <w:rPr>
          <w:rFonts w:ascii="Calibri" w:hAnsi="Calibri" w:cs="Calibri"/>
          <w:b/>
          <w:bCs/>
          <w:sz w:val="22"/>
          <w:szCs w:val="22"/>
        </w:rPr>
        <w:t>2. Are</w:t>
      </w:r>
      <w:r w:rsidRPr="00B329FD">
        <w:rPr>
          <w:rFonts w:ascii="Calibri" w:hAnsi="Calibri" w:cs="Calibri"/>
          <w:b/>
          <w:bCs/>
          <w:sz w:val="22"/>
          <w:szCs w:val="22"/>
          <w:lang w:val="en-US"/>
        </w:rPr>
        <w:t> the 35 days allocated to the Backbench</w:t>
      </w:r>
      <w:r w:rsidRPr="00CA6BE9">
        <w:rPr>
          <w:rFonts w:ascii="Calibri" w:hAnsi="Calibri" w:cs="Calibri"/>
          <w:b/>
          <w:bCs/>
          <w:sz w:val="22"/>
          <w:szCs w:val="22"/>
          <w:lang w:val="en-US"/>
        </w:rPr>
        <w:t xml:space="preserve"> Business Committee appropriate in the context of other demands on the House’s time?</w:t>
      </w:r>
    </w:p>
    <w:p w:rsidR="00122E59" w:rsidP="00A24CBC">
      <w:pPr>
        <w:jc w:val="both"/>
        <w:rPr>
          <w:rFonts w:ascii="Calibri" w:hAnsi="Calibri" w:cs="Calibri"/>
          <w:sz w:val="22"/>
          <w:szCs w:val="22"/>
        </w:rPr>
      </w:pPr>
    </w:p>
    <w:p w:rsidR="00122E59" w:rsidRPr="00CA6BE9" w:rsidP="00A24CBC">
      <w:pPr>
        <w:jc w:val="both"/>
        <w:rPr>
          <w:rFonts w:ascii="Calibri" w:hAnsi="Calibri" w:cs="Calibri"/>
          <w:sz w:val="22"/>
          <w:szCs w:val="22"/>
        </w:rPr>
      </w:pPr>
      <w:r w:rsidRPr="00CA6BE9">
        <w:rPr>
          <w:rFonts w:ascii="Calibri" w:hAnsi="Calibri" w:cs="Calibri"/>
          <w:sz w:val="22"/>
          <w:szCs w:val="22"/>
        </w:rPr>
        <w:t xml:space="preserve">Current waiting times for a Backbench Business debate are several weeks.  But this is a recent phenomenon, with demand increasing following the 2024 general election.  This may be attributable to the record intake of newly elected, with 335 </w:t>
      </w:r>
      <w:r>
        <w:rPr>
          <w:rFonts w:ascii="Calibri" w:hAnsi="Calibri" w:cs="Calibri"/>
          <w:sz w:val="22"/>
          <w:szCs w:val="22"/>
        </w:rPr>
        <w:t>Members</w:t>
      </w:r>
      <w:r w:rsidRPr="00CA6BE9">
        <w:rPr>
          <w:rFonts w:ascii="Calibri" w:hAnsi="Calibri" w:cs="Calibri"/>
          <w:sz w:val="22"/>
          <w:szCs w:val="22"/>
        </w:rPr>
        <w:t xml:space="preserve"> (52%) having no previous parliamentary experience</w:t>
      </w:r>
      <w:r>
        <w:rPr>
          <w:rFonts w:ascii="Calibri" w:hAnsi="Calibri" w:cs="Calibri"/>
          <w:sz w:val="22"/>
          <w:szCs w:val="22"/>
        </w:rPr>
        <w:t xml:space="preserve">.  </w:t>
      </w:r>
      <w:r w:rsidRPr="00CA6BE9">
        <w:rPr>
          <w:rFonts w:ascii="Calibri" w:hAnsi="Calibri" w:cs="Calibri"/>
          <w:sz w:val="22"/>
          <w:szCs w:val="22"/>
        </w:rPr>
        <w:t xml:space="preserve">In turn, and perhaps also reflecting the shallower roots of partisan loyalty, this Parliament has also been </w:t>
      </w:r>
      <w:r w:rsidRPr="00CA6BE9">
        <w:rPr>
          <w:rFonts w:ascii="Calibri" w:hAnsi="Calibri" w:cs="Calibri"/>
          <w:sz w:val="22"/>
          <w:szCs w:val="22"/>
        </w:rPr>
        <w:t>one of the most rebellious, with the Government experiencing major rebellions in relation to key issues such as jury trials and welfare reforms (</w:t>
      </w:r>
      <w:r>
        <w:rPr>
          <w:rFonts w:ascii="Calibri" w:hAnsi="Calibri" w:cs="Calibri"/>
          <w:sz w:val="22"/>
          <w:szCs w:val="22"/>
        </w:rPr>
        <w:t>White, 2026</w:t>
      </w:r>
      <w:r w:rsidRPr="00CA6BE9">
        <w:rPr>
          <w:rFonts w:ascii="Calibri" w:hAnsi="Calibri" w:cs="Calibri"/>
          <w:sz w:val="22"/>
          <w:szCs w:val="22"/>
        </w:rPr>
        <w:t xml:space="preserve">).  As Philip Cowley makes clear, </w:t>
      </w:r>
      <w:r>
        <w:rPr>
          <w:rFonts w:ascii="Calibri" w:hAnsi="Calibri" w:cs="Calibri"/>
          <w:sz w:val="22"/>
          <w:szCs w:val="22"/>
        </w:rPr>
        <w:t>‘</w:t>
      </w:r>
      <w:r w:rsidRPr="00CA6BE9">
        <w:rPr>
          <w:rFonts w:ascii="Calibri" w:hAnsi="Calibri" w:cs="Calibri"/>
          <w:sz w:val="22"/>
          <w:szCs w:val="22"/>
        </w:rPr>
        <w:t>such defiance this early in a premiership is extremely unusual’</w:t>
      </w:r>
      <w:r>
        <w:rPr>
          <w:rFonts w:ascii="Calibri" w:hAnsi="Calibri" w:cs="Calibri"/>
          <w:sz w:val="22"/>
          <w:szCs w:val="22"/>
        </w:rPr>
        <w:t xml:space="preserve"> (Cowley, 2025).</w:t>
      </w:r>
      <w:r w:rsidRPr="00CA6BE9">
        <w:rPr>
          <w:rFonts w:ascii="Calibri" w:hAnsi="Calibri" w:cs="Calibri"/>
          <w:sz w:val="22"/>
          <w:szCs w:val="22"/>
        </w:rPr>
        <w:t xml:space="preserve">  </w:t>
      </w:r>
    </w:p>
    <w:p w:rsidR="00122E59" w:rsidRPr="00CA6BE9" w:rsidP="00A24CBC">
      <w:pPr>
        <w:jc w:val="both"/>
        <w:rPr>
          <w:rFonts w:ascii="Calibri" w:hAnsi="Calibri" w:cs="Calibri"/>
          <w:sz w:val="22"/>
          <w:szCs w:val="22"/>
        </w:rPr>
      </w:pPr>
    </w:p>
    <w:p w:rsidR="00122E59" w:rsidP="00A24CBC">
      <w:pPr>
        <w:jc w:val="both"/>
        <w:rPr>
          <w:rFonts w:ascii="Calibri" w:hAnsi="Calibri" w:cs="Calibri"/>
          <w:sz w:val="22"/>
          <w:szCs w:val="22"/>
        </w:rPr>
      </w:pPr>
      <w:r w:rsidRPr="00CA6BE9">
        <w:rPr>
          <w:rFonts w:ascii="Calibri" w:hAnsi="Calibri" w:cs="Calibri"/>
          <w:sz w:val="22"/>
          <w:szCs w:val="22"/>
        </w:rPr>
        <w:t xml:space="preserve">Such evidence therefore suggests that the uptick in demand for backbench debates should be regarded as a manifestation of a very new cohort, perhaps with stronger links to constituency than the party in Parliament, particularly on the part of Labour backbench </w:t>
      </w:r>
      <w:r>
        <w:rPr>
          <w:rFonts w:ascii="Calibri" w:hAnsi="Calibri" w:cs="Calibri"/>
          <w:sz w:val="22"/>
          <w:szCs w:val="22"/>
        </w:rPr>
        <w:t>Members</w:t>
      </w:r>
      <w:r w:rsidRPr="00CA6BE9">
        <w:rPr>
          <w:rFonts w:ascii="Calibri" w:hAnsi="Calibri" w:cs="Calibri"/>
          <w:sz w:val="22"/>
          <w:szCs w:val="22"/>
        </w:rPr>
        <w:t xml:space="preserve">.  In light of this, </w:t>
      </w:r>
      <w:r>
        <w:rPr>
          <w:rFonts w:ascii="Calibri" w:hAnsi="Calibri" w:cs="Calibri"/>
          <w:sz w:val="22"/>
          <w:szCs w:val="22"/>
        </w:rPr>
        <w:t xml:space="preserve">it is difficult to ascertain whether current levels of demands will be </w:t>
      </w:r>
      <w:r>
        <w:rPr>
          <w:rFonts w:ascii="Calibri" w:hAnsi="Calibri" w:cs="Calibri"/>
          <w:sz w:val="22"/>
          <w:szCs w:val="22"/>
        </w:rPr>
        <w:t>sustained, or</w:t>
      </w:r>
      <w:r>
        <w:rPr>
          <w:rFonts w:ascii="Calibri" w:hAnsi="Calibri" w:cs="Calibri"/>
          <w:sz w:val="22"/>
          <w:szCs w:val="22"/>
        </w:rPr>
        <w:t xml:space="preserve"> become an established pattern; or whether it is reflective of a particular parliamentary milieu.  I therefore recommend that attention should therefore focus on </w:t>
      </w:r>
      <w:r w:rsidRPr="00B329FD">
        <w:rPr>
          <w:rFonts w:ascii="Calibri" w:hAnsi="Calibri" w:cs="Calibri"/>
          <w:b/>
          <w:bCs/>
          <w:i/>
          <w:iCs/>
          <w:sz w:val="22"/>
          <w:szCs w:val="22"/>
        </w:rPr>
        <w:t>maximising</w:t>
      </w:r>
      <w:r>
        <w:rPr>
          <w:rFonts w:ascii="Calibri" w:hAnsi="Calibri" w:cs="Calibri"/>
          <w:sz w:val="22"/>
          <w:szCs w:val="22"/>
        </w:rPr>
        <w:t xml:space="preserve"> the currently allocated time available for debates, </w:t>
      </w:r>
      <w:r w:rsidRPr="00CA6BE9">
        <w:rPr>
          <w:rFonts w:ascii="Calibri" w:hAnsi="Calibri" w:cs="Calibri"/>
          <w:sz w:val="22"/>
          <w:szCs w:val="22"/>
        </w:rPr>
        <w:t>rather than increasing the time available – which could also have unintended consequences in term of diluting attendance</w:t>
      </w:r>
      <w:r>
        <w:rPr>
          <w:rFonts w:ascii="Calibri" w:hAnsi="Calibri" w:cs="Calibri"/>
          <w:sz w:val="22"/>
          <w:szCs w:val="22"/>
        </w:rPr>
        <w:t xml:space="preserve">, </w:t>
      </w:r>
      <w:r w:rsidRPr="00CA6BE9">
        <w:rPr>
          <w:rFonts w:ascii="Calibri" w:hAnsi="Calibri" w:cs="Calibri"/>
          <w:sz w:val="22"/>
          <w:szCs w:val="22"/>
        </w:rPr>
        <w:t>engagement and impact.</w:t>
      </w:r>
      <w:r>
        <w:rPr>
          <w:rFonts w:ascii="Calibri" w:hAnsi="Calibri" w:cs="Calibri"/>
          <w:sz w:val="22"/>
          <w:szCs w:val="22"/>
        </w:rPr>
        <w:t xml:space="preserve">  Recommendations relating to rationalisation, demand management and impact are outlined below.  Alongside this, the Modernisation Committee may want to maintain a ‘watching brief’ to determine whether current levels of demand </w:t>
      </w:r>
      <w:r>
        <w:rPr>
          <w:rFonts w:ascii="Calibri" w:hAnsi="Calibri" w:cs="Calibri"/>
          <w:sz w:val="22"/>
          <w:szCs w:val="22"/>
        </w:rPr>
        <w:t>becomes</w:t>
      </w:r>
      <w:r>
        <w:rPr>
          <w:rFonts w:ascii="Calibri" w:hAnsi="Calibri" w:cs="Calibri"/>
          <w:sz w:val="22"/>
          <w:szCs w:val="22"/>
        </w:rPr>
        <w:t xml:space="preserve"> established as the norm.</w:t>
      </w:r>
    </w:p>
    <w:p w:rsidR="00122E59" w:rsidP="00B329FD">
      <w:pPr>
        <w:jc w:val="both"/>
        <w:rPr>
          <w:rFonts w:ascii="Calibri" w:hAnsi="Calibri" w:cs="Calibri"/>
          <w:sz w:val="22"/>
          <w:szCs w:val="22"/>
        </w:rPr>
      </w:pPr>
    </w:p>
    <w:p w:rsidR="00122E59" w:rsidRPr="00B329FD" w:rsidP="00B329FD">
      <w:pPr>
        <w:jc w:val="both"/>
        <w:rPr>
          <w:rFonts w:ascii="Calibri" w:hAnsi="Calibri" w:cs="Calibri"/>
          <w:sz w:val="22"/>
          <w:szCs w:val="22"/>
        </w:rPr>
      </w:pPr>
    </w:p>
    <w:p w:rsidR="00122E59" w:rsidRPr="00CA6BE9" w:rsidP="00354B99">
      <w:pPr>
        <w:jc w:val="both"/>
        <w:rPr>
          <w:rFonts w:ascii="Calibri" w:hAnsi="Calibri" w:cs="Calibri"/>
          <w:b/>
          <w:bCs/>
          <w:sz w:val="22"/>
          <w:szCs w:val="22"/>
        </w:rPr>
      </w:pPr>
      <w:r w:rsidRPr="00CA6BE9">
        <w:rPr>
          <w:rFonts w:ascii="Calibri" w:hAnsi="Calibri" w:cs="Calibri"/>
          <w:b/>
          <w:bCs/>
          <w:sz w:val="22"/>
          <w:szCs w:val="22"/>
        </w:rPr>
        <w:t>3. Is the current allocation of Backbench Business debates between the Chamber (27 days) and Westminster Hall (8 days) correct?</w:t>
      </w:r>
    </w:p>
    <w:p w:rsidR="00122E59" w:rsidRPr="00CA6BE9" w:rsidP="00A24CBC">
      <w:pPr>
        <w:pStyle w:val="ListParagraph"/>
        <w:jc w:val="both"/>
        <w:rPr>
          <w:rFonts w:ascii="Calibri" w:hAnsi="Calibri" w:cs="Calibri"/>
          <w:sz w:val="22"/>
          <w:szCs w:val="22"/>
        </w:rPr>
      </w:pPr>
    </w:p>
    <w:p w:rsidR="00122E59" w:rsidRPr="00CA6BE9" w:rsidP="00354B99">
      <w:pPr>
        <w:jc w:val="both"/>
        <w:rPr>
          <w:rFonts w:ascii="Calibri" w:hAnsi="Calibri" w:cs="Calibri"/>
          <w:b/>
          <w:bCs/>
          <w:sz w:val="22"/>
          <w:szCs w:val="22"/>
        </w:rPr>
      </w:pPr>
      <w:r w:rsidRPr="00CA6BE9">
        <w:rPr>
          <w:rFonts w:ascii="Calibri" w:hAnsi="Calibri" w:cs="Calibri"/>
          <w:b/>
          <w:bCs/>
          <w:sz w:val="22"/>
          <w:szCs w:val="22"/>
        </w:rPr>
        <w:t>4. Are there any improvements that could be made to the Backbench Business Committee’s process to agree applications for backbench business debates (including ensuring debates are popular amongst members and on topical subjects)?  </w:t>
      </w:r>
    </w:p>
    <w:p w:rsidR="00122E59" w:rsidRPr="00CA6BE9" w:rsidP="00A24CBC">
      <w:pPr>
        <w:pStyle w:val="ListParagraph"/>
        <w:jc w:val="both"/>
        <w:rPr>
          <w:rFonts w:ascii="Calibri" w:hAnsi="Calibri" w:cs="Calibri"/>
          <w:b/>
          <w:bCs/>
          <w:sz w:val="22"/>
          <w:szCs w:val="22"/>
        </w:rPr>
      </w:pPr>
    </w:p>
    <w:p w:rsidR="00122E59" w:rsidRPr="00CA6BE9" w:rsidP="00A24CBC">
      <w:pPr>
        <w:jc w:val="both"/>
        <w:rPr>
          <w:rFonts w:ascii="Calibri" w:hAnsi="Calibri" w:cs="Calibri"/>
          <w:sz w:val="22"/>
          <w:szCs w:val="22"/>
        </w:rPr>
      </w:pPr>
      <w:r>
        <w:rPr>
          <w:rFonts w:ascii="Calibri" w:hAnsi="Calibri" w:cs="Calibri"/>
          <w:sz w:val="22"/>
          <w:szCs w:val="22"/>
        </w:rPr>
        <w:t>In terms of ensuring that debates are popular, the process of applying for a Backbench Business debate already includes a relatively high threshold to indicate cross-party support</w:t>
      </w:r>
      <w:r w:rsidRPr="00CA6BE9">
        <w:rPr>
          <w:rFonts w:ascii="Calibri" w:hAnsi="Calibri" w:cs="Calibri"/>
          <w:sz w:val="22"/>
          <w:szCs w:val="22"/>
        </w:rPr>
        <w:t xml:space="preserve"> (8 </w:t>
      </w:r>
      <w:r>
        <w:rPr>
          <w:rFonts w:ascii="Calibri" w:hAnsi="Calibri" w:cs="Calibri"/>
          <w:sz w:val="22"/>
          <w:szCs w:val="22"/>
        </w:rPr>
        <w:t>Members</w:t>
      </w:r>
      <w:r w:rsidRPr="00CA6BE9">
        <w:rPr>
          <w:rFonts w:ascii="Calibri" w:hAnsi="Calibri" w:cs="Calibri"/>
          <w:sz w:val="22"/>
          <w:szCs w:val="22"/>
        </w:rPr>
        <w:t xml:space="preserve"> for </w:t>
      </w:r>
      <w:r w:rsidRPr="00CA6BE9">
        <w:rPr>
          <w:rFonts w:ascii="Calibri" w:hAnsi="Calibri" w:cs="Calibri"/>
          <w:sz w:val="22"/>
          <w:szCs w:val="22"/>
        </w:rPr>
        <w:t xml:space="preserve">90 </w:t>
      </w:r>
      <w:r>
        <w:rPr>
          <w:rFonts w:ascii="Calibri" w:hAnsi="Calibri" w:cs="Calibri"/>
          <w:sz w:val="22"/>
          <w:szCs w:val="22"/>
        </w:rPr>
        <w:t>minute</w:t>
      </w:r>
      <w:r w:rsidRPr="00CA6BE9">
        <w:rPr>
          <w:rFonts w:ascii="Calibri" w:hAnsi="Calibri" w:cs="Calibri"/>
          <w:sz w:val="22"/>
          <w:szCs w:val="22"/>
        </w:rPr>
        <w:t xml:space="preserve"> debates and 15 MPs for </w:t>
      </w:r>
      <w:r w:rsidRPr="00CA6BE9">
        <w:rPr>
          <w:rFonts w:ascii="Calibri" w:hAnsi="Calibri" w:cs="Calibri"/>
          <w:sz w:val="22"/>
          <w:szCs w:val="22"/>
        </w:rPr>
        <w:t>3 hour</w:t>
      </w:r>
      <w:r w:rsidRPr="00CA6BE9">
        <w:rPr>
          <w:rFonts w:ascii="Calibri" w:hAnsi="Calibri" w:cs="Calibri"/>
          <w:sz w:val="22"/>
          <w:szCs w:val="22"/>
        </w:rPr>
        <w:t xml:space="preserve"> debate</w:t>
      </w:r>
      <w:r>
        <w:rPr>
          <w:rFonts w:ascii="Calibri" w:hAnsi="Calibri" w:cs="Calibri"/>
          <w:sz w:val="22"/>
          <w:szCs w:val="22"/>
        </w:rPr>
        <w:t>s, to be evenly split between Government and Opposition Members).  It is also important to avoid conflating ‘popularity’ with ‘importance’</w:t>
      </w:r>
      <w:r w:rsidRPr="00CA6BE9">
        <w:rPr>
          <w:rFonts w:ascii="Calibri" w:hAnsi="Calibri" w:cs="Calibri"/>
          <w:sz w:val="22"/>
          <w:szCs w:val="22"/>
        </w:rPr>
        <w:t>.  Very popular</w:t>
      </w:r>
      <w:r>
        <w:rPr>
          <w:rFonts w:ascii="Calibri" w:hAnsi="Calibri" w:cs="Calibri"/>
          <w:sz w:val="22"/>
          <w:szCs w:val="22"/>
        </w:rPr>
        <w:t xml:space="preserve"> </w:t>
      </w:r>
      <w:r w:rsidRPr="00CA6BE9">
        <w:rPr>
          <w:rFonts w:ascii="Calibri" w:hAnsi="Calibri" w:cs="Calibri"/>
          <w:sz w:val="22"/>
          <w:szCs w:val="22"/>
        </w:rPr>
        <w:t xml:space="preserve">issues may already be getting significant agenda time </w:t>
      </w:r>
      <w:r>
        <w:rPr>
          <w:rFonts w:ascii="Calibri" w:hAnsi="Calibri" w:cs="Calibri"/>
          <w:sz w:val="22"/>
          <w:szCs w:val="22"/>
        </w:rPr>
        <w:t xml:space="preserve">elsewhere.  In contrast </w:t>
      </w:r>
      <w:r w:rsidRPr="00CA6BE9">
        <w:rPr>
          <w:rFonts w:ascii="Calibri" w:hAnsi="Calibri" w:cs="Calibri"/>
          <w:sz w:val="22"/>
          <w:szCs w:val="22"/>
        </w:rPr>
        <w:t>‘less popular</w:t>
      </w:r>
      <w:r>
        <w:rPr>
          <w:rFonts w:ascii="Calibri" w:hAnsi="Calibri" w:cs="Calibri"/>
          <w:sz w:val="22"/>
          <w:szCs w:val="22"/>
        </w:rPr>
        <w:t>’</w:t>
      </w:r>
      <w:r w:rsidRPr="00CA6BE9">
        <w:rPr>
          <w:rFonts w:ascii="Calibri" w:hAnsi="Calibri" w:cs="Calibri"/>
          <w:sz w:val="22"/>
          <w:szCs w:val="22"/>
        </w:rPr>
        <w:t xml:space="preserve"> issues may be of significant importance to a smaller audience</w:t>
      </w:r>
      <w:r>
        <w:rPr>
          <w:rFonts w:ascii="Calibri" w:hAnsi="Calibri" w:cs="Calibri"/>
          <w:sz w:val="22"/>
          <w:szCs w:val="22"/>
        </w:rPr>
        <w:t xml:space="preserve">.  Drawing on my research in relation to parliamentary petitions, debates played an important role in illuminated issues such funding for research and treatment for rare diseases that </w:t>
      </w:r>
      <w:r w:rsidRPr="00CA6BE9">
        <w:rPr>
          <w:rFonts w:ascii="Calibri" w:hAnsi="Calibri" w:cs="Calibri"/>
          <w:sz w:val="22"/>
          <w:szCs w:val="22"/>
        </w:rPr>
        <w:t xml:space="preserve">affect relatively few but in profound ways.  </w:t>
      </w:r>
      <w:r>
        <w:rPr>
          <w:rFonts w:ascii="Calibri" w:hAnsi="Calibri" w:cs="Calibri"/>
          <w:sz w:val="22"/>
          <w:szCs w:val="22"/>
        </w:rPr>
        <w:t>Likewise,</w:t>
      </w:r>
      <w:r w:rsidRPr="00CA6BE9">
        <w:rPr>
          <w:rFonts w:ascii="Calibri" w:hAnsi="Calibri" w:cs="Calibri"/>
          <w:sz w:val="22"/>
          <w:szCs w:val="22"/>
        </w:rPr>
        <w:t xml:space="preserve"> matters of regional importance are, by definition, likely to resonate with fewer Members</w:t>
      </w:r>
      <w:r>
        <w:rPr>
          <w:rFonts w:ascii="Calibri" w:hAnsi="Calibri" w:cs="Calibri"/>
          <w:sz w:val="22"/>
          <w:szCs w:val="22"/>
        </w:rPr>
        <w:t>, but may be of sufficient significance to warrant a Backbench debate</w:t>
      </w:r>
      <w:r w:rsidRPr="00CA6BE9">
        <w:rPr>
          <w:rFonts w:ascii="Calibri" w:hAnsi="Calibri" w:cs="Calibri"/>
          <w:sz w:val="22"/>
          <w:szCs w:val="22"/>
        </w:rPr>
        <w:t>.</w:t>
      </w:r>
    </w:p>
    <w:p w:rsidR="00122E59" w:rsidRPr="00CA6BE9" w:rsidP="00A24CBC">
      <w:pPr>
        <w:jc w:val="both"/>
        <w:rPr>
          <w:rFonts w:ascii="Calibri" w:hAnsi="Calibri" w:cs="Calibri"/>
          <w:sz w:val="22"/>
          <w:szCs w:val="22"/>
        </w:rPr>
      </w:pPr>
    </w:p>
    <w:p w:rsidR="00122E59" w:rsidRPr="00E604DB" w:rsidP="00A24CBC">
      <w:pPr>
        <w:jc w:val="both"/>
        <w:rPr>
          <w:rFonts w:ascii="Calibri" w:hAnsi="Calibri" w:cs="Calibri"/>
          <w:sz w:val="22"/>
          <w:szCs w:val="22"/>
        </w:rPr>
      </w:pPr>
      <w:r w:rsidRPr="00E604DB">
        <w:rPr>
          <w:rFonts w:ascii="Calibri" w:hAnsi="Calibri" w:cs="Calibri"/>
          <w:sz w:val="22"/>
          <w:szCs w:val="22"/>
        </w:rPr>
        <w:t xml:space="preserve">Similarly, in terms of ensuring debates deal with topical subjects, the Backbench Business Committee already has power to ‘indicate that proceedings on a motion, That the House has considered a specified matter, being a matter of regional, national or international importance, are to be conducted as a topical debate’, as set out in Standing Order 24A.   </w:t>
      </w:r>
    </w:p>
    <w:p w:rsidR="00122E59" w:rsidP="00A24CBC">
      <w:pPr>
        <w:jc w:val="both"/>
        <w:rPr>
          <w:rFonts w:ascii="Calibri" w:hAnsi="Calibri" w:cs="Calibri"/>
          <w:sz w:val="22"/>
          <w:szCs w:val="22"/>
        </w:rPr>
      </w:pPr>
    </w:p>
    <w:p w:rsidR="00122E59" w:rsidRPr="00CA6BE9" w:rsidP="00A24CBC">
      <w:pPr>
        <w:jc w:val="both"/>
        <w:rPr>
          <w:rFonts w:ascii="Calibri" w:hAnsi="Calibri" w:cs="Calibri"/>
          <w:sz w:val="22"/>
          <w:szCs w:val="22"/>
        </w:rPr>
      </w:pPr>
      <w:r>
        <w:rPr>
          <w:rFonts w:ascii="Calibri" w:hAnsi="Calibri" w:cs="Calibri"/>
          <w:sz w:val="22"/>
          <w:szCs w:val="22"/>
        </w:rPr>
        <w:t>More effective demand management processes would enable the Backbench Business Committee</w:t>
      </w:r>
      <w:r w:rsidRPr="00CA6BE9">
        <w:rPr>
          <w:rFonts w:ascii="Calibri" w:hAnsi="Calibri" w:cs="Calibri"/>
          <w:sz w:val="22"/>
          <w:szCs w:val="22"/>
        </w:rPr>
        <w:t xml:space="preserve"> to make greater use of </w:t>
      </w:r>
      <w:r>
        <w:rPr>
          <w:rFonts w:ascii="Calibri" w:hAnsi="Calibri" w:cs="Calibri"/>
          <w:sz w:val="22"/>
          <w:szCs w:val="22"/>
        </w:rPr>
        <w:t>its existing powers</w:t>
      </w:r>
      <w:r w:rsidRPr="00CA6BE9">
        <w:rPr>
          <w:rFonts w:ascii="Calibri" w:hAnsi="Calibri" w:cs="Calibri"/>
          <w:sz w:val="22"/>
          <w:szCs w:val="22"/>
        </w:rPr>
        <w:t xml:space="preserve">, e.g. </w:t>
      </w:r>
      <w:r>
        <w:rPr>
          <w:rFonts w:ascii="Calibri" w:hAnsi="Calibri" w:cs="Calibri"/>
          <w:sz w:val="22"/>
          <w:szCs w:val="22"/>
        </w:rPr>
        <w:t>reserving a proportion of slots</w:t>
      </w:r>
      <w:r w:rsidRPr="00CA6BE9">
        <w:rPr>
          <w:rFonts w:ascii="Calibri" w:hAnsi="Calibri" w:cs="Calibri"/>
          <w:sz w:val="22"/>
          <w:szCs w:val="22"/>
        </w:rPr>
        <w:t xml:space="preserve"> for issues of urgent or topical importance, to be allocated no more than two weeks ahead</w:t>
      </w:r>
      <w:r>
        <w:rPr>
          <w:rFonts w:ascii="Calibri" w:hAnsi="Calibri" w:cs="Calibri"/>
          <w:sz w:val="22"/>
          <w:szCs w:val="22"/>
        </w:rPr>
        <w:t xml:space="preserve"> (as opposed to filling slots several months in advance).  </w:t>
      </w:r>
      <w:r w:rsidRPr="00CA6BE9">
        <w:rPr>
          <w:rFonts w:ascii="Calibri" w:hAnsi="Calibri" w:cs="Calibri"/>
          <w:sz w:val="22"/>
          <w:szCs w:val="22"/>
        </w:rPr>
        <w:t xml:space="preserve">This would not be a </w:t>
      </w:r>
      <w:r>
        <w:rPr>
          <w:rFonts w:ascii="Calibri" w:hAnsi="Calibri" w:cs="Calibri"/>
          <w:sz w:val="22"/>
          <w:szCs w:val="22"/>
        </w:rPr>
        <w:t>significant</w:t>
      </w:r>
      <w:r w:rsidRPr="00CA6BE9">
        <w:rPr>
          <w:rFonts w:ascii="Calibri" w:hAnsi="Calibri" w:cs="Calibri"/>
          <w:sz w:val="22"/>
          <w:szCs w:val="22"/>
        </w:rPr>
        <w:t xml:space="preserve"> departure from current practice,</w:t>
      </w:r>
      <w:r>
        <w:rPr>
          <w:rFonts w:ascii="Calibri" w:hAnsi="Calibri" w:cs="Calibri"/>
          <w:sz w:val="22"/>
          <w:szCs w:val="22"/>
        </w:rPr>
        <w:t xml:space="preserve"> as the Committee already commits to </w:t>
      </w:r>
      <w:r w:rsidRPr="00CA6BE9">
        <w:rPr>
          <w:rFonts w:ascii="Calibri" w:hAnsi="Calibri" w:cs="Calibri"/>
          <w:sz w:val="22"/>
          <w:szCs w:val="22"/>
        </w:rPr>
        <w:t>‘select</w:t>
      </w:r>
      <w:r>
        <w:rPr>
          <w:rFonts w:ascii="Calibri" w:hAnsi="Calibri" w:cs="Calibri"/>
          <w:sz w:val="22"/>
          <w:szCs w:val="22"/>
        </w:rPr>
        <w:t>[ing]</w:t>
      </w:r>
      <w:r w:rsidRPr="00CA6BE9">
        <w:rPr>
          <w:rFonts w:ascii="Calibri" w:hAnsi="Calibri" w:cs="Calibri"/>
          <w:sz w:val="22"/>
          <w:szCs w:val="22"/>
        </w:rPr>
        <w:t xml:space="preserve"> topics for debate based on all or some of the following criteria: topicality, the amount of time available and requested, why it is felt important for a debate to be held, when the topic was last </w:t>
      </w:r>
      <w:r w:rsidRPr="00CB2851">
        <w:rPr>
          <w:rFonts w:ascii="Calibri" w:hAnsi="Calibri" w:cs="Calibri"/>
          <w:sz w:val="22"/>
          <w:szCs w:val="22"/>
        </w:rPr>
        <w:t xml:space="preserve">debated (and how much interest there was on that occasion), breadth of interest across all parties, and why such a debate is unlikely to be secured through other routes’ (see ‘Application for a backbench </w:t>
      </w:r>
      <w:r w:rsidRPr="00CB2851">
        <w:rPr>
          <w:rFonts w:ascii="Calibri" w:hAnsi="Calibri" w:cs="Calibri"/>
          <w:sz w:val="22"/>
          <w:szCs w:val="22"/>
        </w:rPr>
        <w:t xml:space="preserve">business debate’ form, available here: </w:t>
      </w:r>
      <w:r w:rsidRPr="00FB1B65">
        <w:rPr>
          <w:rFonts w:ascii="Calibri" w:hAnsi="Calibri" w:cs="Calibri"/>
          <w:sz w:val="22"/>
          <w:szCs w:val="22"/>
        </w:rPr>
        <w:t>http://bit.ly/3P8lzRG</w:t>
      </w:r>
      <w:r w:rsidRPr="00CB2851">
        <w:rPr>
          <w:rFonts w:ascii="Calibri" w:hAnsi="Calibri" w:cs="Calibri"/>
          <w:sz w:val="22"/>
          <w:szCs w:val="22"/>
        </w:rPr>
        <w:t>).  It</w:t>
      </w:r>
      <w:r>
        <w:rPr>
          <w:rFonts w:ascii="Calibri" w:hAnsi="Calibri" w:cs="Calibri"/>
          <w:sz w:val="22"/>
          <w:szCs w:val="22"/>
        </w:rPr>
        <w:t xml:space="preserve"> would simply require </w:t>
      </w:r>
      <w:r w:rsidRPr="00CA6BE9">
        <w:rPr>
          <w:rFonts w:ascii="Calibri" w:hAnsi="Calibri" w:cs="Calibri"/>
          <w:sz w:val="22"/>
          <w:szCs w:val="22"/>
        </w:rPr>
        <w:t xml:space="preserve">the Committee to </w:t>
      </w:r>
      <w:r>
        <w:rPr>
          <w:rFonts w:ascii="Calibri" w:hAnsi="Calibri" w:cs="Calibri"/>
          <w:sz w:val="22"/>
          <w:szCs w:val="22"/>
        </w:rPr>
        <w:t>make</w:t>
      </w:r>
      <w:r w:rsidRPr="00CA6BE9">
        <w:rPr>
          <w:rFonts w:ascii="Calibri" w:hAnsi="Calibri" w:cs="Calibri"/>
          <w:sz w:val="22"/>
          <w:szCs w:val="22"/>
        </w:rPr>
        <w:t xml:space="preserve"> proactive </w:t>
      </w:r>
      <w:r>
        <w:rPr>
          <w:rFonts w:ascii="Calibri" w:hAnsi="Calibri" w:cs="Calibri"/>
          <w:sz w:val="22"/>
          <w:szCs w:val="22"/>
        </w:rPr>
        <w:t>judgements about topicality and timeliness</w:t>
      </w:r>
      <w:r w:rsidRPr="00CA6BE9">
        <w:rPr>
          <w:rFonts w:ascii="Calibri" w:hAnsi="Calibri" w:cs="Calibri"/>
          <w:sz w:val="22"/>
          <w:szCs w:val="22"/>
        </w:rPr>
        <w:t>.</w:t>
      </w:r>
    </w:p>
    <w:p w:rsidR="00122E59" w:rsidRPr="00CA6BE9" w:rsidP="00A24CBC">
      <w:pPr>
        <w:jc w:val="both"/>
        <w:rPr>
          <w:rFonts w:ascii="Calibri" w:hAnsi="Calibri" w:cs="Calibri"/>
          <w:sz w:val="22"/>
          <w:szCs w:val="22"/>
        </w:rPr>
      </w:pPr>
    </w:p>
    <w:p w:rsidR="00122E59" w:rsidRPr="00CA6BE9" w:rsidP="00A24CBC">
      <w:pPr>
        <w:jc w:val="both"/>
        <w:rPr>
          <w:rFonts w:ascii="Calibri" w:hAnsi="Calibri" w:cs="Calibri"/>
          <w:sz w:val="22"/>
          <w:szCs w:val="22"/>
        </w:rPr>
      </w:pPr>
      <w:r w:rsidRPr="00CA6BE9">
        <w:rPr>
          <w:rFonts w:ascii="Calibri" w:hAnsi="Calibri" w:cs="Calibri"/>
          <w:sz w:val="22"/>
          <w:szCs w:val="22"/>
        </w:rPr>
        <w:t xml:space="preserve">Demand management may be easier to realise if </w:t>
      </w:r>
      <w:r>
        <w:rPr>
          <w:rFonts w:ascii="Calibri" w:hAnsi="Calibri" w:cs="Calibri"/>
          <w:sz w:val="22"/>
          <w:szCs w:val="22"/>
        </w:rPr>
        <w:t xml:space="preserve">the currently separate routes for </w:t>
      </w:r>
      <w:r w:rsidRPr="00CA6BE9">
        <w:rPr>
          <w:rFonts w:ascii="Calibri" w:hAnsi="Calibri" w:cs="Calibri"/>
          <w:sz w:val="22"/>
          <w:szCs w:val="22"/>
        </w:rPr>
        <w:t xml:space="preserve">Speaker’s Ballot debates </w:t>
      </w:r>
      <w:r>
        <w:rPr>
          <w:rFonts w:ascii="Calibri" w:hAnsi="Calibri" w:cs="Calibri"/>
          <w:sz w:val="22"/>
          <w:szCs w:val="22"/>
        </w:rPr>
        <w:t>and Backbench Business debates were</w:t>
      </w:r>
      <w:r w:rsidRPr="00CA6BE9">
        <w:rPr>
          <w:rFonts w:ascii="Calibri" w:hAnsi="Calibri" w:cs="Calibri"/>
          <w:sz w:val="22"/>
          <w:szCs w:val="22"/>
        </w:rPr>
        <w:t xml:space="preserve"> rationalised </w:t>
      </w:r>
      <w:r>
        <w:rPr>
          <w:rFonts w:ascii="Calibri" w:hAnsi="Calibri" w:cs="Calibri"/>
          <w:sz w:val="22"/>
          <w:szCs w:val="22"/>
        </w:rPr>
        <w:t xml:space="preserve">into a single route for Members to seek debates in the Chamber and Westminster Hall.  Doing so would enable a more strategic and coordinated use of precious backbench time.  For example, in a single route, one of the ‘new’ Tuesday slots that had formerly been used for Speaker’s Ballot debates </w:t>
      </w:r>
      <w:r w:rsidRPr="00CA6BE9">
        <w:rPr>
          <w:rFonts w:ascii="Calibri" w:hAnsi="Calibri" w:cs="Calibri"/>
          <w:sz w:val="22"/>
          <w:szCs w:val="22"/>
        </w:rPr>
        <w:t>could be allocated for debates of urgent or topical importance</w:t>
      </w:r>
      <w:r>
        <w:rPr>
          <w:rFonts w:ascii="Calibri" w:hAnsi="Calibri" w:cs="Calibri"/>
          <w:sz w:val="22"/>
          <w:szCs w:val="22"/>
        </w:rPr>
        <w:t>.  Indeed, these could be reframed as ‘rapid response’ debates</w:t>
      </w:r>
      <w:r w:rsidRPr="00CA6BE9">
        <w:rPr>
          <w:rFonts w:ascii="Calibri" w:hAnsi="Calibri" w:cs="Calibri"/>
          <w:sz w:val="22"/>
          <w:szCs w:val="22"/>
        </w:rPr>
        <w:t xml:space="preserve">.  </w:t>
      </w:r>
      <w:r>
        <w:rPr>
          <w:rFonts w:ascii="Calibri" w:hAnsi="Calibri" w:cs="Calibri"/>
          <w:sz w:val="22"/>
          <w:szCs w:val="22"/>
        </w:rPr>
        <w:t xml:space="preserve">This would also have positive spillovers in terms of </w:t>
      </w:r>
      <w:r w:rsidRPr="0056469A">
        <w:rPr>
          <w:rFonts w:ascii="Calibri" w:hAnsi="Calibri" w:cs="Calibri"/>
          <w:sz w:val="22"/>
          <w:szCs w:val="22"/>
        </w:rPr>
        <w:t xml:space="preserve">attendance and engagement, would also deal with </w:t>
      </w:r>
      <w:r>
        <w:rPr>
          <w:rFonts w:ascii="Calibri" w:hAnsi="Calibri" w:cs="Calibri"/>
          <w:sz w:val="22"/>
          <w:szCs w:val="22"/>
        </w:rPr>
        <w:t xml:space="preserve">the </w:t>
      </w:r>
      <w:r w:rsidRPr="0056469A">
        <w:rPr>
          <w:rFonts w:ascii="Calibri" w:hAnsi="Calibri" w:cs="Calibri"/>
          <w:sz w:val="22"/>
          <w:szCs w:val="22"/>
        </w:rPr>
        <w:t>issue above relating to perception that some debates are getting ‘prime’ slots.  There could also be a requirement that ‘rapid response’ debates must entail a substantive motion, which would in turn address the Backbench Business Committee’s concern about this being underutilised and a missed opportunity to put pressure on the Government (</w:t>
      </w:r>
      <w:r>
        <w:rPr>
          <w:rFonts w:ascii="Calibri" w:hAnsi="Calibri" w:cs="Calibri"/>
          <w:sz w:val="22"/>
          <w:szCs w:val="22"/>
        </w:rPr>
        <w:t>HC 1548, 2025, para. 34</w:t>
      </w:r>
      <w:r w:rsidRPr="0056469A">
        <w:rPr>
          <w:rFonts w:ascii="Calibri" w:hAnsi="Calibri" w:cs="Calibri"/>
          <w:sz w:val="22"/>
          <w:szCs w:val="22"/>
        </w:rPr>
        <w:t>).</w:t>
      </w:r>
      <w:r w:rsidRPr="00CA6BE9">
        <w:rPr>
          <w:rFonts w:ascii="Calibri" w:hAnsi="Calibri" w:cs="Calibri"/>
          <w:sz w:val="22"/>
          <w:szCs w:val="22"/>
        </w:rPr>
        <w:t xml:space="preserve">  </w:t>
      </w:r>
    </w:p>
    <w:p w:rsidR="00122E59" w:rsidP="00A24CBC">
      <w:pPr>
        <w:jc w:val="both"/>
        <w:rPr>
          <w:rFonts w:ascii="Calibri" w:hAnsi="Calibri" w:cs="Calibri"/>
          <w:sz w:val="22"/>
          <w:szCs w:val="22"/>
        </w:rPr>
      </w:pPr>
    </w:p>
    <w:p w:rsidR="00122E59" w:rsidRPr="00CA6BE9" w:rsidP="00A24CBC">
      <w:pPr>
        <w:jc w:val="both"/>
        <w:rPr>
          <w:rFonts w:ascii="Calibri" w:hAnsi="Calibri" w:cs="Calibri"/>
          <w:sz w:val="22"/>
          <w:szCs w:val="22"/>
        </w:rPr>
      </w:pPr>
    </w:p>
    <w:p w:rsidR="00122E59" w:rsidRPr="00CA6BE9" w:rsidP="00354B99">
      <w:pPr>
        <w:jc w:val="both"/>
        <w:rPr>
          <w:rFonts w:ascii="Calibri" w:hAnsi="Calibri" w:cs="Calibri"/>
          <w:b/>
          <w:bCs/>
          <w:sz w:val="22"/>
          <w:szCs w:val="22"/>
        </w:rPr>
      </w:pPr>
      <w:r w:rsidRPr="00CA6BE9">
        <w:rPr>
          <w:rFonts w:ascii="Calibri" w:hAnsi="Calibri" w:cs="Calibri"/>
          <w:b/>
          <w:bCs/>
          <w:sz w:val="22"/>
          <w:szCs w:val="22"/>
        </w:rPr>
        <w:t>5. Are the existing mechanisms available for the Petitions Committee to hold debates in the Chamber (to apply via Backbench Business Committee, or to be allocated time by the Government) sufficient or should the Petitions Committee have guaranteed time in the Chamber?   </w:t>
      </w:r>
    </w:p>
    <w:p w:rsidR="00122E59" w:rsidRPr="00CA6BE9" w:rsidP="00A24CBC">
      <w:pPr>
        <w:jc w:val="both"/>
        <w:rPr>
          <w:rFonts w:ascii="Calibri" w:hAnsi="Calibri" w:cs="Calibri"/>
          <w:b/>
          <w:bCs/>
          <w:sz w:val="22"/>
          <w:szCs w:val="22"/>
        </w:rPr>
      </w:pPr>
    </w:p>
    <w:p w:rsidR="00122E59" w:rsidRPr="00CA6BE9" w:rsidP="00A24CBC">
      <w:pPr>
        <w:jc w:val="both"/>
        <w:rPr>
          <w:rFonts w:ascii="Calibri" w:hAnsi="Calibri" w:cs="Calibri"/>
          <w:sz w:val="22"/>
          <w:szCs w:val="22"/>
        </w:rPr>
      </w:pPr>
      <w:r w:rsidRPr="00CA6BE9">
        <w:rPr>
          <w:rFonts w:ascii="Calibri" w:hAnsi="Calibri" w:cs="Calibri"/>
          <w:sz w:val="22"/>
          <w:szCs w:val="22"/>
        </w:rPr>
        <w:t xml:space="preserve">Petitions Committee </w:t>
      </w:r>
      <w:r>
        <w:rPr>
          <w:rFonts w:ascii="Calibri" w:hAnsi="Calibri" w:cs="Calibri"/>
          <w:sz w:val="22"/>
          <w:szCs w:val="22"/>
        </w:rPr>
        <w:t xml:space="preserve">debates </w:t>
      </w:r>
      <w:r w:rsidRPr="00CA6BE9">
        <w:rPr>
          <w:rFonts w:ascii="Calibri" w:hAnsi="Calibri" w:cs="Calibri"/>
          <w:sz w:val="22"/>
          <w:szCs w:val="22"/>
        </w:rPr>
        <w:t xml:space="preserve">add </w:t>
      </w:r>
      <w:r>
        <w:rPr>
          <w:rFonts w:ascii="Calibri" w:hAnsi="Calibri" w:cs="Calibri"/>
          <w:sz w:val="22"/>
          <w:szCs w:val="22"/>
        </w:rPr>
        <w:t xml:space="preserve">particular </w:t>
      </w:r>
      <w:r w:rsidRPr="00CA6BE9">
        <w:rPr>
          <w:rFonts w:ascii="Calibri" w:hAnsi="Calibri" w:cs="Calibri"/>
          <w:sz w:val="22"/>
          <w:szCs w:val="22"/>
        </w:rPr>
        <w:t xml:space="preserve">value when </w:t>
      </w:r>
      <w:r>
        <w:rPr>
          <w:rFonts w:ascii="Calibri" w:hAnsi="Calibri" w:cs="Calibri"/>
          <w:sz w:val="22"/>
          <w:szCs w:val="22"/>
        </w:rPr>
        <w:t>they</w:t>
      </w:r>
      <w:r w:rsidRPr="00CA6BE9">
        <w:rPr>
          <w:rFonts w:ascii="Calibri" w:hAnsi="Calibri" w:cs="Calibri"/>
          <w:sz w:val="22"/>
          <w:szCs w:val="22"/>
        </w:rPr>
        <w:t xml:space="preserve"> illuminate</w:t>
      </w:r>
      <w:r>
        <w:rPr>
          <w:rFonts w:ascii="Calibri" w:hAnsi="Calibri" w:cs="Calibri"/>
          <w:sz w:val="22"/>
          <w:szCs w:val="22"/>
        </w:rPr>
        <w:t xml:space="preserve"> </w:t>
      </w:r>
      <w:r w:rsidRPr="00CA6BE9">
        <w:rPr>
          <w:rFonts w:ascii="Calibri" w:hAnsi="Calibri" w:cs="Calibri"/>
          <w:sz w:val="22"/>
          <w:szCs w:val="22"/>
        </w:rPr>
        <w:t xml:space="preserve">issues or perspectives that may not otherwise make it to the parliamentary agenda.  </w:t>
      </w:r>
      <w:r>
        <w:rPr>
          <w:rFonts w:ascii="Calibri" w:hAnsi="Calibri" w:cs="Calibri"/>
          <w:sz w:val="22"/>
          <w:szCs w:val="22"/>
        </w:rPr>
        <w:t xml:space="preserve">Recent debates, for example, have focused on </w:t>
      </w:r>
      <w:r>
        <w:rPr>
          <w:rFonts w:ascii="Calibri" w:hAnsi="Calibri" w:cs="Calibri"/>
          <w:sz w:val="22"/>
          <w:szCs w:val="22"/>
        </w:rPr>
        <w:t>issues  issues</w:t>
      </w:r>
      <w:r>
        <w:rPr>
          <w:rFonts w:ascii="Calibri" w:hAnsi="Calibri" w:cs="Calibri"/>
          <w:sz w:val="22"/>
          <w:szCs w:val="22"/>
        </w:rPr>
        <w:t xml:space="preserve"> including: </w:t>
      </w:r>
    </w:p>
    <w:p w:rsidR="00122E59" w:rsidRPr="00CA6BE9" w:rsidP="00A24CBC">
      <w:pPr>
        <w:jc w:val="both"/>
        <w:rPr>
          <w:rFonts w:ascii="Calibri" w:hAnsi="Calibri" w:cs="Calibri"/>
          <w:sz w:val="22"/>
          <w:szCs w:val="22"/>
        </w:rPr>
      </w:pPr>
    </w:p>
    <w:p w:rsidR="00122E59" w:rsidRPr="005A6FB1" w:rsidP="005A6FB1">
      <w:pPr>
        <w:pStyle w:val="ListParagraph"/>
        <w:numPr>
          <w:ilvl w:val="0"/>
          <w:numId w:val="10"/>
        </w:numPr>
        <w:jc w:val="both"/>
        <w:rPr>
          <w:rFonts w:ascii="Calibri" w:hAnsi="Calibri" w:cs="Calibri"/>
          <w:sz w:val="22"/>
          <w:szCs w:val="22"/>
        </w:rPr>
      </w:pPr>
      <w:r w:rsidRPr="005A6FB1">
        <w:rPr>
          <w:rFonts w:ascii="Calibri" w:hAnsi="Calibri" w:cs="Calibri"/>
          <w:sz w:val="22"/>
          <w:szCs w:val="22"/>
        </w:rPr>
        <w:t>access to court and tribunal transcripts</w:t>
      </w:r>
    </w:p>
    <w:p w:rsidR="00122E59" w:rsidRPr="005A6FB1" w:rsidP="005A6FB1">
      <w:pPr>
        <w:pStyle w:val="ListParagraph"/>
        <w:numPr>
          <w:ilvl w:val="0"/>
          <w:numId w:val="10"/>
        </w:numPr>
        <w:jc w:val="both"/>
        <w:rPr>
          <w:rFonts w:ascii="Calibri" w:hAnsi="Calibri" w:cs="Calibri"/>
          <w:sz w:val="22"/>
          <w:szCs w:val="22"/>
        </w:rPr>
      </w:pPr>
      <w:r>
        <w:rPr>
          <w:rFonts w:ascii="Calibri" w:hAnsi="Calibri" w:cs="Calibri"/>
          <w:sz w:val="22"/>
          <w:szCs w:val="22"/>
        </w:rPr>
        <w:t>routine T</w:t>
      </w:r>
      <w:r w:rsidRPr="005A6FB1">
        <w:rPr>
          <w:rFonts w:ascii="Calibri" w:hAnsi="Calibri" w:cs="Calibri"/>
          <w:sz w:val="22"/>
          <w:szCs w:val="22"/>
        </w:rPr>
        <w:t xml:space="preserve">ype 1 </w:t>
      </w:r>
      <w:r>
        <w:rPr>
          <w:rFonts w:ascii="Calibri" w:hAnsi="Calibri" w:cs="Calibri"/>
          <w:sz w:val="22"/>
          <w:szCs w:val="22"/>
        </w:rPr>
        <w:t>D</w:t>
      </w:r>
      <w:r w:rsidRPr="005A6FB1">
        <w:rPr>
          <w:rFonts w:ascii="Calibri" w:hAnsi="Calibri" w:cs="Calibri"/>
          <w:sz w:val="22"/>
          <w:szCs w:val="22"/>
        </w:rPr>
        <w:t>iabetes testing for infants</w:t>
      </w:r>
    </w:p>
    <w:p w:rsidR="00122E59" w:rsidRPr="005A6FB1" w:rsidP="005A6FB1">
      <w:pPr>
        <w:pStyle w:val="ListParagraph"/>
        <w:numPr>
          <w:ilvl w:val="0"/>
          <w:numId w:val="10"/>
        </w:numPr>
        <w:jc w:val="both"/>
        <w:rPr>
          <w:rFonts w:ascii="Calibri" w:hAnsi="Calibri" w:cs="Calibri"/>
          <w:sz w:val="22"/>
          <w:szCs w:val="22"/>
        </w:rPr>
      </w:pPr>
      <w:r w:rsidRPr="005A6FB1">
        <w:rPr>
          <w:rFonts w:ascii="Calibri" w:hAnsi="Calibri" w:cs="Calibri"/>
          <w:sz w:val="22"/>
          <w:szCs w:val="22"/>
        </w:rPr>
        <w:t>Section 1 and 2 firearms licensing</w:t>
      </w:r>
    </w:p>
    <w:p w:rsidR="00122E59" w:rsidRPr="005A6FB1" w:rsidP="005A6FB1">
      <w:pPr>
        <w:pStyle w:val="ListParagraph"/>
        <w:numPr>
          <w:ilvl w:val="0"/>
          <w:numId w:val="10"/>
        </w:numPr>
        <w:jc w:val="both"/>
        <w:rPr>
          <w:rFonts w:ascii="Calibri" w:hAnsi="Calibri" w:cs="Calibri"/>
          <w:sz w:val="22"/>
          <w:szCs w:val="22"/>
        </w:rPr>
      </w:pPr>
      <w:r w:rsidRPr="005A6FB1">
        <w:rPr>
          <w:rFonts w:ascii="Calibri" w:hAnsi="Calibri" w:cs="Calibri"/>
          <w:sz w:val="22"/>
          <w:szCs w:val="22"/>
        </w:rPr>
        <w:t>licensing and regulation of animal rescue centres</w:t>
      </w:r>
    </w:p>
    <w:p w:rsidR="00122E59" w:rsidRPr="005A6FB1" w:rsidP="005A6FB1">
      <w:pPr>
        <w:pStyle w:val="ListParagraph"/>
        <w:numPr>
          <w:ilvl w:val="0"/>
          <w:numId w:val="10"/>
        </w:numPr>
        <w:jc w:val="both"/>
        <w:rPr>
          <w:rFonts w:ascii="Calibri" w:hAnsi="Calibri" w:cs="Calibri"/>
          <w:sz w:val="22"/>
          <w:szCs w:val="22"/>
        </w:rPr>
      </w:pPr>
      <w:r w:rsidRPr="005A6FB1">
        <w:rPr>
          <w:rFonts w:ascii="Calibri" w:hAnsi="Calibri" w:cs="Calibri"/>
          <w:sz w:val="22"/>
          <w:szCs w:val="22"/>
        </w:rPr>
        <w:t xml:space="preserve">play in the </w:t>
      </w:r>
      <w:r>
        <w:rPr>
          <w:rFonts w:ascii="Calibri" w:hAnsi="Calibri" w:cs="Calibri"/>
          <w:sz w:val="22"/>
          <w:szCs w:val="22"/>
        </w:rPr>
        <w:t>Ke</w:t>
      </w:r>
      <w:r w:rsidRPr="005A6FB1">
        <w:rPr>
          <w:rFonts w:ascii="Calibri" w:hAnsi="Calibri" w:cs="Calibri"/>
          <w:sz w:val="22"/>
          <w:szCs w:val="22"/>
        </w:rPr>
        <w:t xml:space="preserve">y </w:t>
      </w:r>
      <w:r>
        <w:rPr>
          <w:rFonts w:ascii="Calibri" w:hAnsi="Calibri" w:cs="Calibri"/>
          <w:sz w:val="22"/>
          <w:szCs w:val="22"/>
        </w:rPr>
        <w:t>S</w:t>
      </w:r>
      <w:r w:rsidRPr="005A6FB1">
        <w:rPr>
          <w:rFonts w:ascii="Calibri" w:hAnsi="Calibri" w:cs="Calibri"/>
          <w:sz w:val="22"/>
          <w:szCs w:val="22"/>
        </w:rPr>
        <w:t xml:space="preserve">tage 1 </w:t>
      </w:r>
      <w:r>
        <w:rPr>
          <w:rFonts w:ascii="Calibri" w:hAnsi="Calibri" w:cs="Calibri"/>
          <w:sz w:val="22"/>
          <w:szCs w:val="22"/>
        </w:rPr>
        <w:t>C</w:t>
      </w:r>
      <w:r w:rsidRPr="005A6FB1">
        <w:rPr>
          <w:rFonts w:ascii="Calibri" w:hAnsi="Calibri" w:cs="Calibri"/>
          <w:sz w:val="22"/>
          <w:szCs w:val="22"/>
        </w:rPr>
        <w:t>urriculum</w:t>
      </w:r>
    </w:p>
    <w:p w:rsidR="00122E59" w:rsidRPr="00CA6BE9" w:rsidP="00A24CBC">
      <w:pPr>
        <w:jc w:val="both"/>
        <w:rPr>
          <w:rFonts w:ascii="Calibri" w:hAnsi="Calibri" w:cs="Calibri"/>
          <w:b/>
          <w:bCs/>
          <w:sz w:val="22"/>
          <w:szCs w:val="22"/>
        </w:rPr>
      </w:pPr>
    </w:p>
    <w:p w:rsidR="00122E59" w:rsidRPr="005A6FB1" w:rsidP="00A24CBC">
      <w:pPr>
        <w:jc w:val="both"/>
        <w:rPr>
          <w:rFonts w:ascii="Calibri" w:hAnsi="Calibri" w:cs="Calibri"/>
          <w:sz w:val="22"/>
          <w:szCs w:val="22"/>
        </w:rPr>
      </w:pPr>
      <w:r w:rsidRPr="005A6FB1">
        <w:rPr>
          <w:rFonts w:ascii="Calibri" w:hAnsi="Calibri" w:cs="Calibri"/>
          <w:sz w:val="22"/>
          <w:szCs w:val="22"/>
        </w:rPr>
        <w:t xml:space="preserve">In my own research, most </w:t>
      </w:r>
      <w:r w:rsidRPr="005A6FB1">
        <w:rPr>
          <w:rFonts w:ascii="Calibri" w:hAnsi="Calibri" w:cs="Calibri"/>
          <w:sz w:val="22"/>
          <w:szCs w:val="22"/>
        </w:rPr>
        <w:t>Members  agreed</w:t>
      </w:r>
      <w:r w:rsidRPr="005A6FB1">
        <w:rPr>
          <w:rFonts w:ascii="Calibri" w:hAnsi="Calibri" w:cs="Calibri"/>
          <w:sz w:val="22"/>
          <w:szCs w:val="22"/>
        </w:rPr>
        <w:t xml:space="preserve"> that the tone of petition debates differed from those in the Main Chamber. Many interviewees suggested that the tone of debates reflected the ‘non-partisan’ nature of petition topics; and some regarded petition debates as useful opportunities to identify and build cross-party alliances. </w:t>
      </w:r>
    </w:p>
    <w:p w:rsidR="00122E59" w:rsidRPr="00CA6BE9" w:rsidP="00A24CBC">
      <w:pPr>
        <w:jc w:val="both"/>
        <w:rPr>
          <w:rFonts w:ascii="Calibri" w:hAnsi="Calibri" w:cs="Calibri"/>
          <w:sz w:val="22"/>
          <w:szCs w:val="22"/>
        </w:rPr>
      </w:pPr>
    </w:p>
    <w:p w:rsidR="00122E59" w:rsidRPr="005A6FB1" w:rsidP="00A24CBC">
      <w:pPr>
        <w:jc w:val="both"/>
        <w:rPr>
          <w:rFonts w:ascii="Calibri" w:hAnsi="Calibri" w:cs="Calibri"/>
          <w:sz w:val="22"/>
          <w:szCs w:val="22"/>
        </w:rPr>
      </w:pPr>
      <w:r w:rsidRPr="005A6FB1">
        <w:rPr>
          <w:rFonts w:ascii="Calibri" w:hAnsi="Calibri" w:cs="Calibri"/>
          <w:sz w:val="22"/>
          <w:szCs w:val="22"/>
        </w:rPr>
        <w:t xml:space="preserve">There were some reservations about the format of petition debates. </w:t>
      </w:r>
      <w:r>
        <w:rPr>
          <w:rFonts w:ascii="Calibri" w:hAnsi="Calibri" w:cs="Calibri"/>
          <w:sz w:val="22"/>
          <w:szCs w:val="22"/>
        </w:rPr>
        <w:t xml:space="preserve"> Some</w:t>
      </w:r>
      <w:r w:rsidRPr="005A6FB1">
        <w:rPr>
          <w:rFonts w:ascii="Calibri" w:hAnsi="Calibri" w:cs="Calibri"/>
          <w:sz w:val="22"/>
          <w:szCs w:val="22"/>
        </w:rPr>
        <w:t xml:space="preserve"> interviewees suggested that Westminster Hall lacks the gravitas of the Main Chamber</w:t>
      </w:r>
      <w:r>
        <w:rPr>
          <w:rFonts w:ascii="Calibri" w:hAnsi="Calibri" w:cs="Calibri"/>
          <w:sz w:val="22"/>
          <w:szCs w:val="22"/>
        </w:rPr>
        <w:t xml:space="preserve">; and related to this, some suggested that the lack of a substantive </w:t>
      </w:r>
      <w:r>
        <w:rPr>
          <w:rFonts w:ascii="Calibri" w:hAnsi="Calibri" w:cs="Calibri"/>
          <w:sz w:val="22"/>
          <w:szCs w:val="22"/>
        </w:rPr>
        <w:t xml:space="preserve">motion </w:t>
      </w:r>
      <w:r w:rsidRPr="005A6FB1">
        <w:rPr>
          <w:rFonts w:ascii="Calibri" w:hAnsi="Calibri" w:cs="Calibri"/>
          <w:sz w:val="22"/>
          <w:szCs w:val="22"/>
        </w:rPr>
        <w:t xml:space="preserve"> </w:t>
      </w:r>
      <w:r>
        <w:rPr>
          <w:rFonts w:ascii="Calibri" w:hAnsi="Calibri" w:cs="Calibri"/>
          <w:sz w:val="22"/>
          <w:szCs w:val="22"/>
        </w:rPr>
        <w:t>affected</w:t>
      </w:r>
      <w:r>
        <w:rPr>
          <w:rFonts w:ascii="Calibri" w:hAnsi="Calibri" w:cs="Calibri"/>
          <w:sz w:val="22"/>
          <w:szCs w:val="22"/>
        </w:rPr>
        <w:t xml:space="preserve"> their significance to Members. </w:t>
      </w:r>
      <w:r w:rsidRPr="005A6FB1">
        <w:rPr>
          <w:rFonts w:ascii="Calibri" w:hAnsi="Calibri" w:cs="Calibri"/>
          <w:sz w:val="22"/>
          <w:szCs w:val="22"/>
        </w:rPr>
        <w:t xml:space="preserve">Several suggestions were advanced to address these concerns. Some interviewees supported the idea of petition debates being held in the Main Chamber, with time being allocated either as a right of the Petitions Committee, or by the introduction of a ‘super threshold’. Related to this, there was some support for petition debates being subject to a substantive motion. </w:t>
      </w:r>
    </w:p>
    <w:p w:rsidR="00122E59" w:rsidRPr="00CA6BE9" w:rsidP="00A24CBC">
      <w:pPr>
        <w:jc w:val="both"/>
        <w:rPr>
          <w:rFonts w:ascii="Calibri" w:hAnsi="Calibri" w:cs="Calibri"/>
          <w:sz w:val="22"/>
          <w:szCs w:val="22"/>
        </w:rPr>
      </w:pPr>
    </w:p>
    <w:p w:rsidR="00122E59" w:rsidP="00A24CBC">
      <w:pPr>
        <w:jc w:val="both"/>
        <w:rPr>
          <w:rFonts w:ascii="Calibri" w:hAnsi="Calibri" w:cs="Calibri"/>
          <w:sz w:val="22"/>
          <w:szCs w:val="22"/>
        </w:rPr>
      </w:pPr>
      <w:r>
        <w:rPr>
          <w:rFonts w:ascii="Calibri" w:hAnsi="Calibri" w:cs="Calibri"/>
          <w:sz w:val="22"/>
          <w:szCs w:val="22"/>
        </w:rPr>
        <w:t>Overall, however, my research suggests that</w:t>
      </w:r>
      <w:r w:rsidRPr="00CA6BE9">
        <w:rPr>
          <w:rFonts w:ascii="Calibri" w:hAnsi="Calibri" w:cs="Calibri"/>
          <w:sz w:val="22"/>
          <w:szCs w:val="22"/>
        </w:rPr>
        <w:t xml:space="preserve"> the benefits of the </w:t>
      </w:r>
      <w:r>
        <w:rPr>
          <w:rFonts w:ascii="Calibri" w:hAnsi="Calibri" w:cs="Calibri"/>
          <w:sz w:val="22"/>
          <w:szCs w:val="22"/>
        </w:rPr>
        <w:t>Westminster</w:t>
      </w:r>
      <w:r w:rsidRPr="00CA6BE9">
        <w:rPr>
          <w:rFonts w:ascii="Calibri" w:hAnsi="Calibri" w:cs="Calibri"/>
          <w:sz w:val="22"/>
          <w:szCs w:val="22"/>
        </w:rPr>
        <w:t xml:space="preserve"> Hall </w:t>
      </w:r>
      <w:r>
        <w:rPr>
          <w:rFonts w:ascii="Calibri" w:hAnsi="Calibri" w:cs="Calibri"/>
          <w:sz w:val="22"/>
          <w:szCs w:val="22"/>
        </w:rPr>
        <w:t xml:space="preserve">petition </w:t>
      </w:r>
      <w:r w:rsidRPr="00CA6BE9">
        <w:rPr>
          <w:rFonts w:ascii="Calibri" w:hAnsi="Calibri" w:cs="Calibri"/>
          <w:sz w:val="22"/>
          <w:szCs w:val="22"/>
        </w:rPr>
        <w:t>debate</w:t>
      </w:r>
      <w:r>
        <w:rPr>
          <w:rFonts w:ascii="Calibri" w:hAnsi="Calibri" w:cs="Calibri"/>
          <w:sz w:val="22"/>
          <w:szCs w:val="22"/>
        </w:rPr>
        <w:t xml:space="preserve"> – particularly, their reputation as being non-partisan, inclusive and cognisant of lived experience </w:t>
      </w:r>
      <w:r w:rsidRPr="00CA6BE9">
        <w:rPr>
          <w:rFonts w:ascii="Calibri" w:hAnsi="Calibri" w:cs="Calibri"/>
          <w:sz w:val="22"/>
          <w:szCs w:val="22"/>
        </w:rPr>
        <w:t xml:space="preserve">– would be lost if debates </w:t>
      </w:r>
      <w:r>
        <w:rPr>
          <w:rFonts w:ascii="Calibri" w:hAnsi="Calibri" w:cs="Calibri"/>
          <w:sz w:val="22"/>
          <w:szCs w:val="22"/>
        </w:rPr>
        <w:t xml:space="preserve">were </w:t>
      </w:r>
      <w:r w:rsidRPr="00CA6BE9">
        <w:rPr>
          <w:rFonts w:ascii="Calibri" w:hAnsi="Calibri" w:cs="Calibri"/>
          <w:sz w:val="22"/>
          <w:szCs w:val="22"/>
        </w:rPr>
        <w:t xml:space="preserve">held in the Main Chamber.  </w:t>
      </w:r>
      <w:r>
        <w:rPr>
          <w:rFonts w:ascii="Calibri" w:hAnsi="Calibri" w:cs="Calibri"/>
          <w:sz w:val="22"/>
          <w:szCs w:val="22"/>
        </w:rPr>
        <w:t xml:space="preserve">Similarly, a move towards voteable motions would raise the spectre of partisan division when many of the issues raised by petitions should instead be regarded as matters of conscience, which would be detrimental in terms of public engagement and honouring the lived </w:t>
      </w:r>
      <w:r>
        <w:rPr>
          <w:rFonts w:ascii="Calibri" w:hAnsi="Calibri" w:cs="Calibri"/>
          <w:sz w:val="22"/>
          <w:szCs w:val="22"/>
        </w:rPr>
        <w:t>experience of petitioners.  For example, a recent petition that called for the ‘</w:t>
      </w:r>
      <w:r w:rsidRPr="005A6FB1">
        <w:rPr>
          <w:rFonts w:ascii="Calibri" w:hAnsi="Calibri" w:cs="Calibri"/>
          <w:sz w:val="22"/>
          <w:szCs w:val="22"/>
        </w:rPr>
        <w:t>mandatory offer of testing for Type 1 Diabetes in babies, toddlers, and young children as a routine part of medical assessments at the point of care</w:t>
      </w:r>
      <w:r>
        <w:rPr>
          <w:rFonts w:ascii="Calibri" w:hAnsi="Calibri" w:cs="Calibri"/>
          <w:sz w:val="22"/>
          <w:szCs w:val="22"/>
        </w:rPr>
        <w:t xml:space="preserve">’ was started in the most tragic of circumstances following the death </w:t>
      </w:r>
      <w:r w:rsidRPr="00CA6BE9">
        <w:rPr>
          <w:rFonts w:ascii="Calibri" w:hAnsi="Calibri" w:cs="Calibri"/>
          <w:sz w:val="22"/>
          <w:szCs w:val="22"/>
        </w:rPr>
        <w:t xml:space="preserve">of the petitioner’s </w:t>
      </w:r>
      <w:r>
        <w:rPr>
          <w:rFonts w:ascii="Calibri" w:hAnsi="Calibri" w:cs="Calibri"/>
          <w:sz w:val="22"/>
          <w:szCs w:val="22"/>
        </w:rPr>
        <w:t>two-year old</w:t>
      </w:r>
      <w:r w:rsidRPr="00CA6BE9">
        <w:rPr>
          <w:rFonts w:ascii="Calibri" w:hAnsi="Calibri" w:cs="Calibri"/>
          <w:sz w:val="22"/>
          <w:szCs w:val="22"/>
        </w:rPr>
        <w:t xml:space="preserve"> daughter due to undiagnosed type 1 diabetes.</w:t>
      </w:r>
      <w:r>
        <w:rPr>
          <w:rFonts w:ascii="Calibri" w:hAnsi="Calibri" w:cs="Calibri"/>
          <w:sz w:val="22"/>
          <w:szCs w:val="22"/>
        </w:rPr>
        <w:t xml:space="preserve">  It is difficult to see how a substantive motion would be appropriate or beneficial in such instances.  </w:t>
      </w:r>
    </w:p>
    <w:p w:rsidR="00122E59" w:rsidP="00A24CBC">
      <w:pPr>
        <w:jc w:val="both"/>
        <w:rPr>
          <w:rFonts w:ascii="Calibri" w:hAnsi="Calibri" w:cs="Calibri"/>
          <w:sz w:val="22"/>
          <w:szCs w:val="22"/>
        </w:rPr>
      </w:pPr>
    </w:p>
    <w:p w:rsidR="00122E59" w:rsidRPr="00CA6BE9" w:rsidP="00A24CBC">
      <w:pPr>
        <w:jc w:val="both"/>
        <w:rPr>
          <w:rFonts w:ascii="Calibri" w:hAnsi="Calibri" w:cs="Calibri"/>
          <w:sz w:val="22"/>
          <w:szCs w:val="22"/>
        </w:rPr>
      </w:pPr>
      <w:r>
        <w:rPr>
          <w:rFonts w:ascii="Calibri" w:hAnsi="Calibri" w:cs="Calibri"/>
          <w:sz w:val="22"/>
          <w:szCs w:val="22"/>
        </w:rPr>
        <w:t>These issues</w:t>
      </w:r>
      <w:r w:rsidRPr="00CA6BE9">
        <w:rPr>
          <w:rFonts w:ascii="Calibri" w:hAnsi="Calibri" w:cs="Calibri"/>
          <w:sz w:val="22"/>
          <w:szCs w:val="22"/>
        </w:rPr>
        <w:t xml:space="preserve"> also dovetail with relevant considerations regarding public expectations of the parliamentary petitions system.  </w:t>
      </w:r>
      <w:r>
        <w:rPr>
          <w:rFonts w:ascii="Calibri" w:hAnsi="Calibri" w:cs="Calibri"/>
          <w:sz w:val="22"/>
          <w:szCs w:val="22"/>
        </w:rPr>
        <w:t>Research has shown that p</w:t>
      </w:r>
      <w:r w:rsidRPr="00CA6BE9">
        <w:rPr>
          <w:rFonts w:ascii="Calibri" w:hAnsi="Calibri" w:cs="Calibri"/>
          <w:sz w:val="22"/>
          <w:szCs w:val="22"/>
        </w:rPr>
        <w:t xml:space="preserve">etitioners are often disappointed that their petition ‘asks’ are not met with </w:t>
      </w:r>
      <w:r>
        <w:rPr>
          <w:rFonts w:ascii="Calibri" w:hAnsi="Calibri" w:cs="Calibri"/>
          <w:sz w:val="22"/>
          <w:szCs w:val="22"/>
        </w:rPr>
        <w:t>Go</w:t>
      </w:r>
      <w:r w:rsidRPr="00CA6BE9">
        <w:rPr>
          <w:rFonts w:ascii="Calibri" w:hAnsi="Calibri" w:cs="Calibri"/>
          <w:sz w:val="22"/>
          <w:szCs w:val="22"/>
        </w:rPr>
        <w:t>vernment action</w:t>
      </w:r>
      <w:r>
        <w:rPr>
          <w:rFonts w:ascii="Calibri" w:hAnsi="Calibri" w:cs="Calibri"/>
          <w:sz w:val="22"/>
          <w:szCs w:val="22"/>
        </w:rPr>
        <w:t xml:space="preserve"> (e.g. Martin, 2026; Bochel, 2020)</w:t>
      </w:r>
      <w:r w:rsidRPr="00CA6BE9">
        <w:rPr>
          <w:rFonts w:ascii="Calibri" w:hAnsi="Calibri" w:cs="Calibri"/>
          <w:sz w:val="22"/>
          <w:szCs w:val="22"/>
        </w:rPr>
        <w:t>; and holding debates in the Main Chamber (with or without a voteable motion) may actually exacerbate this risk by inflating expectations.</w:t>
      </w:r>
      <w:r>
        <w:rPr>
          <w:rFonts w:ascii="Calibri" w:hAnsi="Calibri" w:cs="Calibri"/>
          <w:sz w:val="22"/>
          <w:szCs w:val="22"/>
        </w:rPr>
        <w:t xml:space="preserve">  Likewise, a move towards holding some debates in the Main Chamber would </w:t>
      </w:r>
      <w:r w:rsidRPr="00CA6BE9">
        <w:rPr>
          <w:rFonts w:ascii="Calibri" w:hAnsi="Calibri" w:cs="Calibri"/>
          <w:sz w:val="22"/>
          <w:szCs w:val="22"/>
        </w:rPr>
        <w:t xml:space="preserve">also require the Petitions Committee to decide which petitions </w:t>
      </w:r>
      <w:r>
        <w:rPr>
          <w:rFonts w:ascii="Calibri" w:hAnsi="Calibri" w:cs="Calibri"/>
          <w:sz w:val="22"/>
          <w:szCs w:val="22"/>
        </w:rPr>
        <w:t>were ‘worthy’ of being</w:t>
      </w:r>
      <w:r w:rsidRPr="00CA6BE9">
        <w:rPr>
          <w:rFonts w:ascii="Calibri" w:hAnsi="Calibri" w:cs="Calibri"/>
          <w:sz w:val="22"/>
          <w:szCs w:val="22"/>
        </w:rPr>
        <w:t xml:space="preserve"> </w:t>
      </w:r>
      <w:r>
        <w:rPr>
          <w:rFonts w:ascii="Calibri" w:hAnsi="Calibri" w:cs="Calibri"/>
          <w:sz w:val="22"/>
          <w:szCs w:val="22"/>
        </w:rPr>
        <w:t>the subject</w:t>
      </w:r>
      <w:r w:rsidRPr="00CA6BE9">
        <w:rPr>
          <w:rFonts w:ascii="Calibri" w:hAnsi="Calibri" w:cs="Calibri"/>
          <w:sz w:val="22"/>
          <w:szCs w:val="22"/>
        </w:rPr>
        <w:t xml:space="preserve"> to Main Chamber </w:t>
      </w:r>
      <w:r w:rsidRPr="00CA6BE9">
        <w:rPr>
          <w:rFonts w:ascii="Calibri" w:hAnsi="Calibri" w:cs="Calibri"/>
          <w:sz w:val="22"/>
          <w:szCs w:val="22"/>
        </w:rPr>
        <w:t>debates, and</w:t>
      </w:r>
      <w:r w:rsidRPr="00CA6BE9">
        <w:rPr>
          <w:rFonts w:ascii="Calibri" w:hAnsi="Calibri" w:cs="Calibri"/>
          <w:sz w:val="22"/>
          <w:szCs w:val="22"/>
        </w:rPr>
        <w:t xml:space="preserve"> could risk undermining the work that it has done to build public understanding of, and trust in, the parliamentary petitions process.  </w:t>
      </w:r>
    </w:p>
    <w:p w:rsidR="00122E59" w:rsidRPr="00CA6BE9" w:rsidP="00A24CBC">
      <w:pPr>
        <w:jc w:val="both"/>
        <w:rPr>
          <w:rFonts w:ascii="Calibri" w:hAnsi="Calibri" w:cs="Calibri"/>
          <w:sz w:val="22"/>
          <w:szCs w:val="22"/>
        </w:rPr>
      </w:pPr>
    </w:p>
    <w:p w:rsidR="00122E59" w:rsidRPr="00CA6BE9" w:rsidP="00A24CBC">
      <w:pPr>
        <w:jc w:val="both"/>
        <w:rPr>
          <w:rFonts w:ascii="Calibri" w:hAnsi="Calibri" w:cs="Calibri"/>
          <w:sz w:val="22"/>
          <w:szCs w:val="22"/>
        </w:rPr>
      </w:pPr>
      <w:r w:rsidRPr="00CA6BE9">
        <w:rPr>
          <w:rFonts w:ascii="Calibri" w:hAnsi="Calibri" w:cs="Calibri"/>
          <w:sz w:val="22"/>
          <w:szCs w:val="22"/>
        </w:rPr>
        <w:t>In</w:t>
      </w:r>
      <w:r>
        <w:rPr>
          <w:rFonts w:ascii="Calibri" w:hAnsi="Calibri" w:cs="Calibri"/>
          <w:sz w:val="22"/>
          <w:szCs w:val="22"/>
        </w:rPr>
        <w:t xml:space="preserve"> response to these concerns, it has sometimes been suggested that signature thresholds could be used to determine the debate venue.  There are, however,</w:t>
      </w:r>
      <w:r w:rsidRPr="00CA6BE9">
        <w:rPr>
          <w:rFonts w:ascii="Calibri" w:hAnsi="Calibri" w:cs="Calibri"/>
          <w:sz w:val="22"/>
          <w:szCs w:val="22"/>
        </w:rPr>
        <w:t xml:space="preserve"> risks of applying a ‘super threshold</w:t>
      </w:r>
      <w:r w:rsidRPr="00CA6BE9">
        <w:rPr>
          <w:rFonts w:ascii="Calibri" w:hAnsi="Calibri" w:cs="Calibri"/>
          <w:sz w:val="22"/>
          <w:szCs w:val="22"/>
        </w:rPr>
        <w:t>’  The</w:t>
      </w:r>
      <w:r w:rsidRPr="00CA6BE9">
        <w:rPr>
          <w:rFonts w:ascii="Calibri" w:hAnsi="Calibri" w:cs="Calibri"/>
          <w:sz w:val="22"/>
          <w:szCs w:val="22"/>
        </w:rPr>
        <w:t xml:space="preserve"> current 100,000 threshold is for consideration for a </w:t>
      </w:r>
      <w:r w:rsidRPr="00CA6BE9">
        <w:rPr>
          <w:rFonts w:ascii="Calibri" w:hAnsi="Calibri" w:cs="Calibri"/>
          <w:sz w:val="22"/>
          <w:szCs w:val="22"/>
        </w:rPr>
        <w:t>debate, and</w:t>
      </w:r>
      <w:r w:rsidRPr="00CA6BE9">
        <w:rPr>
          <w:rFonts w:ascii="Calibri" w:hAnsi="Calibri" w:cs="Calibri"/>
          <w:sz w:val="22"/>
          <w:szCs w:val="22"/>
        </w:rPr>
        <w:t xml:space="preserve"> does not guarantee a debate.  Indeed, the Committee has used its discretion to prioritise petitions that have not met this threshold, but where it is felt that an important issue has been surfaced.  </w:t>
      </w:r>
      <w:r>
        <w:rPr>
          <w:rFonts w:ascii="Calibri" w:hAnsi="Calibri" w:cs="Calibri"/>
          <w:sz w:val="22"/>
          <w:szCs w:val="22"/>
        </w:rPr>
        <w:t>Moreover</w:t>
      </w:r>
      <w:r w:rsidRPr="00CA6BE9">
        <w:rPr>
          <w:rFonts w:ascii="Calibri" w:hAnsi="Calibri" w:cs="Calibri"/>
          <w:sz w:val="22"/>
          <w:szCs w:val="22"/>
        </w:rPr>
        <w:t xml:space="preserve"> a new ‘super threshold’ of e.g. 250,000 signatures would probably benefit petitions on topics that are already firmly on the political agenda</w:t>
      </w:r>
      <w:r>
        <w:rPr>
          <w:rFonts w:ascii="Calibri" w:hAnsi="Calibri" w:cs="Calibri"/>
          <w:sz w:val="22"/>
          <w:szCs w:val="22"/>
        </w:rPr>
        <w:t>, as demonstrated by the list below which sets out all petitions surpassing this threshold in the current Parliament:</w:t>
      </w:r>
    </w:p>
    <w:p w:rsidR="00122E59" w:rsidRPr="00CA6BE9" w:rsidP="00A24CBC">
      <w:pPr>
        <w:jc w:val="both"/>
        <w:rPr>
          <w:rFonts w:ascii="Calibri" w:hAnsi="Calibri" w:cs="Calibri"/>
          <w:sz w:val="22"/>
          <w:szCs w:val="22"/>
        </w:rPr>
      </w:pP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Call a General Election - 3,084,715 signatures</w:t>
      </w: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Do not introduce Digital ID cards - 2,984,192</w:t>
      </w:r>
      <w:r>
        <w:rPr>
          <w:rFonts w:ascii="Calibri" w:hAnsi="Calibri" w:cs="Calibri"/>
          <w:sz w:val="22"/>
          <w:szCs w:val="22"/>
        </w:rPr>
        <w:t xml:space="preserve">1 </w:t>
      </w:r>
      <w:r w:rsidRPr="0088164B">
        <w:rPr>
          <w:rFonts w:ascii="Calibri" w:hAnsi="Calibri" w:cs="Calibri"/>
          <w:sz w:val="22"/>
          <w:szCs w:val="22"/>
        </w:rPr>
        <w:t>signatures</w:t>
      </w: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Call an immediate general election - 1,059,23</w:t>
      </w:r>
      <w:r>
        <w:rPr>
          <w:rFonts w:ascii="Calibri" w:hAnsi="Calibri" w:cs="Calibri"/>
          <w:sz w:val="22"/>
          <w:szCs w:val="22"/>
        </w:rPr>
        <w:t xml:space="preserve">0 </w:t>
      </w:r>
      <w:r w:rsidRPr="0088164B">
        <w:rPr>
          <w:rFonts w:ascii="Calibri" w:hAnsi="Calibri" w:cs="Calibri"/>
          <w:sz w:val="22"/>
          <w:szCs w:val="22"/>
        </w:rPr>
        <w:t>signatures</w:t>
      </w: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Introduce offshore detention/mass deportation for illegal migrants - 720,77</w:t>
      </w:r>
      <w:r>
        <w:rPr>
          <w:rFonts w:ascii="Calibri" w:hAnsi="Calibri" w:cs="Calibri"/>
          <w:sz w:val="22"/>
          <w:szCs w:val="22"/>
        </w:rPr>
        <w:t xml:space="preserve">3 </w:t>
      </w:r>
      <w:r w:rsidRPr="0088164B">
        <w:rPr>
          <w:rFonts w:ascii="Calibri" w:hAnsi="Calibri" w:cs="Calibri"/>
          <w:sz w:val="22"/>
          <w:szCs w:val="22"/>
        </w:rPr>
        <w:t>signatures</w:t>
      </w: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Repeal the Online Safety Act - 550,13</w:t>
      </w:r>
      <w:r>
        <w:rPr>
          <w:rFonts w:ascii="Calibri" w:hAnsi="Calibri" w:cs="Calibri"/>
          <w:sz w:val="22"/>
          <w:szCs w:val="22"/>
        </w:rPr>
        <w:t xml:space="preserve">6 </w:t>
      </w:r>
      <w:r w:rsidRPr="0088164B">
        <w:rPr>
          <w:rFonts w:ascii="Calibri" w:hAnsi="Calibri" w:cs="Calibri"/>
          <w:sz w:val="22"/>
          <w:szCs w:val="22"/>
        </w:rPr>
        <w:t>signatures</w:t>
      </w: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Stop financial and other support for asylum seekers - 427,44</w:t>
      </w:r>
      <w:r>
        <w:rPr>
          <w:rFonts w:ascii="Calibri" w:hAnsi="Calibri" w:cs="Calibri"/>
          <w:sz w:val="22"/>
          <w:szCs w:val="22"/>
        </w:rPr>
        <w:t xml:space="preserve">7 </w:t>
      </w:r>
      <w:r w:rsidRPr="0088164B">
        <w:rPr>
          <w:rFonts w:ascii="Calibri" w:hAnsi="Calibri" w:cs="Calibri"/>
          <w:sz w:val="22"/>
          <w:szCs w:val="22"/>
        </w:rPr>
        <w:t>signatures</w:t>
      </w: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Raise the income tax personal allowance from £12,570 to £20,000 - 281,794</w:t>
      </w:r>
      <w:r>
        <w:rPr>
          <w:rFonts w:ascii="Calibri" w:hAnsi="Calibri" w:cs="Calibri"/>
          <w:sz w:val="22"/>
          <w:szCs w:val="22"/>
        </w:rPr>
        <w:t xml:space="preserve"> </w:t>
      </w:r>
      <w:r w:rsidRPr="0088164B">
        <w:rPr>
          <w:rFonts w:ascii="Calibri" w:hAnsi="Calibri" w:cs="Calibri"/>
          <w:sz w:val="22"/>
          <w:szCs w:val="22"/>
        </w:rPr>
        <w:t>signatures</w:t>
      </w: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Mandatory collection and publication of certain child sexual offender data - 260,97</w:t>
      </w:r>
      <w:r>
        <w:rPr>
          <w:rFonts w:ascii="Calibri" w:hAnsi="Calibri" w:cs="Calibri"/>
          <w:sz w:val="22"/>
          <w:szCs w:val="22"/>
        </w:rPr>
        <w:t xml:space="preserve">4 </w:t>
      </w:r>
      <w:r w:rsidRPr="0088164B">
        <w:rPr>
          <w:rFonts w:ascii="Calibri" w:hAnsi="Calibri" w:cs="Calibri"/>
          <w:sz w:val="22"/>
          <w:szCs w:val="22"/>
        </w:rPr>
        <w:t>signatures</w:t>
      </w:r>
    </w:p>
    <w:p w:rsidR="00122E59" w:rsidRPr="0088164B"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Ban immediately the use of dogs in scientific and regulatory procedures - 257,938</w:t>
      </w:r>
      <w:r>
        <w:rPr>
          <w:rFonts w:ascii="Calibri" w:hAnsi="Calibri" w:cs="Calibri"/>
          <w:sz w:val="22"/>
          <w:szCs w:val="22"/>
        </w:rPr>
        <w:t xml:space="preserve"> </w:t>
      </w:r>
      <w:r w:rsidRPr="0088164B">
        <w:rPr>
          <w:rFonts w:ascii="Calibri" w:hAnsi="Calibri" w:cs="Calibri"/>
          <w:sz w:val="22"/>
          <w:szCs w:val="22"/>
        </w:rPr>
        <w:t>signatures</w:t>
      </w:r>
    </w:p>
    <w:p w:rsidR="00122E59" w:rsidP="0088164B">
      <w:pPr>
        <w:pStyle w:val="ListParagraph"/>
        <w:numPr>
          <w:ilvl w:val="0"/>
          <w:numId w:val="11"/>
        </w:numPr>
        <w:jc w:val="both"/>
        <w:rPr>
          <w:rFonts w:ascii="Calibri" w:hAnsi="Calibri" w:cs="Calibri"/>
          <w:sz w:val="22"/>
          <w:szCs w:val="22"/>
        </w:rPr>
      </w:pPr>
      <w:r w:rsidRPr="0088164B">
        <w:rPr>
          <w:rFonts w:ascii="Calibri" w:hAnsi="Calibri" w:cs="Calibri"/>
          <w:sz w:val="22"/>
          <w:szCs w:val="22"/>
        </w:rPr>
        <w:t>Shut the migrant hotels down now and deport illegal migrants housed there - 257,442 signatures</w:t>
      </w:r>
    </w:p>
    <w:p w:rsidR="00122E59" w:rsidP="00F45C0A">
      <w:pPr>
        <w:jc w:val="both"/>
        <w:rPr>
          <w:rFonts w:ascii="Calibri" w:hAnsi="Calibri" w:cs="Calibri"/>
          <w:sz w:val="22"/>
          <w:szCs w:val="22"/>
        </w:rPr>
      </w:pPr>
    </w:p>
    <w:p w:rsidR="00122E59" w:rsidP="00F45C0A">
      <w:pPr>
        <w:jc w:val="both"/>
        <w:rPr>
          <w:rFonts w:ascii="Calibri" w:hAnsi="Calibri" w:cs="Calibri"/>
          <w:b/>
          <w:bCs/>
          <w:sz w:val="22"/>
          <w:szCs w:val="22"/>
        </w:rPr>
      </w:pPr>
      <w:r w:rsidRPr="00F45C0A">
        <w:rPr>
          <w:rFonts w:ascii="Calibri" w:hAnsi="Calibri" w:cs="Calibri"/>
          <w:b/>
          <w:bCs/>
          <w:sz w:val="22"/>
          <w:szCs w:val="22"/>
        </w:rPr>
        <w:t>Recommendations for the Committee</w:t>
      </w:r>
    </w:p>
    <w:p w:rsidR="00122E59" w:rsidRPr="00F45C0A" w:rsidP="00F45C0A">
      <w:pPr>
        <w:jc w:val="both"/>
        <w:rPr>
          <w:rFonts w:ascii="Calibri" w:hAnsi="Calibri" w:cs="Calibri"/>
          <w:b/>
          <w:bCs/>
          <w:sz w:val="22"/>
          <w:szCs w:val="22"/>
        </w:rPr>
      </w:pPr>
    </w:p>
    <w:p w:rsidR="00122E59" w:rsidRPr="00432388" w:rsidP="00F45C0A">
      <w:pPr>
        <w:numPr>
          <w:ilvl w:val="0"/>
          <w:numId w:val="12"/>
        </w:numPr>
        <w:jc w:val="both"/>
        <w:rPr>
          <w:rFonts w:ascii="Calibri" w:hAnsi="Calibri" w:cs="Calibri"/>
          <w:sz w:val="22"/>
          <w:szCs w:val="22"/>
        </w:rPr>
      </w:pPr>
      <w:r w:rsidRPr="00432388">
        <w:rPr>
          <w:rFonts w:ascii="Calibri" w:hAnsi="Calibri" w:cs="Calibri"/>
          <w:sz w:val="22"/>
          <w:szCs w:val="22"/>
        </w:rPr>
        <w:t xml:space="preserve">R1: Merge Backbench Business and Speaker’s Ballot debates into a unified </w:t>
      </w:r>
      <w:r>
        <w:rPr>
          <w:rFonts w:ascii="Calibri" w:hAnsi="Calibri" w:cs="Calibri"/>
          <w:sz w:val="22"/>
          <w:szCs w:val="22"/>
        </w:rPr>
        <w:t>route</w:t>
      </w:r>
      <w:r w:rsidRPr="00432388">
        <w:rPr>
          <w:rFonts w:ascii="Calibri" w:hAnsi="Calibri" w:cs="Calibri"/>
          <w:sz w:val="22"/>
          <w:szCs w:val="22"/>
        </w:rPr>
        <w:t xml:space="preserve"> to increase scheduling flexibility.</w:t>
      </w:r>
    </w:p>
    <w:p w:rsidR="00122E59" w:rsidRPr="00432388" w:rsidP="00F45C0A">
      <w:pPr>
        <w:numPr>
          <w:ilvl w:val="0"/>
          <w:numId w:val="12"/>
        </w:numPr>
        <w:jc w:val="both"/>
        <w:rPr>
          <w:rFonts w:ascii="Calibri" w:hAnsi="Calibri" w:cs="Calibri"/>
          <w:sz w:val="22"/>
          <w:szCs w:val="22"/>
        </w:rPr>
      </w:pPr>
      <w:r w:rsidRPr="00432388">
        <w:rPr>
          <w:rFonts w:ascii="Calibri" w:hAnsi="Calibri" w:cs="Calibri"/>
          <w:sz w:val="22"/>
          <w:szCs w:val="22"/>
        </w:rPr>
        <w:t>R2: </w:t>
      </w:r>
      <w:r>
        <w:rPr>
          <w:rFonts w:ascii="Calibri" w:hAnsi="Calibri" w:cs="Calibri"/>
          <w:sz w:val="22"/>
          <w:szCs w:val="22"/>
        </w:rPr>
        <w:t>Introduce</w:t>
      </w:r>
      <w:r w:rsidRPr="00432388">
        <w:rPr>
          <w:rFonts w:ascii="Calibri" w:hAnsi="Calibri" w:cs="Calibri"/>
          <w:sz w:val="22"/>
          <w:szCs w:val="22"/>
        </w:rPr>
        <w:t xml:space="preserve"> a </w:t>
      </w:r>
      <w:r>
        <w:rPr>
          <w:rFonts w:ascii="Calibri" w:hAnsi="Calibri" w:cs="Calibri"/>
          <w:sz w:val="22"/>
          <w:szCs w:val="22"/>
        </w:rPr>
        <w:t>‘r</w:t>
      </w:r>
      <w:r w:rsidRPr="00432388">
        <w:rPr>
          <w:rFonts w:ascii="Calibri" w:hAnsi="Calibri" w:cs="Calibri"/>
          <w:sz w:val="22"/>
          <w:szCs w:val="22"/>
        </w:rPr>
        <w:t xml:space="preserve">apid </w:t>
      </w:r>
      <w:r>
        <w:rPr>
          <w:rFonts w:ascii="Calibri" w:hAnsi="Calibri" w:cs="Calibri"/>
          <w:sz w:val="22"/>
          <w:szCs w:val="22"/>
        </w:rPr>
        <w:t>r</w:t>
      </w:r>
      <w:r w:rsidRPr="00432388">
        <w:rPr>
          <w:rFonts w:ascii="Calibri" w:hAnsi="Calibri" w:cs="Calibri"/>
          <w:sz w:val="22"/>
          <w:szCs w:val="22"/>
        </w:rPr>
        <w:t>espons</w:t>
      </w:r>
      <w:r>
        <w:rPr>
          <w:rFonts w:ascii="Calibri" w:hAnsi="Calibri" w:cs="Calibri"/>
          <w:sz w:val="22"/>
          <w:szCs w:val="22"/>
        </w:rPr>
        <w:t>e’</w:t>
      </w:r>
      <w:r w:rsidRPr="00432388">
        <w:rPr>
          <w:rFonts w:ascii="Calibri" w:hAnsi="Calibri" w:cs="Calibri"/>
          <w:sz w:val="22"/>
          <w:szCs w:val="22"/>
        </w:rPr>
        <w:t xml:space="preserve"> category for debates on a two-week rolling window to address topicality.</w:t>
      </w:r>
    </w:p>
    <w:p w:rsidR="00122E59" w:rsidRPr="00432388" w:rsidP="00F45C0A">
      <w:pPr>
        <w:ind w:left="720"/>
        <w:jc w:val="both"/>
        <w:rPr>
          <w:rFonts w:ascii="Calibri" w:hAnsi="Calibri" w:cs="Calibri"/>
          <w:sz w:val="22"/>
          <w:szCs w:val="22"/>
        </w:rPr>
      </w:pPr>
    </w:p>
    <w:p w:rsidR="00122E59" w:rsidRPr="00AA58AA" w:rsidP="00F45C0A">
      <w:pPr>
        <w:numPr>
          <w:ilvl w:val="0"/>
          <w:numId w:val="12"/>
        </w:numPr>
        <w:jc w:val="both"/>
        <w:rPr>
          <w:rFonts w:ascii="Calibri" w:hAnsi="Calibri" w:cs="Calibri"/>
          <w:sz w:val="22"/>
          <w:szCs w:val="22"/>
        </w:rPr>
      </w:pPr>
      <w:r w:rsidRPr="00AA58AA">
        <w:rPr>
          <w:rFonts w:ascii="Calibri" w:hAnsi="Calibri" w:cs="Calibri"/>
          <w:sz w:val="22"/>
          <w:szCs w:val="22"/>
        </w:rPr>
        <w:t>R3: Retain the current allocation of 35 days for the</w:t>
      </w:r>
      <w:r w:rsidRPr="00AA58AA">
        <w:rPr>
          <w:rFonts w:ascii="Calibri" w:hAnsi="Calibri" w:cs="Calibri"/>
          <w:sz w:val="22"/>
          <w:szCs w:val="22"/>
          <w:lang w:val="en-US"/>
        </w:rPr>
        <w:t xml:space="preserve"> Backbench Business </w:t>
      </w:r>
      <w:r w:rsidRPr="00AA58AA">
        <w:rPr>
          <w:rFonts w:ascii="Calibri" w:hAnsi="Calibri" w:cs="Calibri"/>
          <w:sz w:val="22"/>
          <w:szCs w:val="22"/>
          <w:lang w:val="en-US"/>
        </w:rPr>
        <w:t>Committee</w:t>
      </w:r>
      <w:r>
        <w:rPr>
          <w:rFonts w:ascii="Calibri" w:hAnsi="Calibri" w:cs="Calibri"/>
          <w:sz w:val="22"/>
          <w:szCs w:val="22"/>
          <w:lang w:val="en-US"/>
        </w:rPr>
        <w:t>, but</w:t>
      </w:r>
      <w:r>
        <w:rPr>
          <w:rFonts w:ascii="Calibri" w:hAnsi="Calibri" w:cs="Calibri"/>
          <w:sz w:val="22"/>
          <w:szCs w:val="22"/>
          <w:lang w:val="en-US"/>
        </w:rPr>
        <w:t xml:space="preserve"> maintain a ‘watching brief’ on debate application numbers.</w:t>
      </w:r>
    </w:p>
    <w:p w:rsidR="00122E59" w:rsidRPr="00AA58AA" w:rsidP="00AA58AA">
      <w:pPr>
        <w:jc w:val="both"/>
        <w:rPr>
          <w:rFonts w:ascii="Calibri" w:hAnsi="Calibri" w:cs="Calibri"/>
          <w:sz w:val="22"/>
          <w:szCs w:val="22"/>
        </w:rPr>
      </w:pPr>
    </w:p>
    <w:p w:rsidR="00122E59" w:rsidRPr="00432388" w:rsidP="00F45C0A">
      <w:pPr>
        <w:numPr>
          <w:ilvl w:val="0"/>
          <w:numId w:val="12"/>
        </w:numPr>
        <w:jc w:val="both"/>
        <w:rPr>
          <w:rFonts w:ascii="Calibri" w:hAnsi="Calibri" w:cs="Calibri"/>
          <w:sz w:val="22"/>
          <w:szCs w:val="22"/>
        </w:rPr>
      </w:pPr>
      <w:r w:rsidRPr="00432388">
        <w:rPr>
          <w:rFonts w:ascii="Calibri" w:hAnsi="Calibri" w:cs="Calibri"/>
          <w:sz w:val="22"/>
          <w:szCs w:val="22"/>
        </w:rPr>
        <w:t>R4: Maintain Westminster Hall as the primary venue for petitions debates to preserve their unique, non-partisan character.</w:t>
      </w:r>
    </w:p>
    <w:p w:rsidR="00122E59" w:rsidP="00432388">
      <w:pPr>
        <w:pStyle w:val="ListParagraph"/>
        <w:rPr>
          <w:rFonts w:ascii="Calibri" w:hAnsi="Calibri" w:cs="Calibri"/>
          <w:sz w:val="22"/>
          <w:szCs w:val="22"/>
        </w:rPr>
      </w:pPr>
    </w:p>
    <w:p w:rsidR="00122E59" w:rsidRPr="00F45C0A" w:rsidP="00F45C0A">
      <w:pPr>
        <w:numPr>
          <w:ilvl w:val="0"/>
          <w:numId w:val="12"/>
        </w:numPr>
        <w:jc w:val="both"/>
        <w:rPr>
          <w:rFonts w:ascii="Calibri" w:hAnsi="Calibri" w:cs="Calibri"/>
          <w:sz w:val="22"/>
          <w:szCs w:val="22"/>
        </w:rPr>
      </w:pPr>
      <w:r>
        <w:rPr>
          <w:rFonts w:ascii="Calibri" w:hAnsi="Calibri" w:cs="Calibri"/>
          <w:sz w:val="22"/>
          <w:szCs w:val="22"/>
        </w:rPr>
        <w:t>R5: Do not introduce substantive motions for petition debates.</w:t>
      </w:r>
    </w:p>
    <w:p w:rsidR="00122E59" w:rsidRPr="00F45C0A" w:rsidP="00F45C0A">
      <w:pPr>
        <w:jc w:val="both"/>
        <w:rPr>
          <w:rFonts w:ascii="Calibri" w:hAnsi="Calibri" w:cs="Calibri"/>
          <w:sz w:val="22"/>
          <w:szCs w:val="22"/>
        </w:rPr>
      </w:pPr>
    </w:p>
    <w:p w:rsidR="00122E59" w:rsidP="00FF00F3">
      <w:pPr>
        <w:jc w:val="both"/>
        <w:rPr>
          <w:rFonts w:ascii="Calibri" w:hAnsi="Calibri" w:cs="Calibri"/>
          <w:b/>
          <w:bCs/>
          <w:sz w:val="22"/>
          <w:szCs w:val="22"/>
        </w:rPr>
      </w:pPr>
    </w:p>
    <w:p w:rsidR="00122E59" w:rsidRPr="00FF00F3" w:rsidP="00FF00F3">
      <w:pPr>
        <w:jc w:val="both"/>
        <w:rPr>
          <w:rFonts w:ascii="Calibri" w:hAnsi="Calibri" w:cs="Calibri"/>
          <w:b/>
          <w:bCs/>
          <w:sz w:val="22"/>
          <w:szCs w:val="22"/>
        </w:rPr>
      </w:pPr>
      <w:r w:rsidRPr="00FF00F3">
        <w:rPr>
          <w:rFonts w:ascii="Calibri" w:hAnsi="Calibri" w:cs="Calibri"/>
          <w:b/>
          <w:bCs/>
          <w:sz w:val="22"/>
          <w:szCs w:val="22"/>
        </w:rPr>
        <w:t>References</w:t>
      </w:r>
    </w:p>
    <w:p w:rsidR="00122E59" w:rsidP="00A24CBC">
      <w:pPr>
        <w:jc w:val="both"/>
        <w:rPr>
          <w:rFonts w:ascii="Calibri" w:hAnsi="Calibri" w:cs="Calibri"/>
          <w:b/>
          <w:bCs/>
          <w:sz w:val="22"/>
          <w:szCs w:val="22"/>
        </w:rPr>
      </w:pPr>
    </w:p>
    <w:p w:rsidR="00122E59" w:rsidRPr="00740CB5" w:rsidP="0091228C">
      <w:pPr>
        <w:ind w:left="602" w:hanging="602"/>
        <w:jc w:val="both"/>
        <w:rPr>
          <w:rFonts w:ascii="Calibri" w:hAnsi="Calibri" w:cs="Calibri"/>
          <w:color w:val="000000" w:themeColor="text1"/>
          <w:sz w:val="22"/>
          <w:szCs w:val="22"/>
        </w:rPr>
      </w:pPr>
      <w:r w:rsidRPr="00740CB5">
        <w:rPr>
          <w:rFonts w:ascii="Calibri" w:hAnsi="Calibri" w:cs="Calibri"/>
          <w:color w:val="000000" w:themeColor="text1"/>
          <w:sz w:val="22"/>
          <w:szCs w:val="22"/>
        </w:rPr>
        <w:t xml:space="preserve">Bochel, C. (2020) ‘Petitions Systems: Outcomes, ‘Success’ and ‘Failure’’, </w:t>
      </w:r>
      <w:r w:rsidRPr="00740CB5">
        <w:rPr>
          <w:rFonts w:ascii="Calibri" w:hAnsi="Calibri" w:cs="Calibri"/>
          <w:i/>
          <w:iCs/>
          <w:color w:val="000000" w:themeColor="text1"/>
          <w:sz w:val="22"/>
          <w:szCs w:val="22"/>
        </w:rPr>
        <w:t>Parliamentary Affairs</w:t>
      </w:r>
      <w:r w:rsidRPr="00740CB5">
        <w:rPr>
          <w:rFonts w:ascii="Calibri" w:hAnsi="Calibri" w:cs="Calibri"/>
          <w:color w:val="000000" w:themeColor="text1"/>
          <w:sz w:val="22"/>
          <w:szCs w:val="22"/>
        </w:rPr>
        <w:t>, 73 (2): 233-252.</w:t>
      </w:r>
    </w:p>
    <w:p w:rsidR="00122E59" w:rsidRPr="00740CB5" w:rsidP="00FB1B65">
      <w:pPr>
        <w:ind w:left="602" w:hanging="602"/>
        <w:jc w:val="both"/>
        <w:rPr>
          <w:rFonts w:ascii="Calibri" w:hAnsi="Calibri" w:cs="Calibri"/>
          <w:color w:val="000000" w:themeColor="text1"/>
          <w:sz w:val="22"/>
          <w:szCs w:val="22"/>
        </w:rPr>
      </w:pPr>
      <w:r w:rsidRPr="00740CB5">
        <w:rPr>
          <w:rFonts w:ascii="Calibri" w:hAnsi="Calibri" w:cs="Calibri"/>
          <w:color w:val="000000" w:themeColor="text1"/>
          <w:sz w:val="22"/>
          <w:szCs w:val="22"/>
        </w:rPr>
        <w:t xml:space="preserve">Cowley, P. (2025) ‘Rebel rebel: parliamentary humiliations didn’t start with Starmer’, </w:t>
      </w:r>
      <w:r w:rsidRPr="00740CB5">
        <w:rPr>
          <w:rFonts w:ascii="Calibri" w:hAnsi="Calibri" w:cs="Calibri"/>
          <w:i/>
          <w:iCs/>
          <w:color w:val="000000" w:themeColor="text1"/>
          <w:sz w:val="22"/>
          <w:szCs w:val="22"/>
        </w:rPr>
        <w:t xml:space="preserve">Financial Times, </w:t>
      </w:r>
      <w:r w:rsidRPr="00740CB5">
        <w:rPr>
          <w:rFonts w:ascii="Calibri" w:hAnsi="Calibri" w:cs="Calibri"/>
          <w:color w:val="000000" w:themeColor="text1"/>
          <w:sz w:val="22"/>
          <w:szCs w:val="22"/>
        </w:rPr>
        <w:t xml:space="preserve">27 June.  Available at: </w:t>
      </w:r>
      <w:r>
        <w:fldChar w:fldCharType="begin"/>
      </w:r>
      <w:r>
        <w:instrText xml:space="preserve"> HYPERLINK "https://www.ft.com/content/f63785e0-0974-40e8-9bcd-b61748bc1638" </w:instrText>
      </w:r>
      <w:r>
        <w:fldChar w:fldCharType="separate"/>
      </w:r>
      <w:r w:rsidRPr="00740CB5">
        <w:rPr>
          <w:rStyle w:val="Hyperlink"/>
          <w:rFonts w:ascii="Calibri" w:hAnsi="Calibri" w:cs="Calibri"/>
          <w:color w:val="000000" w:themeColor="text1"/>
          <w:sz w:val="22"/>
          <w:szCs w:val="22"/>
          <w:u w:val="none"/>
        </w:rPr>
        <w:t>https://www.ft.com/content/f63785e0-0974-40e8-9bcd-b61748bc1638</w:t>
      </w:r>
      <w:r>
        <w:fldChar w:fldCharType="end"/>
      </w:r>
      <w:r w:rsidRPr="00740CB5">
        <w:rPr>
          <w:rFonts w:ascii="Calibri" w:hAnsi="Calibri" w:cs="Calibri"/>
          <w:color w:val="000000" w:themeColor="text1"/>
          <w:sz w:val="22"/>
          <w:szCs w:val="22"/>
        </w:rPr>
        <w:t>, last accessed 8 May 2026</w:t>
      </w:r>
    </w:p>
    <w:p w:rsidR="00122E59" w:rsidRPr="00740CB5" w:rsidP="0091228C">
      <w:pPr>
        <w:ind w:left="602" w:hanging="602"/>
        <w:jc w:val="both"/>
        <w:rPr>
          <w:rFonts w:ascii="Calibri" w:hAnsi="Calibri" w:cs="Calibri"/>
          <w:color w:val="000000" w:themeColor="text1"/>
          <w:sz w:val="22"/>
          <w:szCs w:val="22"/>
        </w:rPr>
      </w:pPr>
      <w:r w:rsidRPr="00740CB5">
        <w:rPr>
          <w:rFonts w:ascii="Calibri" w:hAnsi="Calibri" w:cs="Calibri"/>
          <w:color w:val="000000" w:themeColor="text1"/>
          <w:sz w:val="22"/>
          <w:szCs w:val="22"/>
        </w:rPr>
        <w:t xml:space="preserve">HC 1548 (2025) </w:t>
      </w:r>
      <w:r w:rsidRPr="00740CB5">
        <w:rPr>
          <w:rFonts w:ascii="Calibri" w:hAnsi="Calibri" w:cs="Calibri"/>
          <w:i/>
          <w:iCs/>
          <w:color w:val="000000" w:themeColor="text1"/>
          <w:sz w:val="22"/>
          <w:szCs w:val="22"/>
        </w:rPr>
        <w:t xml:space="preserve">15th anniversary of the Backbench Business Committee, </w:t>
      </w:r>
      <w:r w:rsidRPr="00740CB5">
        <w:rPr>
          <w:rFonts w:ascii="Calibri" w:hAnsi="Calibri" w:cs="Calibri"/>
          <w:color w:val="000000" w:themeColor="text1"/>
          <w:sz w:val="22"/>
          <w:szCs w:val="22"/>
        </w:rPr>
        <w:t>first special report of the Backbench Business Committee.  London: House of Commons,</w:t>
      </w:r>
    </w:p>
    <w:p w:rsidR="00122E59" w:rsidRPr="00740CB5" w:rsidP="00FB1B65">
      <w:pPr>
        <w:ind w:left="602" w:hanging="602"/>
        <w:jc w:val="both"/>
        <w:rPr>
          <w:rFonts w:ascii="Calibri" w:hAnsi="Calibri" w:cs="Calibri"/>
          <w:color w:val="000000" w:themeColor="text1"/>
          <w:sz w:val="22"/>
          <w:szCs w:val="22"/>
        </w:rPr>
      </w:pPr>
      <w:r w:rsidRPr="00740CB5">
        <w:rPr>
          <w:rFonts w:ascii="Calibri" w:hAnsi="Calibri" w:cs="Calibri"/>
          <w:color w:val="000000" w:themeColor="text1"/>
          <w:sz w:val="22"/>
          <w:szCs w:val="22"/>
        </w:rPr>
        <w:t xml:space="preserve">Martin, L. (2026) ‘E-petitioning Parliament: Understanding the connections between citizens and the UK Parliament’, </w:t>
      </w:r>
      <w:r w:rsidRPr="00740CB5">
        <w:rPr>
          <w:rFonts w:ascii="Calibri" w:hAnsi="Calibri" w:cs="Calibri"/>
          <w:i/>
          <w:iCs/>
          <w:color w:val="000000" w:themeColor="text1"/>
          <w:sz w:val="22"/>
          <w:szCs w:val="22"/>
        </w:rPr>
        <w:t>Parliamentary Affairs</w:t>
      </w:r>
      <w:r w:rsidRPr="00740CB5">
        <w:rPr>
          <w:rFonts w:ascii="Calibri" w:hAnsi="Calibri" w:cs="Calibri"/>
          <w:color w:val="000000" w:themeColor="text1"/>
          <w:sz w:val="22"/>
          <w:szCs w:val="22"/>
        </w:rPr>
        <w:t>, 79 (1): 22-45.</w:t>
      </w:r>
    </w:p>
    <w:p w:rsidR="00122E59" w:rsidRPr="00740CB5" w:rsidP="00FB1B65">
      <w:pPr>
        <w:ind w:left="602" w:hanging="602"/>
        <w:jc w:val="both"/>
        <w:rPr>
          <w:rFonts w:ascii="Calibri" w:hAnsi="Calibri" w:cs="Calibri"/>
          <w:color w:val="000000" w:themeColor="text1"/>
          <w:sz w:val="22"/>
          <w:szCs w:val="22"/>
        </w:rPr>
      </w:pPr>
      <w:r w:rsidRPr="00740CB5">
        <w:rPr>
          <w:rFonts w:ascii="Calibri" w:hAnsi="Calibri" w:cs="Calibri"/>
          <w:color w:val="000000" w:themeColor="text1"/>
          <w:sz w:val="22"/>
          <w:szCs w:val="22"/>
        </w:rPr>
        <w:t xml:space="preserve">White, H. (2026) ‘How Labour should deal with the backbench rebel alliance’, </w:t>
      </w:r>
      <w:r w:rsidRPr="00740CB5">
        <w:rPr>
          <w:rFonts w:ascii="Calibri" w:hAnsi="Calibri" w:cs="Calibri"/>
          <w:i/>
          <w:iCs/>
          <w:color w:val="000000" w:themeColor="text1"/>
          <w:sz w:val="22"/>
          <w:szCs w:val="22"/>
        </w:rPr>
        <w:t>Financial Times</w:t>
      </w:r>
      <w:r w:rsidRPr="00740CB5">
        <w:rPr>
          <w:rFonts w:ascii="Calibri" w:hAnsi="Calibri" w:cs="Calibri"/>
          <w:color w:val="000000" w:themeColor="text1"/>
          <w:sz w:val="22"/>
          <w:szCs w:val="22"/>
        </w:rPr>
        <w:t xml:space="preserve">, 13 March.  Available at: </w:t>
      </w:r>
      <w:r>
        <w:fldChar w:fldCharType="begin"/>
      </w:r>
      <w:r>
        <w:instrText xml:space="preserve"> HYPERLINK "https://www.ft.com/content/cb41c499-82ef-4081-b7d5-a3f8e8b9e9da" </w:instrText>
      </w:r>
      <w:r>
        <w:fldChar w:fldCharType="separate"/>
      </w:r>
      <w:r w:rsidRPr="00740CB5">
        <w:rPr>
          <w:rStyle w:val="Hyperlink"/>
          <w:rFonts w:ascii="Calibri" w:hAnsi="Calibri" w:cs="Calibri"/>
          <w:color w:val="000000" w:themeColor="text1"/>
          <w:sz w:val="22"/>
          <w:szCs w:val="22"/>
          <w:u w:val="none"/>
        </w:rPr>
        <w:t>https://www.ft.com/content/cb41c499-82ef-4081-b7d5-a3f8e8b9e9da</w:t>
      </w:r>
      <w:r>
        <w:fldChar w:fldCharType="end"/>
      </w:r>
      <w:r w:rsidRPr="00740CB5">
        <w:rPr>
          <w:rFonts w:ascii="Calibri" w:hAnsi="Calibri" w:cs="Calibri"/>
          <w:color w:val="000000" w:themeColor="text1"/>
          <w:sz w:val="22"/>
          <w:szCs w:val="22"/>
        </w:rPr>
        <w:t>, last accessed 8 May 2026.</w:t>
      </w:r>
    </w:p>
    <w:p w:rsidR="00122E59" w:rsidP="00A24CBC">
      <w:pPr>
        <w:jc w:val="both"/>
        <w:rPr>
          <w:rFonts w:ascii="Calibri" w:hAnsi="Calibri" w:cs="Calibri"/>
          <w:b/>
          <w:bCs/>
          <w:sz w:val="22"/>
          <w:szCs w:val="22"/>
        </w:rPr>
      </w:pPr>
    </w:p>
    <w:p w:rsidR="00122E59" w:rsidP="00A24CBC">
      <w:pPr>
        <w:jc w:val="both"/>
        <w:rPr>
          <w:rFonts w:ascii="Calibri" w:hAnsi="Calibri" w:cs="Calibri"/>
          <w:b/>
          <w:bCs/>
          <w:sz w:val="22"/>
          <w:szCs w:val="22"/>
        </w:rPr>
      </w:pPr>
    </w:p>
    <w:p w:rsidR="00402B86" w:rsidRPr="006E0133" w:rsidP="00402B86">
      <w:pPr>
        <w:jc w:val="right"/>
        <w:rPr>
          <w:rFonts w:ascii="Calibri" w:eastAsia="Aptos" w:hAnsi="Calibri" w:cs="Calibri"/>
          <w:b/>
          <w:bCs/>
          <w:i/>
          <w:iCs/>
          <w:sz w:val="22"/>
          <w:szCs w:val="22"/>
        </w:rPr>
      </w:pPr>
      <w:r w:rsidRPr="006E0133">
        <w:rPr>
          <w:rFonts w:ascii="Calibri" w:eastAsia="Aptos" w:hAnsi="Calibri" w:cs="Calibri"/>
          <w:b/>
          <w:bCs/>
          <w:i/>
          <w:iCs/>
          <w:sz w:val="22"/>
          <w:szCs w:val="22"/>
        </w:rPr>
        <w:t>May 2026</w:t>
      </w:r>
    </w:p>
    <w:p w:rsidR="00402B86" w:rsidRPr="00CA6BE9" w:rsidP="00A24CBC">
      <w:pPr>
        <w:jc w:val="both"/>
        <w:rPr>
          <w:rFonts w:ascii="Calibri" w:hAnsi="Calibri" w:cs="Calibri"/>
          <w:b/>
          <w:bCs/>
          <w:sz w:val="22"/>
          <w:szCs w:val="22"/>
        </w:rPr>
      </w:pPr>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8C7718"/>
    <w:multiLevelType w:val="multilevel"/>
    <w:tmpl w:val="4D38E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F4679"/>
    <w:multiLevelType w:val="multilevel"/>
    <w:tmpl w:val="C0DC3D8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540FB0"/>
    <w:multiLevelType w:val="hybridMultilevel"/>
    <w:tmpl w:val="E70EAC5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BE20BE2"/>
    <w:multiLevelType w:val="multilevel"/>
    <w:tmpl w:val="0F46630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09536A"/>
    <w:multiLevelType w:val="multilevel"/>
    <w:tmpl w:val="AA42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EB3700"/>
    <w:multiLevelType w:val="hybridMultilevel"/>
    <w:tmpl w:val="B442BA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585CA4"/>
    <w:multiLevelType w:val="hybridMultilevel"/>
    <w:tmpl w:val="B808BCD0"/>
    <w:lvl w:ilvl="0">
      <w:start w:val="1"/>
      <w:numFmt w:val="bullet"/>
      <w:lvlText w:val="-"/>
      <w:lvlJc w:val="left"/>
      <w:pPr>
        <w:ind w:left="720" w:hanging="360"/>
      </w:pPr>
      <w:rPr>
        <w:rFonts w:ascii="Calibri" w:hAnsi="Calibri" w:eastAsiaTheme="minorHAns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B036BFD"/>
    <w:multiLevelType w:val="hybridMultilevel"/>
    <w:tmpl w:val="39582E5A"/>
    <w:lvl w:ilvl="0">
      <w:start w:val="1"/>
      <w:numFmt w:val="bullet"/>
      <w:lvlText w:val="-"/>
      <w:lvlJc w:val="left"/>
      <w:pPr>
        <w:ind w:left="720" w:hanging="360"/>
      </w:pPr>
      <w:rPr>
        <w:rFonts w:ascii="Calibri" w:hAnsi="Calibri" w:eastAsiaTheme="minorHAns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4AE51FD"/>
    <w:multiLevelType w:val="hybridMultilevel"/>
    <w:tmpl w:val="7882AB66"/>
    <w:lvl w:ilvl="0">
      <w:start w:val="18"/>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856223C"/>
    <w:multiLevelType w:val="hybridMultilevel"/>
    <w:tmpl w:val="0992A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3572945"/>
    <w:multiLevelType w:val="hybridMultilevel"/>
    <w:tmpl w:val="EDDA71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EBE070E"/>
    <w:multiLevelType w:val="hybridMultilevel"/>
    <w:tmpl w:val="B0540AB0"/>
    <w:lvl w:ilvl="0">
      <w:start w:val="1"/>
      <w:numFmt w:val="bullet"/>
      <w:lvlText w:val="-"/>
      <w:lvlJc w:val="left"/>
      <w:pPr>
        <w:ind w:left="720" w:hanging="360"/>
      </w:pPr>
      <w:rPr>
        <w:rFonts w:ascii="Calibri" w:hAnsi="Calibri" w:eastAsiaTheme="minorHAnsi" w:cs="Calibr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7"/>
  </w:num>
  <w:num w:numId="4">
    <w:abstractNumId w:val="3"/>
  </w:num>
  <w:num w:numId="5">
    <w:abstractNumId w:val="0"/>
  </w:num>
  <w:num w:numId="6">
    <w:abstractNumId w:val="1"/>
  </w:num>
  <w:num w:numId="7">
    <w:abstractNumId w:val="6"/>
  </w:num>
  <w:num w:numId="8">
    <w:abstractNumId w:val="9"/>
  </w:num>
  <w:num w:numId="9">
    <w:abstractNumId w:val="8"/>
  </w:num>
  <w:num w:numId="10">
    <w:abstractNumId w:val="10"/>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5C0A"/>
  </w:style>
  <w:style w:type="paragraph" w:styleId="Heading1">
    <w:name w:val="heading 1"/>
    <w:basedOn w:val="Normal"/>
    <w:next w:val="Normal"/>
    <w:link w:val="Heading1Char"/>
    <w:uiPriority w:val="9"/>
    <w:qFormat/>
    <w:rsid w:val="00BA1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1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4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4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4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4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1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419"/>
    <w:rPr>
      <w:rFonts w:eastAsiaTheme="majorEastAsia" w:cstheme="majorBidi"/>
      <w:color w:val="272727" w:themeColor="text1" w:themeTint="D8"/>
    </w:rPr>
  </w:style>
  <w:style w:type="paragraph" w:styleId="Title">
    <w:name w:val="Title"/>
    <w:basedOn w:val="Normal"/>
    <w:next w:val="Normal"/>
    <w:link w:val="TitleChar"/>
    <w:uiPriority w:val="10"/>
    <w:qFormat/>
    <w:rsid w:val="00BA14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4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4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1419"/>
    <w:rPr>
      <w:i/>
      <w:iCs/>
      <w:color w:val="404040" w:themeColor="text1" w:themeTint="BF"/>
    </w:rPr>
  </w:style>
  <w:style w:type="paragraph" w:styleId="ListParagraph">
    <w:name w:val="List Paragraph"/>
    <w:basedOn w:val="Normal"/>
    <w:uiPriority w:val="34"/>
    <w:qFormat/>
    <w:rsid w:val="00BA1419"/>
    <w:pPr>
      <w:ind w:left="720"/>
      <w:contextualSpacing/>
    </w:pPr>
  </w:style>
  <w:style w:type="character" w:styleId="IntenseEmphasis">
    <w:name w:val="Intense Emphasis"/>
    <w:basedOn w:val="DefaultParagraphFont"/>
    <w:uiPriority w:val="21"/>
    <w:qFormat/>
    <w:rsid w:val="00BA1419"/>
    <w:rPr>
      <w:i/>
      <w:iCs/>
      <w:color w:val="0F4761" w:themeColor="accent1" w:themeShade="BF"/>
    </w:rPr>
  </w:style>
  <w:style w:type="paragraph" w:styleId="IntenseQuote">
    <w:name w:val="Intense Quote"/>
    <w:basedOn w:val="Normal"/>
    <w:next w:val="Normal"/>
    <w:link w:val="IntenseQuoteChar"/>
    <w:uiPriority w:val="30"/>
    <w:qFormat/>
    <w:rsid w:val="00BA1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419"/>
    <w:rPr>
      <w:i/>
      <w:iCs/>
      <w:color w:val="0F4761" w:themeColor="accent1" w:themeShade="BF"/>
    </w:rPr>
  </w:style>
  <w:style w:type="character" w:styleId="IntenseReference">
    <w:name w:val="Intense Reference"/>
    <w:basedOn w:val="DefaultParagraphFont"/>
    <w:uiPriority w:val="32"/>
    <w:qFormat/>
    <w:rsid w:val="00BA1419"/>
    <w:rPr>
      <w:b/>
      <w:bCs/>
      <w:smallCaps/>
      <w:color w:val="0F4761" w:themeColor="accent1" w:themeShade="BF"/>
      <w:spacing w:val="5"/>
    </w:rPr>
  </w:style>
  <w:style w:type="character" w:styleId="Hyperlink">
    <w:name w:val="Hyperlink"/>
    <w:basedOn w:val="DefaultParagraphFont"/>
    <w:uiPriority w:val="99"/>
    <w:unhideWhenUsed/>
    <w:rsid w:val="0078424C"/>
    <w:rPr>
      <w:color w:val="467886" w:themeColor="hyperlink"/>
      <w:u w:val="single"/>
    </w:rPr>
  </w:style>
  <w:style w:type="character" w:customStyle="1" w:styleId="UnresolvedMention1">
    <w:name w:val="Unresolved Mention1"/>
    <w:basedOn w:val="DefaultParagraphFont"/>
    <w:uiPriority w:val="99"/>
    <w:semiHidden/>
    <w:unhideWhenUsed/>
    <w:rsid w:val="0078424C"/>
    <w:rPr>
      <w:color w:val="605E5C"/>
      <w:shd w:val="clear" w:color="auto" w:fill="E1DFDD"/>
    </w:rPr>
  </w:style>
  <w:style w:type="paragraph" w:styleId="NormalWeb">
    <w:name w:val="Normal (Web)"/>
    <w:basedOn w:val="Normal"/>
    <w:uiPriority w:val="99"/>
    <w:semiHidden/>
    <w:unhideWhenUsed/>
    <w:rsid w:val="0060416E"/>
    <w:rPr>
      <w:rFonts w:ascii="Times New Roman" w:hAnsi="Times New Roman" w:cs="Times New Roman"/>
    </w:rPr>
  </w:style>
  <w:style w:type="character" w:styleId="FollowedHyperlink">
    <w:name w:val="FollowedHyperlink"/>
    <w:basedOn w:val="DefaultParagraphFont"/>
    <w:uiPriority w:val="99"/>
    <w:semiHidden/>
    <w:unhideWhenUsed/>
    <w:rsid w:val="00E94F99"/>
    <w:rPr>
      <w:color w:val="96607D" w:themeColor="followedHyperlink"/>
      <w:u w:val="single"/>
    </w:rPr>
  </w:style>
  <w:style w:type="paragraph" w:styleId="Footer">
    <w:name w:val="footer"/>
    <w:basedOn w:val="Normal"/>
    <w:link w:val="FooterChar"/>
    <w:uiPriority w:val="99"/>
    <w:unhideWhenUsed/>
    <w:rsid w:val="00E94F99"/>
    <w:pPr>
      <w:tabs>
        <w:tab w:val="center" w:pos="4680"/>
        <w:tab w:val="right" w:pos="9360"/>
      </w:tabs>
    </w:pPr>
  </w:style>
  <w:style w:type="character" w:customStyle="1" w:styleId="FooterChar">
    <w:name w:val="Footer Char"/>
    <w:basedOn w:val="DefaultParagraphFont"/>
    <w:link w:val="Footer"/>
    <w:uiPriority w:val="99"/>
    <w:rsid w:val="00E94F99"/>
  </w:style>
  <w:style w:type="character" w:styleId="PageNumber">
    <w:name w:val="page number"/>
    <w:basedOn w:val="DefaultParagraphFont"/>
    <w:uiPriority w:val="99"/>
    <w:semiHidden/>
    <w:unhideWhenUsed/>
    <w:rsid w:val="00E94F99"/>
  </w:style>
  <w:style w:type="table" w:styleId="TableGrid">
    <w:name w:val="Table Grid"/>
    <w:basedOn w:val="TableNormal"/>
    <w:uiPriority w:val="39"/>
    <w:rsid w:val="00FF0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70D7"/>
    <w:pPr>
      <w:tabs>
        <w:tab w:val="center" w:pos="4513"/>
        <w:tab w:val="right" w:pos="9026"/>
      </w:tabs>
    </w:pPr>
  </w:style>
  <w:style w:type="character" w:customStyle="1" w:styleId="HeaderChar">
    <w:name w:val="Header Char"/>
    <w:basedOn w:val="DefaultParagraphFont"/>
    <w:link w:val="Header"/>
    <w:uiPriority w:val="99"/>
    <w:rsid w:val="00567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BBB0016</dc:title>
  <cp:revision>0</cp:revision>
</cp:coreProperties>
</file>