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5062" w:rsidRPr="00925062" w:rsidP="00925062">
      <w:pPr>
        <w:spacing w:after="0" w:line="288" w:lineRule="auto"/>
        <w:contextualSpacing/>
        <w:jc w:val="center"/>
        <w:rPr>
          <w:rFonts w:ascii="Calibri" w:hAnsi="Calibri" w:cs="Calibri"/>
          <w:b/>
          <w:bCs/>
          <w:sz w:val="28"/>
          <w:szCs w:val="28"/>
        </w:rPr>
      </w:pPr>
      <w:r w:rsidRPr="00925062">
        <w:rPr>
          <w:rFonts w:ascii="Calibri" w:hAnsi="Calibri" w:cs="Calibri"/>
          <w:b/>
          <w:bCs/>
          <w:sz w:val="28"/>
          <w:szCs w:val="28"/>
        </w:rPr>
        <w:t xml:space="preserve">Written Evidence submitted by </w:t>
      </w:r>
      <w:r w:rsidRPr="00C357AC" w:rsidR="00C357AC">
        <w:rPr>
          <w:rFonts w:ascii="Calibri" w:hAnsi="Calibri" w:cs="Calibri"/>
          <w:b/>
          <w:bCs/>
          <w:sz w:val="28"/>
          <w:szCs w:val="28"/>
        </w:rPr>
        <w:t>The Challenging Behaviour Foundation</w:t>
      </w:r>
      <w:r w:rsidR="00C357AC">
        <w:rPr>
          <w:rFonts w:ascii="Calibri" w:hAnsi="Calibri" w:cs="Calibri"/>
          <w:b/>
          <w:bCs/>
          <w:sz w:val="28"/>
          <w:szCs w:val="28"/>
        </w:rPr>
        <w:t xml:space="preserve"> </w:t>
      </w:r>
      <w:r w:rsidRPr="00925062">
        <w:rPr>
          <w:rFonts w:ascii="Calibri" w:hAnsi="Calibri" w:cs="Calibri"/>
          <w:b/>
          <w:bCs/>
          <w:sz w:val="28"/>
          <w:szCs w:val="28"/>
        </w:rPr>
        <w:t>(TRN002</w:t>
      </w:r>
      <w:r w:rsidRPr="00925062">
        <w:rPr>
          <w:rFonts w:ascii="Calibri" w:hAnsi="Calibri" w:cs="Calibri"/>
          <w:b/>
          <w:bCs/>
          <w:sz w:val="28"/>
          <w:szCs w:val="28"/>
        </w:rPr>
        <w:t>5</w:t>
      </w:r>
      <w:r w:rsidRPr="00925062">
        <w:rPr>
          <w:rFonts w:ascii="Calibri" w:hAnsi="Calibri" w:cs="Calibri"/>
          <w:b/>
          <w:bCs/>
          <w:sz w:val="28"/>
          <w:szCs w:val="28"/>
        </w:rPr>
        <w:t>)</w:t>
      </w:r>
    </w:p>
    <w:p w:rsidR="00925062" w:rsidRPr="00925062" w:rsidP="00925062">
      <w:pPr>
        <w:spacing w:after="0" w:line="288" w:lineRule="auto"/>
        <w:contextualSpacing/>
        <w:jc w:val="center"/>
        <w:rPr>
          <w:rFonts w:ascii="Calibri" w:hAnsi="Calibri" w:cs="Calibri"/>
          <w:b/>
          <w:bCs/>
        </w:rPr>
      </w:pPr>
    </w:p>
    <w:p w:rsidR="00925062" w:rsidRPr="00925062" w:rsidP="00925062">
      <w:pPr>
        <w:spacing w:after="0" w:line="288" w:lineRule="auto"/>
        <w:contextualSpacing/>
        <w:jc w:val="center"/>
        <w:rPr>
          <w:rFonts w:ascii="Calibri" w:hAnsi="Calibri" w:cs="Calibri"/>
          <w:b/>
          <w:bCs/>
        </w:rPr>
      </w:pPr>
    </w:p>
    <w:p w:rsidR="00925062" w:rsidRPr="00925062" w:rsidP="00925062">
      <w:pPr>
        <w:spacing w:after="0" w:line="288" w:lineRule="auto"/>
        <w:contextualSpacing/>
        <w:jc w:val="center"/>
        <w:rPr>
          <w:rFonts w:ascii="Calibri" w:hAnsi="Calibri" w:cs="Calibri"/>
          <w:b/>
          <w:bCs/>
        </w:rPr>
      </w:pPr>
    </w:p>
    <w:p w:rsidR="00925062" w:rsidRPr="00925062" w:rsidP="00925062">
      <w:pPr>
        <w:spacing w:after="0" w:line="288" w:lineRule="auto"/>
        <w:contextualSpacing/>
        <w:jc w:val="center"/>
        <w:rPr>
          <w:rFonts w:ascii="Calibri" w:hAnsi="Calibri" w:cs="Calibri"/>
          <w:b/>
          <w:bCs/>
        </w:rPr>
      </w:pPr>
    </w:p>
    <w:p w:rsidR="00B6724D" w:rsidRPr="00925062" w:rsidP="00925062">
      <w:pPr>
        <w:spacing w:after="0" w:line="288" w:lineRule="auto"/>
        <w:contextualSpacing/>
        <w:jc w:val="center"/>
        <w:rPr>
          <w:rFonts w:ascii="Calibri" w:hAnsi="Calibri" w:cs="Calibri"/>
          <w:b/>
          <w:bCs/>
        </w:rPr>
      </w:pPr>
      <w:r w:rsidRPr="00925062">
        <w:rPr>
          <w:rFonts w:ascii="Calibri" w:hAnsi="Calibri" w:cs="Calibri"/>
          <w:b/>
          <w:bCs/>
        </w:rPr>
        <w:t xml:space="preserve">The Transition from Child to Adult Health and Social Care Services: </w:t>
      </w:r>
      <w:r w:rsidRPr="00925062">
        <w:rPr>
          <w:rFonts w:ascii="Calibri" w:hAnsi="Calibri" w:cs="Calibri"/>
          <w:b/>
          <w:bCs/>
        </w:rPr>
        <w:t>Challenging Behaviour Foundation submission to the Health and Social Care Committee’s Expert Panel</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u w:val="single"/>
        </w:rPr>
      </w:pPr>
      <w:r w:rsidRPr="00925062">
        <w:rPr>
          <w:rFonts w:ascii="Calibri" w:hAnsi="Calibri" w:cs="Calibri"/>
          <w:u w:val="single"/>
        </w:rPr>
        <w:t>About the Challenging Behaviour Foundation</w:t>
      </w:r>
    </w:p>
    <w:p w:rsidR="00B6724D" w:rsidRPr="00925062" w:rsidP="00925062">
      <w:pPr>
        <w:spacing w:after="0" w:line="288" w:lineRule="auto"/>
        <w:jc w:val="center"/>
        <w:rPr>
          <w:rFonts w:ascii="Calibri" w:hAnsi="Calibri" w:cs="Calibri"/>
        </w:rPr>
      </w:pPr>
    </w:p>
    <w:p w:rsidR="00B6724D" w:rsidRPr="00925062" w:rsidP="00925062">
      <w:pPr>
        <w:spacing w:after="0" w:line="288" w:lineRule="auto"/>
        <w:jc w:val="center"/>
        <w:rPr>
          <w:rFonts w:ascii="Calibri" w:hAnsi="Calibri" w:cs="Calibri"/>
        </w:rPr>
      </w:pPr>
      <w:r w:rsidRPr="00925062">
        <w:rPr>
          <w:rFonts w:ascii="Calibri" w:hAnsi="Calibri" w:cs="Calibri"/>
        </w:rPr>
        <w:t>i. The Challenging Behaviour Foundation</w:t>
      </w:r>
      <w:r w:rsidRPr="00925062">
        <w:rPr>
          <w:rFonts w:ascii="Calibri" w:hAnsi="Calibri" w:cs="Calibri"/>
        </w:rPr>
        <w:t xml:space="preserve"> (CBF)</w:t>
      </w:r>
      <w:r w:rsidRPr="00925062">
        <w:rPr>
          <w:rFonts w:ascii="Calibri" w:hAnsi="Calibri" w:cs="Calibri"/>
        </w:rPr>
        <w:t xml:space="preserve"> is a national charity that supports the families of children, young people and adults with severe learning disabilities whose behaviour may be described as challenging.</w:t>
      </w:r>
      <w:r w:rsidRPr="00925062">
        <w:rPr>
          <w:rFonts w:ascii="Calibri" w:hAnsi="Calibri" w:cs="Calibri"/>
        </w:rPr>
        <w:t xml:space="preserve"> </w:t>
      </w:r>
      <w:r w:rsidRPr="00925062">
        <w:rPr>
          <w:rFonts w:ascii="Calibri" w:hAnsi="Calibri" w:cs="Calibri"/>
        </w:rPr>
        <w:t>As well as our Family Support service, which provides casework, information and advice, w</w:t>
      </w:r>
      <w:r w:rsidRPr="00925062">
        <w:rPr>
          <w:rFonts w:ascii="Calibri" w:hAnsi="Calibri" w:cs="Calibri"/>
        </w:rPr>
        <w:t>e convene the Challenging Behaviour – National Strategy Group</w:t>
      </w:r>
      <w:r w:rsidRPr="00925062">
        <w:rPr>
          <w:rFonts w:ascii="Calibri" w:hAnsi="Calibri" w:cs="Calibri"/>
        </w:rPr>
        <w:t xml:space="preserve"> (CB-NSG)</w:t>
      </w:r>
      <w:r w:rsidRPr="00925062">
        <w:rPr>
          <w:rFonts w:ascii="Calibri" w:hAnsi="Calibri" w:cs="Calibri"/>
        </w:rPr>
        <w:t xml:space="preserve">, a large multistakeholder group which includes people with lived experience and a wide range of professionals and organisations. </w:t>
      </w:r>
      <w:r w:rsidRPr="00925062">
        <w:rPr>
          <w:rFonts w:ascii="Calibri" w:hAnsi="Calibri" w:cs="Calibri"/>
        </w:rPr>
        <w:t xml:space="preserve"> The work of the CB-NSG covers people with mild</w:t>
      </w:r>
      <w:r w:rsidRPr="00925062">
        <w:rPr>
          <w:rFonts w:ascii="Calibri" w:hAnsi="Calibri" w:cs="Calibri"/>
        </w:rPr>
        <w:t>, moderate, severe and profound learning disabilities whose behaviour may be described as challenging.</w:t>
      </w:r>
    </w:p>
    <w:p w:rsidR="00B6724D" w:rsidRPr="00925062" w:rsidP="00925062">
      <w:pPr>
        <w:spacing w:after="0" w:line="288" w:lineRule="auto"/>
        <w:jc w:val="center"/>
        <w:rPr>
          <w:rFonts w:ascii="Calibri" w:hAnsi="Calibri" w:cs="Calibri"/>
        </w:rPr>
      </w:pPr>
    </w:p>
    <w:p w:rsidR="00B6724D" w:rsidRPr="00925062" w:rsidP="00925062">
      <w:pPr>
        <w:spacing w:after="0" w:line="288" w:lineRule="auto"/>
        <w:jc w:val="center"/>
        <w:rPr>
          <w:rFonts w:ascii="Calibri" w:hAnsi="Calibri" w:cs="Calibri"/>
        </w:rPr>
      </w:pPr>
      <w:r w:rsidRPr="00925062">
        <w:rPr>
          <w:rFonts w:ascii="Calibri" w:hAnsi="Calibri" w:cs="Calibri"/>
        </w:rPr>
        <w:t>ii. ‘Transition to adulthood’ is one of the CBF’s four core areas of focus</w:t>
      </w:r>
      <w:r w:rsidRPr="00925062">
        <w:rPr>
          <w:rFonts w:ascii="Calibri" w:hAnsi="Calibri" w:cs="Calibri"/>
        </w:rPr>
        <w:t xml:space="preserve"> </w:t>
      </w:r>
      <w:r w:rsidRPr="00925062">
        <w:rPr>
          <w:rFonts w:ascii="Calibri" w:hAnsi="Calibri" w:cs="Calibri"/>
        </w:rPr>
        <w:t>because of the</w:t>
      </w:r>
      <w:r w:rsidRPr="00925062">
        <w:rPr>
          <w:rFonts w:ascii="Calibri" w:hAnsi="Calibri" w:cs="Calibri"/>
        </w:rPr>
        <w:t xml:space="preserve"> high number of families </w:t>
      </w:r>
      <w:r w:rsidRPr="00925062">
        <w:rPr>
          <w:rFonts w:ascii="Calibri" w:hAnsi="Calibri" w:cs="Calibri"/>
        </w:rPr>
        <w:t xml:space="preserve">that </w:t>
      </w:r>
      <w:r w:rsidRPr="00925062">
        <w:rPr>
          <w:rFonts w:ascii="Calibri" w:hAnsi="Calibri" w:cs="Calibri"/>
        </w:rPr>
        <w:t>call our helpline</w:t>
      </w:r>
      <w:r w:rsidRPr="00925062">
        <w:rPr>
          <w:rFonts w:ascii="Calibri" w:hAnsi="Calibri" w:cs="Calibri"/>
        </w:rPr>
        <w:t xml:space="preserve"> due to negative experiences at this stage of their relatives' life</w:t>
      </w:r>
      <w:r w:rsidRPr="00925062">
        <w:rPr>
          <w:rFonts w:ascii="Calibri" w:hAnsi="Calibri" w:cs="Calibri"/>
        </w:rPr>
        <w:t xml:space="preserve">. </w:t>
      </w:r>
      <w:r w:rsidRPr="00925062">
        <w:rPr>
          <w:rFonts w:ascii="Calibri" w:hAnsi="Calibri" w:cs="Calibri"/>
        </w:rPr>
        <w:t xml:space="preserve">Since 2024, the CB-NSG Transition Subgroup has worked to identify the issues that </w:t>
      </w:r>
      <w:r w:rsidRPr="00925062">
        <w:rPr>
          <w:rFonts w:ascii="Calibri" w:hAnsi="Calibri" w:cs="Calibri"/>
        </w:rPr>
        <w:t xml:space="preserve">young people with learning disabilities and their families face during transition to adulthood and how these can be overcome. </w:t>
      </w:r>
      <w:r w:rsidRPr="00925062">
        <w:rPr>
          <w:rFonts w:ascii="Calibri" w:hAnsi="Calibri" w:cs="Calibri"/>
        </w:rPr>
        <w:t>W</w:t>
      </w:r>
      <w:r w:rsidRPr="00925062">
        <w:rPr>
          <w:rFonts w:ascii="Calibri" w:hAnsi="Calibri" w:cs="Calibri"/>
        </w:rPr>
        <w:t>e</w:t>
      </w:r>
      <w:r w:rsidRPr="00925062">
        <w:rPr>
          <w:rFonts w:ascii="Calibri" w:hAnsi="Calibri" w:cs="Calibri"/>
        </w:rPr>
        <w:t xml:space="preserve"> have written a report on the</w:t>
      </w:r>
      <w:r w:rsidRPr="00925062">
        <w:rPr>
          <w:rFonts w:ascii="Calibri" w:hAnsi="Calibri" w:cs="Calibri"/>
        </w:rPr>
        <w:t xml:space="preserve"> </w:t>
      </w:r>
      <w:r w:rsidRPr="00925062">
        <w:rPr>
          <w:rFonts w:ascii="Calibri" w:hAnsi="Calibri" w:cs="Calibri"/>
        </w:rPr>
        <w:t>experiences of young people with learning disabilities and their families during transition, the issues that they face, and evidence-based ac</w:t>
      </w:r>
      <w:r w:rsidRPr="00925062">
        <w:rPr>
          <w:rFonts w:ascii="Calibri" w:hAnsi="Calibri" w:cs="Calibri"/>
        </w:rPr>
        <w:t>tions that can be taken to improve transition</w:t>
      </w:r>
      <w:r w:rsidRPr="00925062">
        <w:rPr>
          <w:rFonts w:ascii="Calibri" w:hAnsi="Calibri" w:cs="Calibri"/>
        </w:rPr>
        <w:t>, which is due to be published in early July</w:t>
      </w:r>
      <w:r w:rsidRPr="00925062">
        <w:rPr>
          <w:rFonts w:ascii="Calibri" w:hAnsi="Calibri" w:cs="Calibri"/>
        </w:rPr>
        <w:t xml:space="preserve"> 2026</w:t>
      </w:r>
      <w:r w:rsidRPr="00925062">
        <w:rPr>
          <w:rFonts w:ascii="Calibri" w:hAnsi="Calibri" w:cs="Calibri"/>
        </w:rPr>
        <w:t>. This report draws together academic literature</w:t>
      </w:r>
      <w:r w:rsidRPr="00925062">
        <w:rPr>
          <w:rFonts w:ascii="Calibri" w:hAnsi="Calibri" w:cs="Calibri"/>
        </w:rPr>
        <w:t xml:space="preserve"> on transition to adulthood for young people with learning disabilities</w:t>
      </w:r>
      <w:r w:rsidRPr="00925062">
        <w:rPr>
          <w:rFonts w:ascii="Calibri" w:hAnsi="Calibri" w:cs="Calibri"/>
        </w:rPr>
        <w:t xml:space="preserve">, case studies setting out good practice, and the experiences of young people and families that we support. We would be happy to share </w:t>
      </w:r>
      <w:r w:rsidRPr="00925062">
        <w:rPr>
          <w:rFonts w:ascii="Calibri" w:hAnsi="Calibri" w:cs="Calibri"/>
        </w:rPr>
        <w:t xml:space="preserve">the full text of </w:t>
      </w:r>
      <w:r w:rsidRPr="00925062">
        <w:rPr>
          <w:rFonts w:ascii="Calibri" w:hAnsi="Calibri" w:cs="Calibri"/>
        </w:rPr>
        <w:t>this report with the Panel/the Committee if that would be of use to your work</w:t>
      </w:r>
      <w:r w:rsidRPr="00925062">
        <w:rPr>
          <w:rFonts w:ascii="Calibri" w:hAnsi="Calibri" w:cs="Calibri"/>
        </w:rPr>
        <w:t>.</w:t>
      </w:r>
    </w:p>
    <w:p w:rsidR="00B6724D" w:rsidRPr="00925062" w:rsidP="00925062">
      <w:pPr>
        <w:spacing w:after="0" w:line="288" w:lineRule="auto"/>
        <w:contextualSpacing/>
        <w:jc w:val="center"/>
        <w:rPr>
          <w:rFonts w:ascii="Calibri" w:hAnsi="Calibri" w:cs="Calibri"/>
        </w:rPr>
      </w:pPr>
    </w:p>
    <w:tbl>
      <w:tblPr>
        <w:tblStyle w:val="TableGrid"/>
        <w:tblW w:w="0" w:type="auto"/>
        <w:tblLook w:val="06A0"/>
      </w:tblPr>
      <w:tblGrid>
        <w:gridCol w:w="9015"/>
      </w:tblGrid>
      <w:tr w:rsidTr="24B037FF">
        <w:tblPrEx>
          <w:tblW w:w="0" w:type="auto"/>
          <w:tblLook w:val="06A0"/>
        </w:tblPrEx>
        <w:trPr>
          <w:trHeight w:val="300"/>
        </w:trPr>
        <w:tc>
          <w:tcPr>
            <w:tcW w:w="9015" w:type="dxa"/>
          </w:tcPr>
          <w:p w:rsidR="00B6724D" w:rsidRPr="00925062" w:rsidP="00925062">
            <w:pPr>
              <w:spacing w:line="288" w:lineRule="auto"/>
              <w:contextualSpacing/>
              <w:jc w:val="center"/>
              <w:rPr>
                <w:rFonts w:ascii="Calibri" w:hAnsi="Calibri" w:cs="Calibri"/>
                <w:b/>
                <w:bCs/>
              </w:rPr>
            </w:pPr>
            <w:r w:rsidRPr="00925062">
              <w:rPr>
                <w:rFonts w:ascii="Calibri" w:hAnsi="Calibri" w:cs="Calibri"/>
                <w:b/>
                <w:bCs/>
              </w:rPr>
              <w:t>Submission key points</w:t>
            </w:r>
          </w:p>
          <w:p w:rsidR="00B6724D" w:rsidRPr="00925062" w:rsidP="00925062">
            <w:pPr>
              <w:pStyle w:val="ListParagraph"/>
              <w:numPr>
                <w:ilvl w:val="0"/>
                <w:numId w:val="9"/>
              </w:numPr>
              <w:spacing w:line="288" w:lineRule="auto"/>
              <w:jc w:val="center"/>
              <w:rPr>
                <w:rFonts w:ascii="Calibri" w:hAnsi="Calibri" w:cs="Calibri"/>
              </w:rPr>
            </w:pPr>
            <w:r w:rsidRPr="00925062">
              <w:rPr>
                <w:rFonts w:ascii="Calibri" w:hAnsi="Calibri" w:cs="Calibri"/>
              </w:rPr>
              <w:t>Transition from children’s to adult health and social care services for young people with learning disabilities begins too late, is poorly coordinated and does not meaningfully involve the young person and their family</w:t>
            </w:r>
            <w:r w:rsidRPr="00925062">
              <w:rPr>
                <w:rFonts w:ascii="Calibri" w:hAnsi="Calibri" w:cs="Calibri"/>
              </w:rPr>
              <w:t>.</w:t>
            </w:r>
          </w:p>
          <w:p w:rsidR="00B6724D" w:rsidRPr="00925062" w:rsidP="00925062">
            <w:pPr>
              <w:pStyle w:val="ListParagraph"/>
              <w:numPr>
                <w:ilvl w:val="0"/>
                <w:numId w:val="9"/>
              </w:numPr>
              <w:spacing w:line="288" w:lineRule="auto"/>
              <w:jc w:val="center"/>
              <w:rPr>
                <w:rFonts w:ascii="Calibri" w:hAnsi="Calibri" w:cs="Calibri"/>
              </w:rPr>
            </w:pPr>
            <w:r w:rsidRPr="00925062">
              <w:rPr>
                <w:rFonts w:ascii="Calibri" w:hAnsi="Calibri" w:cs="Calibri"/>
              </w:rPr>
              <w:t xml:space="preserve">Young people with severe or profound and multiple learning disabilities are particularly at risk of being excluded from their own transition planning as they are </w:t>
            </w:r>
            <w:r w:rsidRPr="00925062">
              <w:rPr>
                <w:rFonts w:ascii="Calibri" w:hAnsi="Calibri" w:cs="Calibri"/>
              </w:rPr>
              <w:t xml:space="preserve">often non-verbal </w:t>
            </w:r>
            <w:r w:rsidRPr="00925062">
              <w:rPr>
                <w:rFonts w:ascii="Calibri" w:hAnsi="Calibri" w:cs="Calibri"/>
              </w:rPr>
              <w:t>and require additional support to make their wishes and needs known</w:t>
            </w:r>
            <w:r w:rsidRPr="00925062">
              <w:rPr>
                <w:rFonts w:ascii="Calibri" w:hAnsi="Calibri" w:cs="Calibri"/>
              </w:rPr>
              <w:t xml:space="preserve">. </w:t>
            </w:r>
            <w:r w:rsidRPr="00925062">
              <w:rPr>
                <w:rFonts w:ascii="Calibri" w:hAnsi="Calibri" w:cs="Calibri"/>
              </w:rPr>
              <w:t xml:space="preserve">Our submission includes details of how the wishes and needs of young people who do not communicate verbally can be ascertained and used to inform </w:t>
            </w:r>
            <w:r w:rsidRPr="00925062">
              <w:rPr>
                <w:rFonts w:ascii="Calibri" w:hAnsi="Calibri" w:cs="Calibri"/>
              </w:rPr>
              <w:t>person</w:t>
            </w:r>
            <w:r w:rsidRPr="00925062">
              <w:rPr>
                <w:rFonts w:ascii="Calibri" w:hAnsi="Calibri" w:cs="Calibri"/>
              </w:rPr>
              <w:t>-</w:t>
            </w:r>
            <w:r w:rsidRPr="00925062">
              <w:rPr>
                <w:rFonts w:ascii="Calibri" w:hAnsi="Calibri" w:cs="Calibri"/>
              </w:rPr>
              <w:t>centred transition planning.</w:t>
            </w:r>
          </w:p>
          <w:p w:rsidR="00B6724D" w:rsidRPr="00925062" w:rsidP="00925062">
            <w:pPr>
              <w:pStyle w:val="ListParagraph"/>
              <w:numPr>
                <w:ilvl w:val="0"/>
                <w:numId w:val="9"/>
              </w:numPr>
              <w:spacing w:line="288" w:lineRule="auto"/>
              <w:jc w:val="center"/>
              <w:rPr>
                <w:rFonts w:ascii="Calibri" w:hAnsi="Calibri" w:cs="Calibri"/>
              </w:rPr>
            </w:pPr>
            <w:r w:rsidRPr="00925062">
              <w:rPr>
                <w:rFonts w:ascii="Calibri" w:hAnsi="Calibri" w:cs="Calibri"/>
              </w:rPr>
              <w:t>Consequences of poor transitions include increased use of out-of-area placements (away from family, friends and community), exacerbated health inequalities, admission to inpati</w:t>
            </w:r>
            <w:r w:rsidRPr="00925062">
              <w:rPr>
                <w:rFonts w:ascii="Calibri" w:hAnsi="Calibri" w:cs="Calibri"/>
              </w:rPr>
              <w:t>ent hospitals and negative impacts on the health and employment of family carers</w:t>
            </w:r>
            <w:r w:rsidRPr="00925062">
              <w:rPr>
                <w:rFonts w:ascii="Calibri" w:hAnsi="Calibri" w:cs="Calibri"/>
              </w:rPr>
              <w:t>.</w:t>
            </w:r>
          </w:p>
        </w:tc>
      </w:tr>
    </w:tbl>
    <w:p w:rsidR="00B6724D" w:rsidRPr="00925062" w:rsidP="00925062">
      <w:pPr>
        <w:tabs>
          <w:tab w:val="left" w:pos="2310"/>
        </w:tabs>
        <w:spacing w:after="0" w:line="288" w:lineRule="auto"/>
        <w:contextualSpacing/>
        <w:jc w:val="center"/>
        <w:rPr>
          <w:rFonts w:ascii="Calibri" w:hAnsi="Calibri" w:cs="Calibri"/>
          <w:b/>
          <w:bCs/>
        </w:rPr>
      </w:pPr>
    </w:p>
    <w:p w:rsidR="00B6724D" w:rsidRPr="00925062" w:rsidP="00925062">
      <w:pPr>
        <w:spacing w:after="0" w:line="288" w:lineRule="auto"/>
        <w:jc w:val="center"/>
        <w:rPr>
          <w:rFonts w:ascii="Calibri" w:hAnsi="Calibri" w:cs="Calibri"/>
          <w:b/>
          <w:bCs/>
        </w:rPr>
      </w:pPr>
      <w:r w:rsidRPr="00925062">
        <w:rPr>
          <w:rFonts w:ascii="Calibri" w:hAnsi="Calibri" w:cs="Calibri"/>
          <w:b/>
          <w:bCs/>
        </w:rPr>
        <w:t>Timeliness and pace of the transition into adult services</w:t>
      </w:r>
    </w:p>
    <w:p w:rsidR="00B6724D" w:rsidRPr="00925062" w:rsidP="00925062">
      <w:pPr>
        <w:pStyle w:val="ListParagraph"/>
        <w:numPr>
          <w:ilvl w:val="0"/>
          <w:numId w:val="26"/>
        </w:numPr>
        <w:spacing w:after="0" w:line="288" w:lineRule="auto"/>
        <w:jc w:val="center"/>
        <w:rPr>
          <w:rFonts w:ascii="Calibri" w:hAnsi="Calibri" w:cs="Calibri"/>
          <w:u w:val="single"/>
        </w:rPr>
      </w:pPr>
      <w:r w:rsidRPr="00925062">
        <w:rPr>
          <w:rFonts w:ascii="Calibri" w:hAnsi="Calibri" w:cs="Calibri"/>
          <w:u w:val="single"/>
        </w:rPr>
        <w:t>How do services identify those who will need to transition to adult services, and what proportion start transition planning in year 9? How is this monitored?</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1a. Our engagement with professionals</w:t>
      </w:r>
      <w:r w:rsidRPr="00925062">
        <w:rPr>
          <w:rFonts w:ascii="Calibri" w:hAnsi="Calibri" w:cs="Calibri"/>
        </w:rPr>
        <w:t xml:space="preserve"> and services</w:t>
      </w:r>
      <w:r w:rsidRPr="00925062">
        <w:rPr>
          <w:rFonts w:ascii="Calibri" w:hAnsi="Calibri" w:cs="Calibri"/>
        </w:rPr>
        <w:t xml:space="preserve"> has overwhelmingly highlighted</w:t>
      </w:r>
      <w:r w:rsidRPr="00925062">
        <w:rPr>
          <w:rFonts w:ascii="Calibri" w:hAnsi="Calibri" w:cs="Calibri"/>
        </w:rPr>
        <w:t xml:space="preserve"> that </w:t>
      </w:r>
      <w:r w:rsidRPr="00925062">
        <w:rPr>
          <w:rFonts w:ascii="Calibri" w:hAnsi="Calibri" w:cs="Calibri"/>
        </w:rPr>
        <w:t>although</w:t>
      </w:r>
      <w:r w:rsidRPr="00925062">
        <w:rPr>
          <w:rFonts w:ascii="Calibri" w:hAnsi="Calibri" w:cs="Calibri"/>
        </w:rPr>
        <w:t xml:space="preserve"> </w:t>
      </w:r>
      <w:r w:rsidRPr="00925062">
        <w:rPr>
          <w:rFonts w:ascii="Calibri" w:hAnsi="Calibri" w:cs="Calibri"/>
        </w:rPr>
        <w:t>children with severe learning disabilit</w:t>
      </w:r>
      <w:r w:rsidRPr="00925062">
        <w:rPr>
          <w:rFonts w:ascii="Calibri" w:hAnsi="Calibri" w:cs="Calibri"/>
        </w:rPr>
        <w:t>ies</w:t>
      </w:r>
      <w:r w:rsidRPr="00925062">
        <w:rPr>
          <w:rFonts w:ascii="Calibri" w:hAnsi="Calibri" w:cs="Calibri"/>
        </w:rPr>
        <w:t xml:space="preserve"> are already receiving support and services from the state and </w:t>
      </w:r>
      <w:r w:rsidRPr="00925062">
        <w:rPr>
          <w:rFonts w:ascii="Calibri" w:hAnsi="Calibri" w:cs="Calibri"/>
        </w:rPr>
        <w:t xml:space="preserve">are </w:t>
      </w:r>
      <w:r w:rsidRPr="00925062">
        <w:rPr>
          <w:rFonts w:ascii="Calibri" w:hAnsi="Calibri" w:cs="Calibri"/>
        </w:rPr>
        <w:t>known to have a life-long disability that will require support into adulthood</w:t>
      </w:r>
      <w:r w:rsidRPr="00925062">
        <w:rPr>
          <w:rFonts w:ascii="Calibri" w:hAnsi="Calibri" w:cs="Calibri"/>
        </w:rPr>
        <w:t>,</w:t>
      </w:r>
      <w:r w:rsidRPr="00925062">
        <w:rPr>
          <w:rFonts w:ascii="Calibri" w:hAnsi="Calibri" w:cs="Calibri"/>
        </w:rPr>
        <w:t xml:space="preserve"> the system has</w:t>
      </w:r>
      <w:r w:rsidRPr="00925062">
        <w:rPr>
          <w:rFonts w:ascii="Calibri" w:hAnsi="Calibri" w:cs="Calibri"/>
        </w:rPr>
        <w:t xml:space="preserve"> difficulties with identifying young </w:t>
      </w:r>
      <w:r w:rsidRPr="00925062">
        <w:rPr>
          <w:rFonts w:ascii="Calibri" w:hAnsi="Calibri" w:cs="Calibri"/>
        </w:rPr>
        <w:t xml:space="preserve">people </w:t>
      </w:r>
      <w:r w:rsidRPr="00925062">
        <w:rPr>
          <w:rFonts w:ascii="Calibri" w:hAnsi="Calibri" w:cs="Calibri"/>
        </w:rPr>
        <w:t xml:space="preserve"> </w:t>
      </w:r>
      <w:r w:rsidRPr="00925062">
        <w:rPr>
          <w:rFonts w:ascii="Calibri" w:hAnsi="Calibri" w:cs="Calibri"/>
        </w:rPr>
        <w:t>who</w:t>
      </w:r>
      <w:r w:rsidRPr="00925062">
        <w:rPr>
          <w:rFonts w:ascii="Calibri" w:hAnsi="Calibri" w:cs="Calibri"/>
        </w:rPr>
        <w:t xml:space="preserve"> will need to transition to adult services</w:t>
      </w:r>
      <w:r w:rsidRPr="00925062">
        <w:rPr>
          <w:rFonts w:ascii="Calibri" w:hAnsi="Calibri" w:cs="Calibri"/>
        </w:rPr>
        <w:t>.</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 xml:space="preserve">1b. </w:t>
      </w:r>
      <w:r w:rsidRPr="00925062">
        <w:rPr>
          <w:rFonts w:ascii="Calibri" w:hAnsi="Calibri" w:cs="Calibri"/>
        </w:rPr>
        <w:t>The use of different terminology between a) children’s and adult services, and b) health, education and social care</w:t>
      </w:r>
      <w:r w:rsidRPr="00925062">
        <w:rPr>
          <w:rFonts w:ascii="Calibri" w:hAnsi="Calibri" w:cs="Calibri"/>
        </w:rPr>
        <w:t>, as well as difficulties recording and sharing data,</w:t>
      </w:r>
      <w:r w:rsidRPr="00925062">
        <w:rPr>
          <w:rFonts w:ascii="Calibri" w:hAnsi="Calibri" w:cs="Calibri"/>
        </w:rPr>
        <w:t xml:space="preserve"> was commonly identified by those we spoke to as a specific barrier to identifying young people with learning disabilities who will need to transition to adult services</w:t>
      </w:r>
      <w:r w:rsidRPr="00925062">
        <w:rPr>
          <w:rFonts w:ascii="Calibri" w:hAnsi="Calibri" w:cs="Calibri"/>
        </w:rPr>
        <w:t>.</w:t>
      </w:r>
      <w:r w:rsidRPr="00925062">
        <w:rPr>
          <w:rFonts w:ascii="Calibri" w:hAnsi="Calibri" w:cs="Calibri"/>
        </w:rPr>
        <w:t xml:space="preserve"> A survey</w:t>
      </w:r>
      <w:r w:rsidRPr="00925062">
        <w:rPr>
          <w:rFonts w:ascii="Calibri" w:hAnsi="Calibri" w:cs="Calibri"/>
        </w:rPr>
        <w:t xml:space="preserve"> of local authority commissioners</w:t>
      </w:r>
      <w:r w:rsidRPr="00925062">
        <w:rPr>
          <w:rFonts w:ascii="Calibri" w:hAnsi="Calibri" w:cs="Calibri"/>
        </w:rPr>
        <w:t xml:space="preserve"> conducted by Poynter and McGill on behalf of the CB-NSG </w:t>
      </w:r>
      <w:r w:rsidRPr="00925062">
        <w:rPr>
          <w:rFonts w:ascii="Calibri" w:hAnsi="Calibri" w:cs="Calibri"/>
        </w:rPr>
        <w:t>(2010)</w:t>
      </w:r>
      <w:r w:rsidRPr="00925062">
        <w:rPr>
          <w:rFonts w:ascii="Calibri" w:hAnsi="Calibri" w:cs="Calibri"/>
        </w:rPr>
        <w:t xml:space="preserve"> identified the same issu</w:t>
      </w:r>
      <w:r w:rsidRPr="00925062">
        <w:rPr>
          <w:rFonts w:ascii="Calibri" w:hAnsi="Calibri" w:cs="Calibri"/>
        </w:rPr>
        <w:t xml:space="preserve">e, with differences in </w:t>
      </w:r>
      <w:r w:rsidRPr="00925062">
        <w:rPr>
          <w:rFonts w:ascii="Calibri" w:hAnsi="Calibri" w:cs="Calibri"/>
        </w:rPr>
        <w:t>terminology and data b</w:t>
      </w:r>
      <w:r w:rsidRPr="00925062">
        <w:rPr>
          <w:rFonts w:ascii="Calibri" w:hAnsi="Calibri" w:cs="Calibri"/>
        </w:rPr>
        <w:t>etween children’s and adult services creating significant barriers to identifying young people with learning disabilities who are due to tran</w:t>
      </w:r>
      <w:r w:rsidRPr="00925062">
        <w:rPr>
          <w:rFonts w:ascii="Calibri" w:hAnsi="Calibri" w:cs="Calibri"/>
        </w:rPr>
        <w:t>sition to adult services</w:t>
      </w:r>
      <w:r>
        <w:rPr>
          <w:rStyle w:val="FootnoteReference"/>
          <w:rFonts w:ascii="Calibri" w:hAnsi="Calibri" w:cs="Calibri"/>
        </w:rPr>
        <w:footnoteReference w:id="2"/>
      </w:r>
      <w:r w:rsidRPr="00925062">
        <w:rPr>
          <w:rFonts w:ascii="Calibri" w:hAnsi="Calibri" w:cs="Calibri"/>
        </w:rPr>
        <w:t>.</w:t>
      </w:r>
      <w:r w:rsidRPr="00925062">
        <w:rPr>
          <w:rFonts w:ascii="Calibri" w:hAnsi="Calibri" w:cs="Calibri"/>
        </w:rPr>
        <w:t xml:space="preserve"> Our recent engagement with both children’s and adult services suggests that this has not been addressed in the subsequent 15 years.</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1c. A study of 67 young people with learning disabilities and/or who were autistic receiving support from mental healt</w:t>
      </w:r>
      <w:r w:rsidRPr="00925062">
        <w:rPr>
          <w:rFonts w:ascii="Calibri" w:hAnsi="Calibri" w:cs="Calibri"/>
        </w:rPr>
        <w:t xml:space="preserve">h services </w:t>
      </w:r>
      <w:r w:rsidRPr="00925062">
        <w:rPr>
          <w:rFonts w:ascii="Calibri" w:hAnsi="Calibri" w:cs="Calibri"/>
        </w:rPr>
        <w:t xml:space="preserve">found that between 2017 and 2020, only </w:t>
      </w:r>
      <w:r w:rsidRPr="00925062">
        <w:rPr>
          <w:rFonts w:ascii="Calibri" w:hAnsi="Calibri" w:cs="Calibri"/>
        </w:rPr>
        <w:t xml:space="preserve">3% </w:t>
      </w:r>
      <w:r w:rsidRPr="00925062">
        <w:rPr>
          <w:rFonts w:ascii="Calibri" w:hAnsi="Calibri" w:cs="Calibri"/>
        </w:rPr>
        <w:t xml:space="preserve">(2/67) </w:t>
      </w:r>
      <w:r w:rsidRPr="00925062">
        <w:rPr>
          <w:rFonts w:ascii="Calibri" w:hAnsi="Calibri" w:cs="Calibri"/>
        </w:rPr>
        <w:t>had begun the process of transition from CAMHS to adult mental health services by age 14</w:t>
      </w:r>
      <w:r>
        <w:rPr>
          <w:rStyle w:val="FootnoteReference"/>
          <w:rFonts w:ascii="Calibri" w:hAnsi="Calibri" w:cs="Calibri"/>
        </w:rPr>
        <w:footnoteReference w:id="3"/>
      </w:r>
      <w:r w:rsidRPr="00925062">
        <w:rPr>
          <w:rFonts w:ascii="Calibri" w:hAnsi="Calibri" w:cs="Calibri"/>
        </w:rPr>
        <w:t>.</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 xml:space="preserve">1d. A study involving learning disability nurses in Scotland identified joint working </w:t>
      </w:r>
      <w:r w:rsidRPr="00925062">
        <w:rPr>
          <w:rFonts w:ascii="Calibri" w:hAnsi="Calibri" w:cs="Calibri"/>
        </w:rPr>
        <w:t>between learning disability nurses and</w:t>
      </w:r>
      <w:r w:rsidRPr="00925062">
        <w:rPr>
          <w:rFonts w:ascii="Calibri" w:hAnsi="Calibri" w:cs="Calibri"/>
        </w:rPr>
        <w:t xml:space="preserve"> education and social </w:t>
      </w:r>
      <w:r w:rsidRPr="00925062">
        <w:rPr>
          <w:rFonts w:ascii="Calibri" w:hAnsi="Calibri" w:cs="Calibri"/>
        </w:rPr>
        <w:t>care</w:t>
      </w:r>
      <w:r w:rsidRPr="00925062">
        <w:rPr>
          <w:rFonts w:ascii="Calibri" w:hAnsi="Calibri" w:cs="Calibri"/>
        </w:rPr>
        <w:t xml:space="preserve"> professionals</w:t>
      </w:r>
      <w:r w:rsidRPr="00925062">
        <w:rPr>
          <w:rFonts w:ascii="Calibri" w:hAnsi="Calibri" w:cs="Calibri"/>
        </w:rPr>
        <w:t xml:space="preserve"> as </w:t>
      </w:r>
      <w:r w:rsidRPr="00925062">
        <w:rPr>
          <w:rFonts w:ascii="Calibri" w:hAnsi="Calibri" w:cs="Calibri"/>
        </w:rPr>
        <w:t>an enabler to identifying young people with learning disabilities who would be transitioning to adult health services, with other enablers including multiagency groups which identified young people two years bef</w:t>
      </w:r>
      <w:r w:rsidRPr="00925062">
        <w:rPr>
          <w:rFonts w:ascii="Calibri" w:hAnsi="Calibri" w:cs="Calibri"/>
        </w:rPr>
        <w:t xml:space="preserve">ore they were due to leave school, and learning disability nurses themselves making referrals to other healthcare </w:t>
      </w:r>
      <w:r w:rsidRPr="00925062">
        <w:rPr>
          <w:rFonts w:ascii="Calibri" w:hAnsi="Calibri" w:cs="Calibri"/>
        </w:rPr>
        <w:t>professionals</w:t>
      </w:r>
      <w:r w:rsidRPr="00925062">
        <w:rPr>
          <w:rFonts w:ascii="Calibri" w:hAnsi="Calibri" w:cs="Calibri"/>
        </w:rPr>
        <w:t xml:space="preserve"> to prompt them to begin planning</w:t>
      </w:r>
      <w:r>
        <w:rPr>
          <w:rStyle w:val="FootnoteReference"/>
          <w:rFonts w:ascii="Calibri" w:hAnsi="Calibri" w:cs="Calibri"/>
        </w:rPr>
        <w:footnoteReference w:id="4"/>
      </w:r>
      <w:r w:rsidRPr="00925062">
        <w:rPr>
          <w:rFonts w:ascii="Calibri" w:hAnsi="Calibri" w:cs="Calibri"/>
        </w:rPr>
        <w:t>.</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p>
    <w:p w:rsidR="00B6724D" w:rsidRPr="00925062" w:rsidP="00925062">
      <w:pPr>
        <w:pStyle w:val="ListParagraph"/>
        <w:numPr>
          <w:ilvl w:val="0"/>
          <w:numId w:val="26"/>
        </w:numPr>
        <w:spacing w:after="0" w:line="288" w:lineRule="auto"/>
        <w:jc w:val="center"/>
        <w:rPr>
          <w:rFonts w:ascii="Calibri" w:hAnsi="Calibri" w:cs="Calibri"/>
          <w:u w:val="single"/>
        </w:rPr>
      </w:pPr>
      <w:r w:rsidRPr="00925062">
        <w:rPr>
          <w:rFonts w:ascii="Calibri" w:hAnsi="Calibri" w:cs="Calibri"/>
          <w:u w:val="single"/>
        </w:rPr>
        <w:t>To what extent are transfers from child to adult services managed without gaps in provision? How is this monitored?</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 xml:space="preserve">2a. We have supported many families whose relative has experienced gaps in provision due to no longer being able to access children’s services </w:t>
      </w:r>
      <w:r w:rsidRPr="00925062">
        <w:rPr>
          <w:rFonts w:ascii="Calibri" w:hAnsi="Calibri" w:cs="Calibri"/>
        </w:rPr>
        <w:t>but not yet being eligible for adult services</w:t>
      </w:r>
      <w:r w:rsidRPr="00925062">
        <w:rPr>
          <w:rFonts w:ascii="Calibri" w:hAnsi="Calibri" w:cs="Calibri"/>
        </w:rPr>
        <w:t>.</w:t>
      </w:r>
    </w:p>
    <w:p w:rsidR="00B6724D" w:rsidRPr="00925062" w:rsidP="00925062">
      <w:pPr>
        <w:spacing w:after="0" w:line="288" w:lineRule="auto"/>
        <w:contextualSpacing/>
        <w:jc w:val="center"/>
        <w:rPr>
          <w:rFonts w:ascii="Calibri" w:hAnsi="Calibri" w:cs="Calibri"/>
        </w:rPr>
      </w:pPr>
    </w:p>
    <w:tbl>
      <w:tblPr>
        <w:tblStyle w:val="TableGrid"/>
        <w:tblW w:w="0" w:type="auto"/>
        <w:tblLook w:val="06A0"/>
      </w:tblPr>
      <w:tblGrid>
        <w:gridCol w:w="9015"/>
      </w:tblGrid>
      <w:tr w:rsidTr="24B037FF">
        <w:tblPrEx>
          <w:tblW w:w="0" w:type="auto"/>
          <w:tblLook w:val="06A0"/>
        </w:tblPrEx>
        <w:trPr>
          <w:trHeight w:val="300"/>
        </w:trPr>
        <w:tc>
          <w:tcPr>
            <w:tcW w:w="9015" w:type="dxa"/>
          </w:tcPr>
          <w:p w:rsidR="00B6724D" w:rsidRPr="00925062" w:rsidP="00925062">
            <w:pPr>
              <w:spacing w:line="288" w:lineRule="auto"/>
              <w:contextualSpacing/>
              <w:jc w:val="center"/>
              <w:rPr>
                <w:rFonts w:ascii="Calibri" w:hAnsi="Calibri" w:cs="Calibri"/>
              </w:rPr>
            </w:pPr>
            <w:r w:rsidRPr="00925062">
              <w:rPr>
                <w:rFonts w:ascii="Calibri" w:hAnsi="Calibri" w:cs="Calibri"/>
              </w:rPr>
              <w:t>Example</w:t>
            </w:r>
          </w:p>
          <w:p w:rsidR="00B6724D" w:rsidRPr="00925062" w:rsidP="00925062">
            <w:pPr>
              <w:spacing w:line="288" w:lineRule="auto"/>
              <w:contextualSpacing/>
              <w:jc w:val="center"/>
              <w:rPr>
                <w:rFonts w:ascii="Calibri" w:hAnsi="Calibri" w:cs="Calibri"/>
              </w:rPr>
            </w:pPr>
          </w:p>
          <w:p w:rsidR="00B6724D" w:rsidRPr="00925062" w:rsidP="00925062">
            <w:pPr>
              <w:spacing w:line="288" w:lineRule="auto"/>
              <w:contextualSpacing/>
              <w:jc w:val="center"/>
              <w:rPr>
                <w:rFonts w:ascii="Calibri" w:hAnsi="Calibri" w:cs="Calibri"/>
              </w:rPr>
            </w:pPr>
            <w:r w:rsidRPr="00925062">
              <w:rPr>
                <w:rFonts w:ascii="Calibri" w:hAnsi="Calibri" w:cs="Calibri"/>
              </w:rPr>
              <w:t xml:space="preserve">In 2025, the CBF Family Support team supported the family of M. </w:t>
            </w:r>
            <w:r w:rsidRPr="00925062">
              <w:rPr>
                <w:rFonts w:ascii="Calibri" w:hAnsi="Calibri" w:cs="Calibri"/>
              </w:rPr>
              <w:t xml:space="preserve">M, aged 17, had a severe learning disability and multiple serious gastrointestinal issues. M’s local CAMHS closed his case as they believed his behaviours were solely related to pain, not to mental health </w:t>
            </w:r>
            <w:r w:rsidRPr="00925062">
              <w:rPr>
                <w:rFonts w:ascii="Calibri" w:hAnsi="Calibri" w:cs="Calibri"/>
              </w:rPr>
              <w:t>issue</w:t>
            </w:r>
            <w:r w:rsidRPr="00925062">
              <w:rPr>
                <w:rFonts w:ascii="Calibri" w:hAnsi="Calibri" w:cs="Calibri"/>
              </w:rPr>
              <w:t>s</w:t>
            </w:r>
            <w:r w:rsidRPr="00925062">
              <w:rPr>
                <w:rFonts w:ascii="Calibri" w:hAnsi="Calibri" w:cs="Calibri"/>
              </w:rPr>
              <w:t>.</w:t>
            </w:r>
            <w:r w:rsidRPr="00925062">
              <w:rPr>
                <w:rFonts w:ascii="Calibri" w:hAnsi="Calibri" w:cs="Calibri"/>
              </w:rPr>
              <w:t xml:space="preserve"> </w:t>
            </w:r>
            <w:r w:rsidRPr="00925062">
              <w:rPr>
                <w:rFonts w:ascii="Calibri" w:hAnsi="Calibri" w:cs="Calibri"/>
              </w:rPr>
              <w:t>R</w:t>
            </w:r>
            <w:r w:rsidRPr="00925062">
              <w:rPr>
                <w:rFonts w:ascii="Calibri" w:hAnsi="Calibri" w:cs="Calibri"/>
              </w:rPr>
              <w:t>eferrals to Continence, Urology and Colorectal services were</w:t>
            </w:r>
            <w:r w:rsidRPr="00925062">
              <w:rPr>
                <w:rFonts w:ascii="Calibri" w:hAnsi="Calibri" w:cs="Calibri"/>
              </w:rPr>
              <w:t xml:space="preserve"> also</w:t>
            </w:r>
            <w:r w:rsidRPr="00925062">
              <w:rPr>
                <w:rFonts w:ascii="Calibri" w:hAnsi="Calibri" w:cs="Calibri"/>
              </w:rPr>
              <w:t xml:space="preserve"> refused due to age limits within children’s services, </w:t>
            </w:r>
            <w:r w:rsidRPr="00925062">
              <w:rPr>
                <w:rFonts w:ascii="Calibri" w:hAnsi="Calibri" w:cs="Calibri"/>
              </w:rPr>
              <w:t xml:space="preserve">but the adult community learning disability team said that they were unable to support </w:t>
            </w:r>
            <w:r w:rsidRPr="00925062">
              <w:rPr>
                <w:rFonts w:ascii="Calibri" w:hAnsi="Calibri" w:cs="Calibri"/>
              </w:rPr>
              <w:t xml:space="preserve">him until he turned 18. </w:t>
            </w:r>
            <w:r w:rsidRPr="00925062">
              <w:rPr>
                <w:rFonts w:ascii="Calibri" w:hAnsi="Calibri" w:cs="Calibri"/>
              </w:rPr>
              <w:t>This prevented M from accessing healthcare for many mont</w:t>
            </w:r>
            <w:r w:rsidRPr="00925062">
              <w:rPr>
                <w:rFonts w:ascii="Calibri" w:hAnsi="Calibri" w:cs="Calibri"/>
              </w:rPr>
              <w:t>hs.</w:t>
            </w:r>
          </w:p>
          <w:p w:rsidR="00B6724D" w:rsidRPr="00925062" w:rsidP="00925062">
            <w:pPr>
              <w:spacing w:line="288" w:lineRule="auto"/>
              <w:contextualSpacing/>
              <w:jc w:val="center"/>
              <w:rPr>
                <w:rFonts w:ascii="Calibri" w:hAnsi="Calibri" w:cs="Calibri"/>
              </w:rPr>
            </w:pPr>
          </w:p>
          <w:p w:rsidR="00B6724D" w:rsidRPr="00925062" w:rsidP="00925062">
            <w:pPr>
              <w:spacing w:line="288" w:lineRule="auto"/>
              <w:contextualSpacing/>
              <w:jc w:val="center"/>
              <w:rPr>
                <w:rFonts w:ascii="Calibri" w:hAnsi="Calibri" w:cs="Calibri"/>
              </w:rPr>
            </w:pPr>
            <w:r w:rsidRPr="00925062">
              <w:rPr>
                <w:rFonts w:ascii="Calibri" w:hAnsi="Calibri" w:cs="Calibri"/>
              </w:rPr>
              <w:t>M</w:t>
            </w:r>
            <w:r w:rsidRPr="00925062">
              <w:rPr>
                <w:rFonts w:ascii="Calibri" w:hAnsi="Calibri" w:cs="Calibri"/>
              </w:rPr>
              <w:t xml:space="preserve">ultiple attempts to address this gap in support, </w:t>
            </w:r>
            <w:r w:rsidRPr="00925062">
              <w:rPr>
                <w:rFonts w:ascii="Calibri" w:hAnsi="Calibri" w:cs="Calibri"/>
              </w:rPr>
              <w:t>including making a formal</w:t>
            </w:r>
            <w:r w:rsidRPr="00925062">
              <w:rPr>
                <w:rFonts w:ascii="Calibri" w:hAnsi="Calibri" w:cs="Calibri"/>
              </w:rPr>
              <w:t xml:space="preserve"> complaint, holding an MDT meeting, and requesting adult services be made</w:t>
            </w:r>
            <w:r w:rsidRPr="00925062">
              <w:rPr>
                <w:rFonts w:ascii="Calibri" w:hAnsi="Calibri" w:cs="Calibri"/>
              </w:rPr>
              <w:t xml:space="preserve"> available</w:t>
            </w:r>
            <w:r w:rsidRPr="00925062">
              <w:rPr>
                <w:rFonts w:ascii="Calibri" w:hAnsi="Calibri" w:cs="Calibri"/>
              </w:rPr>
              <w:t xml:space="preserve"> before M’s 18</w:t>
            </w:r>
            <w:r w:rsidRPr="00925062">
              <w:rPr>
                <w:rFonts w:ascii="Calibri" w:hAnsi="Calibri" w:cs="Calibri"/>
                <w:vertAlign w:val="superscript"/>
              </w:rPr>
              <w:t>th</w:t>
            </w:r>
            <w:r w:rsidRPr="00925062">
              <w:rPr>
                <w:rFonts w:ascii="Calibri" w:hAnsi="Calibri" w:cs="Calibri"/>
              </w:rPr>
              <w:t xml:space="preserve"> birthday as a reasonable adjustment, failed to result in M receiving </w:t>
            </w:r>
            <w:r w:rsidRPr="00925062">
              <w:rPr>
                <w:rFonts w:ascii="Calibri" w:hAnsi="Calibri" w:cs="Calibri"/>
              </w:rPr>
              <w:t xml:space="preserve">the healthcare that he needed due to </w:t>
            </w:r>
            <w:r w:rsidRPr="00925062">
              <w:rPr>
                <w:rFonts w:ascii="Calibri" w:hAnsi="Calibri" w:cs="Calibri"/>
              </w:rPr>
              <w:t xml:space="preserve">the </w:t>
            </w:r>
            <w:r w:rsidRPr="00925062">
              <w:rPr>
                <w:rFonts w:ascii="Calibri" w:hAnsi="Calibri" w:cs="Calibri"/>
              </w:rPr>
              <w:t>insufficiency of local pathways for transition.</w:t>
            </w:r>
          </w:p>
          <w:p w:rsidR="00B6724D" w:rsidRPr="00925062" w:rsidP="00925062">
            <w:pPr>
              <w:spacing w:line="288" w:lineRule="auto"/>
              <w:contextualSpacing/>
              <w:jc w:val="center"/>
              <w:rPr>
                <w:rFonts w:ascii="Calibri" w:hAnsi="Calibri" w:cs="Calibri"/>
              </w:rPr>
            </w:pPr>
          </w:p>
          <w:p w:rsidR="00B6724D" w:rsidRPr="00925062" w:rsidP="00925062">
            <w:pPr>
              <w:spacing w:line="288" w:lineRule="auto"/>
              <w:contextualSpacing/>
              <w:jc w:val="center"/>
              <w:rPr>
                <w:rFonts w:ascii="Calibri" w:hAnsi="Calibri" w:cs="Calibri"/>
              </w:rPr>
            </w:pPr>
            <w:r w:rsidRPr="00925062">
              <w:rPr>
                <w:rFonts w:ascii="Calibri" w:hAnsi="Calibri" w:cs="Calibri"/>
              </w:rPr>
              <w:t xml:space="preserve">M did not access the health services that he needed until </w:t>
            </w:r>
            <w:r w:rsidRPr="00925062">
              <w:rPr>
                <w:rFonts w:ascii="Calibri" w:hAnsi="Calibri" w:cs="Calibri"/>
              </w:rPr>
              <w:t xml:space="preserve">the CBF Family Support caseworker supported M’s family to escalate </w:t>
            </w:r>
            <w:r w:rsidRPr="00925062">
              <w:rPr>
                <w:rFonts w:ascii="Calibri" w:hAnsi="Calibri" w:cs="Calibri"/>
              </w:rPr>
              <w:t>his case to the CEO of their local NHS Trust – at which point M was assigned a keyworker</w:t>
            </w:r>
            <w:r w:rsidRPr="00925062">
              <w:rPr>
                <w:rFonts w:ascii="Calibri" w:hAnsi="Calibri" w:cs="Calibri"/>
              </w:rPr>
              <w:t>,</w:t>
            </w:r>
            <w:r w:rsidRPr="00925062">
              <w:rPr>
                <w:rFonts w:ascii="Calibri" w:hAnsi="Calibri" w:cs="Calibri"/>
              </w:rPr>
              <w:t xml:space="preserve"> </w:t>
            </w:r>
            <w:r w:rsidRPr="00925062">
              <w:rPr>
                <w:rFonts w:ascii="Calibri" w:hAnsi="Calibri" w:cs="Calibri"/>
              </w:rPr>
              <w:t>a learning disability nurse and occupational therapist</w:t>
            </w:r>
            <w:r w:rsidRPr="00925062">
              <w:rPr>
                <w:rFonts w:ascii="Calibri" w:hAnsi="Calibri" w:cs="Calibri"/>
              </w:rPr>
              <w:t>, and was eventually accepted by adult services</w:t>
            </w:r>
            <w:r w:rsidRPr="00925062">
              <w:rPr>
                <w:rFonts w:ascii="Calibri" w:hAnsi="Calibri" w:cs="Calibri"/>
              </w:rPr>
              <w:t>.</w:t>
            </w:r>
          </w:p>
        </w:tc>
      </w:tr>
    </w:tbl>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2b. Professionals we have engaged with through our work on transitions have also highlighted gaps in provision. For example, we were told by one professio</w:t>
      </w:r>
      <w:r w:rsidRPr="00925062">
        <w:rPr>
          <w:rFonts w:ascii="Calibri" w:hAnsi="Calibri" w:cs="Calibri"/>
        </w:rPr>
        <w:t>nal that although a brief assessment may be carried out when a young person is 16 or 17, the</w:t>
      </w:r>
      <w:r w:rsidRPr="00925062">
        <w:rPr>
          <w:rFonts w:ascii="Calibri" w:hAnsi="Calibri" w:cs="Calibri"/>
        </w:rPr>
        <w:t xml:space="preserve"> young person is frequently then placed on a waiting list before any further transition work is done. The professional told us that this can mean that a young person is on a waiting lis</w:t>
      </w:r>
      <w:r w:rsidRPr="00925062">
        <w:rPr>
          <w:rFonts w:ascii="Calibri" w:hAnsi="Calibri" w:cs="Calibri"/>
        </w:rPr>
        <w:t xml:space="preserve">t to receive social </w:t>
      </w:r>
      <w:r w:rsidRPr="00925062">
        <w:rPr>
          <w:rFonts w:ascii="Calibri" w:hAnsi="Calibri" w:cs="Calibri"/>
        </w:rPr>
        <w:t xml:space="preserve">care support </w:t>
      </w:r>
      <w:r w:rsidRPr="00925062">
        <w:rPr>
          <w:rFonts w:ascii="Calibri" w:hAnsi="Calibri" w:cs="Calibri"/>
        </w:rPr>
        <w:t>until after their 18</w:t>
      </w:r>
      <w:r w:rsidRPr="00925062">
        <w:rPr>
          <w:rFonts w:ascii="Calibri" w:hAnsi="Calibri" w:cs="Calibri"/>
          <w:vertAlign w:val="superscript"/>
        </w:rPr>
        <w:t>th</w:t>
      </w:r>
      <w:r w:rsidRPr="00925062">
        <w:rPr>
          <w:rFonts w:ascii="Calibri" w:hAnsi="Calibri" w:cs="Calibri"/>
        </w:rPr>
        <w:t xml:space="preserve"> birthday and/or until their education</w:t>
      </w:r>
      <w:r w:rsidRPr="00925062">
        <w:rPr>
          <w:rFonts w:ascii="Calibri" w:hAnsi="Calibri" w:cs="Calibri"/>
        </w:rPr>
        <w:t xml:space="preserve"> has finished; </w:t>
      </w:r>
      <w:r w:rsidRPr="00925062">
        <w:rPr>
          <w:rFonts w:ascii="Calibri" w:hAnsi="Calibri" w:cs="Calibri"/>
        </w:rPr>
        <w:t>the gap that occurs when educational support has finished but no social care package has been put in place can lead to the young person and/or their family experiencing a cris</w:t>
      </w:r>
      <w:r w:rsidRPr="00925062">
        <w:rPr>
          <w:rFonts w:ascii="Calibri" w:hAnsi="Calibri" w:cs="Calibri"/>
        </w:rPr>
        <w:t>is, and that this can in turn lead to more restrictive measures such as medication</w:t>
      </w:r>
      <w:r>
        <w:rPr>
          <w:rStyle w:val="FootnoteReference"/>
          <w:rFonts w:ascii="Calibri" w:hAnsi="Calibri" w:cs="Calibri"/>
        </w:rPr>
        <w:footnoteReference w:id="5"/>
      </w:r>
      <w:r w:rsidRPr="00925062">
        <w:rPr>
          <w:rFonts w:ascii="Calibri" w:hAnsi="Calibri" w:cs="Calibri"/>
        </w:rPr>
        <w:t xml:space="preserve"> being used.</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jc w:val="center"/>
        <w:rPr>
          <w:rFonts w:ascii="Calibri" w:hAnsi="Calibri" w:cs="Calibri"/>
          <w:b/>
          <w:bCs/>
        </w:rPr>
      </w:pPr>
      <w:r w:rsidRPr="00925062">
        <w:rPr>
          <w:rFonts w:ascii="Calibri" w:hAnsi="Calibri" w:cs="Calibri"/>
          <w:b/>
          <w:bCs/>
        </w:rPr>
        <w:t>Effectiveness of the transition process and cross-service coordination</w:t>
      </w:r>
    </w:p>
    <w:p w:rsidR="00B6724D" w:rsidRPr="00925062" w:rsidP="00925062">
      <w:pPr>
        <w:pStyle w:val="ListParagraph"/>
        <w:numPr>
          <w:ilvl w:val="0"/>
          <w:numId w:val="26"/>
        </w:numPr>
        <w:spacing w:after="0" w:line="288" w:lineRule="auto"/>
        <w:jc w:val="center"/>
        <w:rPr>
          <w:rFonts w:ascii="Calibri" w:hAnsi="Calibri" w:cs="Calibri"/>
          <w:u w:val="single"/>
        </w:rPr>
      </w:pPr>
      <w:r w:rsidRPr="00925062">
        <w:rPr>
          <w:rFonts w:ascii="Calibri" w:hAnsi="Calibri" w:cs="Calibri"/>
          <w:u w:val="single"/>
        </w:rPr>
        <w:t>How effective is joint commissioning and coordinated delivery of the care received by children and young people at the point of transition?</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3a. Families that we support frequently highlight a lack of coordination of support around transition</w:t>
      </w:r>
      <w:r w:rsidRPr="00925062">
        <w:rPr>
          <w:rFonts w:ascii="Calibri" w:hAnsi="Calibri" w:cs="Calibri"/>
        </w:rPr>
        <w:t>, and professionals we have engaged as part of our work on transition ha</w:t>
      </w:r>
      <w:r w:rsidRPr="00925062">
        <w:rPr>
          <w:rFonts w:ascii="Calibri" w:hAnsi="Calibri" w:cs="Calibri"/>
        </w:rPr>
        <w:t xml:space="preserve">ve also told us that they experience difficulties </w:t>
      </w:r>
      <w:r w:rsidRPr="00925062">
        <w:rPr>
          <w:rFonts w:ascii="Calibri" w:hAnsi="Calibri" w:cs="Calibri"/>
        </w:rPr>
        <w:t>with joining up their working with other parts of the system</w:t>
      </w:r>
      <w:r w:rsidRPr="00925062">
        <w:rPr>
          <w:rFonts w:ascii="Calibri" w:hAnsi="Calibri" w:cs="Calibri"/>
        </w:rPr>
        <w:t>.</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3b. The National Confidential Enquiry into Patient Outcome and Death (NCEPOD)’s 2023 report ‘The Inbetweeners’</w:t>
      </w:r>
      <w:r w:rsidRPr="00925062">
        <w:rPr>
          <w:rFonts w:ascii="Calibri" w:hAnsi="Calibri" w:cs="Calibri"/>
        </w:rPr>
        <w:t>, which looked at transition from children’s to adult health services for young people with complex conditions (including learning disabilities)</w:t>
      </w:r>
      <w:r w:rsidRPr="00925062">
        <w:rPr>
          <w:rFonts w:ascii="Calibri" w:hAnsi="Calibri" w:cs="Calibri"/>
        </w:rPr>
        <w:t xml:space="preserve"> found that </w:t>
      </w:r>
      <w:r w:rsidRPr="00925062">
        <w:rPr>
          <w:rFonts w:ascii="Calibri" w:hAnsi="Calibri" w:cs="Calibri"/>
        </w:rPr>
        <w:t>there was no</w:t>
      </w:r>
      <w:r w:rsidRPr="00925062">
        <w:rPr>
          <w:rFonts w:ascii="Calibri" w:hAnsi="Calibri" w:cs="Calibri"/>
        </w:rPr>
        <w:t xml:space="preserve"> evidence of coordination between teams in 68% of reviewed cases</w:t>
      </w:r>
      <w:r>
        <w:rPr>
          <w:rStyle w:val="FootnoteReference"/>
          <w:rFonts w:ascii="Calibri" w:hAnsi="Calibri" w:cs="Calibri"/>
        </w:rPr>
        <w:footnoteReference w:id="6"/>
      </w:r>
      <w:r w:rsidRPr="00925062">
        <w:rPr>
          <w:rFonts w:ascii="Calibri" w:hAnsi="Calibri" w:cs="Calibri"/>
        </w:rPr>
        <w:t>.</w:t>
      </w:r>
      <w:r w:rsidRPr="00925062">
        <w:rPr>
          <w:rFonts w:ascii="Calibri" w:hAnsi="Calibri" w:cs="Calibri"/>
        </w:rPr>
        <w:t xml:space="preserve"> A Scotland-wide project which looked at transition from child to adult health services for young people with complex </w:t>
      </w:r>
      <w:r w:rsidRPr="00925062">
        <w:rPr>
          <w:rFonts w:ascii="Calibri" w:hAnsi="Calibri" w:cs="Calibri"/>
        </w:rPr>
        <w:t xml:space="preserve">learning disabilities found that </w:t>
      </w:r>
      <w:r w:rsidRPr="00925062">
        <w:rPr>
          <w:rFonts w:ascii="Calibri" w:hAnsi="Calibri" w:cs="Calibri"/>
        </w:rPr>
        <w:t xml:space="preserve">in many cases there was no one who took responsibility for multiagency coordination and that consequently transitions </w:t>
      </w:r>
      <w:r w:rsidRPr="00925062">
        <w:rPr>
          <w:rFonts w:ascii="Calibri" w:hAnsi="Calibri" w:cs="Calibri"/>
        </w:rPr>
        <w:t xml:space="preserve">were less effective, more stressful and less person-centred, although </w:t>
      </w:r>
      <w:r w:rsidRPr="00925062">
        <w:rPr>
          <w:rFonts w:ascii="Calibri" w:hAnsi="Calibri" w:cs="Calibri"/>
        </w:rPr>
        <w:t>the study did also find examples of better coordination</w:t>
      </w:r>
      <w:r>
        <w:rPr>
          <w:rStyle w:val="FootnoteReference"/>
          <w:rFonts w:ascii="Calibri" w:hAnsi="Calibri" w:cs="Calibri"/>
        </w:rPr>
        <w:footnoteReference w:id="7"/>
      </w:r>
      <w:r w:rsidRPr="00925062">
        <w:rPr>
          <w:rFonts w:ascii="Calibri" w:hAnsi="Calibri" w:cs="Calibri"/>
        </w:rPr>
        <w:t>.</w:t>
      </w:r>
    </w:p>
    <w:p w:rsidR="00B6724D" w:rsidRPr="00925062" w:rsidP="00925062">
      <w:pPr>
        <w:spacing w:after="0" w:line="288" w:lineRule="auto"/>
        <w:contextualSpacing/>
        <w:jc w:val="center"/>
        <w:rPr>
          <w:rFonts w:ascii="Calibri" w:hAnsi="Calibri" w:cs="Calibri"/>
        </w:rPr>
      </w:pPr>
    </w:p>
    <w:p w:rsidR="00B6724D" w:rsidRPr="00925062" w:rsidP="00925062">
      <w:pPr>
        <w:pStyle w:val="ListParagraph"/>
        <w:numPr>
          <w:ilvl w:val="0"/>
          <w:numId w:val="26"/>
        </w:numPr>
        <w:spacing w:after="0" w:line="288" w:lineRule="auto"/>
        <w:jc w:val="center"/>
        <w:rPr>
          <w:rFonts w:ascii="Calibri" w:eastAsia="Aptos" w:hAnsi="Calibri" w:cs="Calibri"/>
          <w:u w:val="single"/>
        </w:rPr>
      </w:pPr>
      <w:r w:rsidRPr="00925062">
        <w:rPr>
          <w:rFonts w:ascii="Calibri" w:eastAsia="Aptos" w:hAnsi="Calibri" w:cs="Calibri"/>
          <w:u w:val="single"/>
        </w:rPr>
        <w:t xml:space="preserve">Where health and social care organisations have not been able to </w:t>
      </w:r>
      <w:r w:rsidRPr="00925062">
        <w:rPr>
          <w:rFonts w:ascii="Calibri" w:eastAsia="Aptos" w:hAnsi="Calibri" w:cs="Calibri"/>
          <w:u w:val="single"/>
        </w:rPr>
        <w:t>fulfil</w:t>
      </w:r>
      <w:r w:rsidRPr="00925062">
        <w:rPr>
          <w:rFonts w:ascii="Calibri" w:eastAsia="Aptos" w:hAnsi="Calibri" w:cs="Calibri"/>
          <w:u w:val="single"/>
        </w:rPr>
        <w:t xml:space="preserve"> these statements of intent, what has the impact been?</w:t>
      </w:r>
      <w:r w:rsidRPr="00925062">
        <w:rPr>
          <w:rFonts w:ascii="Calibri" w:eastAsia="Aptos" w:hAnsi="Calibri" w:cs="Calibri"/>
        </w:rPr>
        <w:t xml:space="preserve"> / </w:t>
      </w:r>
      <w:r w:rsidRPr="00925062">
        <w:rPr>
          <w:rFonts w:ascii="Calibri" w:eastAsia="Aptos" w:hAnsi="Calibri" w:cs="Calibri"/>
          <w:u w:val="single"/>
        </w:rPr>
        <w:t>What is the impact of joint working on an individual’s experience of the transition between child and adult services?</w:t>
      </w:r>
    </w:p>
    <w:p w:rsidR="00B6724D" w:rsidRPr="00925062" w:rsidP="00925062">
      <w:pPr>
        <w:spacing w:after="0" w:line="288" w:lineRule="auto"/>
        <w:contextualSpacing/>
        <w:jc w:val="center"/>
        <w:rPr>
          <w:rFonts w:ascii="Calibri" w:eastAsia="Aptos" w:hAnsi="Calibri" w:cs="Calibri"/>
        </w:rPr>
      </w:pPr>
    </w:p>
    <w:tbl>
      <w:tblPr>
        <w:tblStyle w:val="TableGrid"/>
        <w:tblW w:w="0" w:type="auto"/>
        <w:tblLook w:val="06A0"/>
      </w:tblPr>
      <w:tblGrid>
        <w:gridCol w:w="9015"/>
      </w:tblGrid>
      <w:tr w:rsidTr="24B037FF">
        <w:tblPrEx>
          <w:tblW w:w="0" w:type="auto"/>
          <w:tblLook w:val="06A0"/>
        </w:tblPrEx>
        <w:trPr>
          <w:trHeight w:val="300"/>
        </w:trPr>
        <w:tc>
          <w:tcPr>
            <w:tcW w:w="9015" w:type="dxa"/>
          </w:tcPr>
          <w:p w:rsidR="00B6724D" w:rsidRPr="00925062" w:rsidP="00925062">
            <w:pPr>
              <w:spacing w:line="288" w:lineRule="auto"/>
              <w:contextualSpacing/>
              <w:jc w:val="center"/>
              <w:rPr>
                <w:rFonts w:ascii="Calibri" w:hAnsi="Calibri" w:cs="Calibri"/>
              </w:rPr>
            </w:pPr>
            <w:r w:rsidRPr="00925062">
              <w:rPr>
                <w:rFonts w:ascii="Calibri" w:hAnsi="Calibri" w:cs="Calibri"/>
              </w:rPr>
              <w:t>Example</w:t>
            </w:r>
          </w:p>
          <w:p w:rsidR="00B6724D" w:rsidRPr="00925062" w:rsidP="00925062">
            <w:pPr>
              <w:spacing w:line="288" w:lineRule="auto"/>
              <w:contextualSpacing/>
              <w:jc w:val="center"/>
              <w:rPr>
                <w:rFonts w:ascii="Calibri" w:hAnsi="Calibri" w:cs="Calibri"/>
              </w:rPr>
            </w:pPr>
          </w:p>
          <w:p w:rsidR="00B6724D" w:rsidRPr="00925062" w:rsidP="00925062">
            <w:pPr>
              <w:spacing w:line="288" w:lineRule="auto"/>
              <w:contextualSpacing/>
              <w:jc w:val="center"/>
              <w:rPr>
                <w:rFonts w:ascii="Calibri" w:hAnsi="Calibri" w:cs="Calibri"/>
              </w:rPr>
            </w:pPr>
            <w:r w:rsidRPr="00925062">
              <w:rPr>
                <w:rFonts w:ascii="Calibri" w:hAnsi="Calibri" w:cs="Calibri"/>
              </w:rPr>
              <w:t xml:space="preserve">Our </w:t>
            </w:r>
            <w:r>
              <w:fldChar w:fldCharType="begin"/>
            </w:r>
            <w:r>
              <w:instrText xml:space="preserve"> HYPERLINK "https://www.challengingbehaviour.org.uk/what-we-do/projects-and-research/what-matters-to-me/" </w:instrText>
            </w:r>
            <w:r>
              <w:fldChar w:fldCharType="separate"/>
            </w:r>
            <w:r w:rsidRPr="00925062">
              <w:rPr>
                <w:rStyle w:val="Hyperlink"/>
                <w:rFonts w:ascii="Calibri" w:hAnsi="Calibri" w:cs="Calibri"/>
                <w:color w:val="auto"/>
              </w:rPr>
              <w:t>What Matters to Me</w:t>
            </w:r>
            <w:r>
              <w:fldChar w:fldCharType="end"/>
            </w:r>
            <w:r w:rsidRPr="00925062">
              <w:rPr>
                <w:rFonts w:ascii="Calibri" w:hAnsi="Calibri" w:cs="Calibri"/>
              </w:rPr>
              <w:t xml:space="preserve"> project (2022-25) worked with 11 young people with severe or profound and multiple learning disabilities, their families, and support circles.</w:t>
            </w:r>
          </w:p>
          <w:p w:rsidR="00B6724D" w:rsidRPr="00925062" w:rsidP="00925062">
            <w:pPr>
              <w:spacing w:line="288" w:lineRule="auto"/>
              <w:contextualSpacing/>
              <w:jc w:val="center"/>
              <w:rPr>
                <w:rFonts w:ascii="Calibri" w:hAnsi="Calibri" w:cs="Calibri"/>
              </w:rPr>
            </w:pPr>
          </w:p>
          <w:p w:rsidR="00B6724D" w:rsidRPr="00925062" w:rsidP="00925062">
            <w:pPr>
              <w:spacing w:line="288" w:lineRule="auto"/>
              <w:contextualSpacing/>
              <w:jc w:val="center"/>
              <w:rPr>
                <w:rFonts w:ascii="Calibri" w:hAnsi="Calibri" w:cs="Calibri"/>
              </w:rPr>
            </w:pPr>
            <w:r w:rsidRPr="00925062">
              <w:rPr>
                <w:rFonts w:ascii="Calibri" w:hAnsi="Calibri" w:cs="Calibri"/>
              </w:rPr>
              <w:t>One of the young people involved in the project</w:t>
            </w:r>
            <w:r w:rsidRPr="00925062">
              <w:rPr>
                <w:rFonts w:ascii="Calibri" w:hAnsi="Calibri" w:cs="Calibri"/>
              </w:rPr>
              <w:t>, A,</w:t>
            </w:r>
            <w:r w:rsidRPr="00925062">
              <w:rPr>
                <w:rFonts w:ascii="Calibri" w:hAnsi="Calibri" w:cs="Calibri"/>
              </w:rPr>
              <w:t xml:space="preserve"> remained in paediatrics for many of the services that she needed </w:t>
            </w:r>
            <w:r w:rsidRPr="00925062">
              <w:rPr>
                <w:rFonts w:ascii="Calibri" w:hAnsi="Calibri" w:cs="Calibri"/>
              </w:rPr>
              <w:t>after her 18</w:t>
            </w:r>
            <w:r w:rsidRPr="00925062">
              <w:rPr>
                <w:rFonts w:ascii="Calibri" w:hAnsi="Calibri" w:cs="Calibri"/>
                <w:vertAlign w:val="superscript"/>
              </w:rPr>
              <w:t>th</w:t>
            </w:r>
            <w:r w:rsidRPr="00925062">
              <w:rPr>
                <w:rFonts w:ascii="Calibri" w:hAnsi="Calibri" w:cs="Calibri"/>
              </w:rPr>
              <w:t xml:space="preserve"> birthday </w:t>
            </w:r>
            <w:r w:rsidRPr="00925062">
              <w:rPr>
                <w:rFonts w:ascii="Calibri" w:hAnsi="Calibri" w:cs="Calibri"/>
              </w:rPr>
              <w:t>because of a lack of capacity within these services to do the paperwork and processes involved in transitioning her to adult care.</w:t>
            </w:r>
            <w:r w:rsidRPr="00925062">
              <w:rPr>
                <w:rFonts w:ascii="Calibri" w:hAnsi="Calibri" w:cs="Calibri"/>
              </w:rPr>
              <w:t xml:space="preserve"> There were also insufficient local services available that were able to meet A’s complex health and social care needs, and </w:t>
            </w:r>
            <w:r w:rsidRPr="00925062">
              <w:rPr>
                <w:rFonts w:ascii="Calibri" w:hAnsi="Calibri" w:cs="Calibri"/>
              </w:rPr>
              <w:t xml:space="preserve">A’s family experienced significant delays in getting funding agreed. Although A was already 18, </w:t>
            </w:r>
            <w:r w:rsidRPr="00925062">
              <w:rPr>
                <w:rFonts w:ascii="Calibri" w:hAnsi="Calibri" w:cs="Calibri"/>
              </w:rPr>
              <w:t>when we spoke to A’s family during the project they highlighted that</w:t>
            </w:r>
            <w:r w:rsidRPr="00925062">
              <w:rPr>
                <w:rFonts w:ascii="Calibri" w:hAnsi="Calibri" w:cs="Calibri"/>
              </w:rPr>
              <w:t xml:space="preserve"> there was not a plan or package in place for a few </w:t>
            </w:r>
            <w:r w:rsidRPr="00925062">
              <w:rPr>
                <w:rFonts w:ascii="Calibri" w:hAnsi="Calibri" w:cs="Calibri"/>
              </w:rPr>
              <w:t>months' time</w:t>
            </w:r>
            <w:r w:rsidRPr="00925062">
              <w:rPr>
                <w:rFonts w:ascii="Calibri" w:hAnsi="Calibri" w:cs="Calibri"/>
              </w:rPr>
              <w:t xml:space="preserve"> when A would be leaving school.</w:t>
            </w:r>
          </w:p>
          <w:p w:rsidR="00B6724D" w:rsidRPr="00925062" w:rsidP="00925062">
            <w:pPr>
              <w:spacing w:line="288" w:lineRule="auto"/>
              <w:contextualSpacing/>
              <w:jc w:val="center"/>
              <w:rPr>
                <w:rFonts w:ascii="Calibri" w:hAnsi="Calibri" w:cs="Calibri"/>
              </w:rPr>
            </w:pPr>
          </w:p>
          <w:p w:rsidR="00B6724D" w:rsidRPr="00925062" w:rsidP="00925062">
            <w:pPr>
              <w:spacing w:line="288" w:lineRule="auto"/>
              <w:contextualSpacing/>
              <w:jc w:val="center"/>
              <w:rPr>
                <w:rFonts w:ascii="Calibri" w:hAnsi="Calibri" w:cs="Calibri"/>
              </w:rPr>
            </w:pPr>
            <w:r w:rsidRPr="00925062">
              <w:rPr>
                <w:rFonts w:ascii="Calibri" w:hAnsi="Calibri" w:cs="Calibri"/>
              </w:rPr>
              <w:t>“We’re still transitioning from a social care package to a continuing healthcare package. Everyone seems to want to pass the buck with regards to who does the funding.” - A’s family carer</w:t>
            </w:r>
          </w:p>
          <w:p w:rsidR="00B6724D" w:rsidRPr="00925062" w:rsidP="00925062">
            <w:pPr>
              <w:spacing w:line="288" w:lineRule="auto"/>
              <w:contextualSpacing/>
              <w:jc w:val="center"/>
              <w:rPr>
                <w:rFonts w:ascii="Calibri" w:hAnsi="Calibri" w:cs="Calibri"/>
              </w:rPr>
            </w:pPr>
          </w:p>
          <w:p w:rsidR="00B6724D" w:rsidRPr="00925062" w:rsidP="00925062">
            <w:pPr>
              <w:spacing w:line="288" w:lineRule="auto"/>
              <w:contextualSpacing/>
              <w:jc w:val="center"/>
              <w:rPr>
                <w:rFonts w:ascii="Calibri" w:hAnsi="Calibri" w:cs="Calibri"/>
              </w:rPr>
            </w:pPr>
            <w:r w:rsidRPr="00925062">
              <w:rPr>
                <w:rFonts w:ascii="Calibri" w:hAnsi="Calibri" w:cs="Calibri"/>
              </w:rPr>
              <w:t xml:space="preserve">However, A and her family did have a positive example of </w:t>
            </w:r>
            <w:r w:rsidRPr="00925062">
              <w:rPr>
                <w:rFonts w:ascii="Calibri" w:hAnsi="Calibri" w:cs="Calibri"/>
              </w:rPr>
              <w:t xml:space="preserve">joint working during </w:t>
            </w:r>
            <w:r w:rsidRPr="00925062">
              <w:rPr>
                <w:rFonts w:ascii="Calibri" w:hAnsi="Calibri" w:cs="Calibri"/>
              </w:rPr>
              <w:t xml:space="preserve">transition between children’s and adult </w:t>
            </w:r>
            <w:r w:rsidRPr="00925062">
              <w:rPr>
                <w:rFonts w:ascii="Calibri" w:hAnsi="Calibri" w:cs="Calibri"/>
              </w:rPr>
              <w:t xml:space="preserve">epilepsy and </w:t>
            </w:r>
            <w:r w:rsidRPr="00925062">
              <w:rPr>
                <w:rFonts w:ascii="Calibri" w:hAnsi="Calibri" w:cs="Calibri"/>
              </w:rPr>
              <w:t>neurology services. A joint clinic was held between the paediatric neurologist, adult neurologists, pae</w:t>
            </w:r>
            <w:r w:rsidRPr="00925062">
              <w:rPr>
                <w:rFonts w:ascii="Calibri" w:hAnsi="Calibri" w:cs="Calibri"/>
              </w:rPr>
              <w:t xml:space="preserve">diatric epilepsy nurse and adult epilepsy nurse, alongside A and her family. This joint clinic was a really positive experience for A and her family and </w:t>
            </w:r>
            <w:r w:rsidRPr="00925062">
              <w:rPr>
                <w:rFonts w:ascii="Calibri" w:hAnsi="Calibri" w:cs="Calibri"/>
              </w:rPr>
              <w:t>made the transition from children’s to adult epilepsy and neurology services easier.</w:t>
            </w:r>
          </w:p>
        </w:tc>
      </w:tr>
    </w:tbl>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jc w:val="center"/>
        <w:rPr>
          <w:rFonts w:ascii="Calibri" w:eastAsia="Aptos" w:hAnsi="Calibri" w:cs="Calibri"/>
          <w:b/>
          <w:bCs/>
        </w:rPr>
      </w:pPr>
      <w:r w:rsidRPr="00925062">
        <w:rPr>
          <w:rFonts w:ascii="Calibri" w:eastAsia="Aptos" w:hAnsi="Calibri" w:cs="Calibri"/>
          <w:b/>
          <w:bCs/>
        </w:rPr>
        <w:t>Meaningful involvement of children, young people and their carers</w:t>
      </w:r>
    </w:p>
    <w:p w:rsidR="00B6724D" w:rsidRPr="00925062" w:rsidP="00925062">
      <w:pPr>
        <w:pStyle w:val="ListParagraph"/>
        <w:numPr>
          <w:ilvl w:val="0"/>
          <w:numId w:val="26"/>
        </w:numPr>
        <w:spacing w:after="0" w:line="288" w:lineRule="auto"/>
        <w:jc w:val="center"/>
        <w:rPr>
          <w:rFonts w:ascii="Calibri" w:eastAsia="Aptos" w:hAnsi="Calibri" w:cs="Calibri"/>
          <w:u w:val="single"/>
        </w:rPr>
      </w:pPr>
      <w:r w:rsidRPr="00925062">
        <w:rPr>
          <w:rFonts w:ascii="Calibri" w:eastAsia="Aptos" w:hAnsi="Calibri" w:cs="Calibri"/>
          <w:u w:val="single"/>
        </w:rPr>
        <w:t>How are young people, and their carers, involved in their transition planning and what methods are effective in supporting involvement?</w:t>
      </w:r>
      <w:r w:rsidRPr="00925062">
        <w:rPr>
          <w:rFonts w:ascii="Calibri" w:eastAsia="Aptos" w:hAnsi="Calibri" w:cs="Calibri"/>
        </w:rPr>
        <w:t xml:space="preserve"> / </w:t>
      </w:r>
      <w:r w:rsidRPr="00925062">
        <w:rPr>
          <w:rFonts w:ascii="Calibri" w:eastAsia="Aptos" w:hAnsi="Calibri" w:cs="Calibri"/>
          <w:u w:val="single"/>
        </w:rPr>
        <w:t>How are underserved or vulnerable patient groups, including those with special educational needs and disabilities, involved in their own transition planning?</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5a. Y</w:t>
      </w:r>
      <w:r w:rsidRPr="00925062">
        <w:rPr>
          <w:rFonts w:ascii="Calibri" w:eastAsia="Aptos" w:hAnsi="Calibri" w:cs="Calibri"/>
        </w:rPr>
        <w:t xml:space="preserve">oung people with severe or profound and multiple learning disabilities are </w:t>
      </w:r>
      <w:r w:rsidRPr="00925062">
        <w:rPr>
          <w:rFonts w:ascii="Calibri" w:eastAsia="Aptos" w:hAnsi="Calibri" w:cs="Calibri"/>
        </w:rPr>
        <w:t>often excluded from their own transition planning due to being</w:t>
      </w:r>
      <w:r w:rsidRPr="00925062">
        <w:rPr>
          <w:rFonts w:ascii="Calibri" w:eastAsia="Aptos" w:hAnsi="Calibri" w:cs="Calibri"/>
        </w:rPr>
        <w:t xml:space="preserve"> non-verbal and hav</w:t>
      </w:r>
      <w:r w:rsidRPr="00925062">
        <w:rPr>
          <w:rFonts w:ascii="Calibri" w:eastAsia="Aptos" w:hAnsi="Calibri" w:cs="Calibri"/>
        </w:rPr>
        <w:t>ing</w:t>
      </w:r>
      <w:r w:rsidRPr="00925062">
        <w:rPr>
          <w:rFonts w:ascii="Calibri" w:eastAsia="Aptos" w:hAnsi="Calibri" w:cs="Calibri"/>
        </w:rPr>
        <w:t xml:space="preserve"> complex communication needs</w:t>
      </w:r>
      <w:r w:rsidRPr="00925062">
        <w:rPr>
          <w:rFonts w:ascii="Calibri" w:eastAsia="Aptos" w:hAnsi="Calibri" w:cs="Calibri"/>
        </w:rPr>
        <w:t xml:space="preserve">, </w:t>
      </w:r>
      <w:r w:rsidRPr="00925062">
        <w:rPr>
          <w:rFonts w:ascii="Calibri" w:eastAsia="Aptos" w:hAnsi="Calibri" w:cs="Calibri"/>
        </w:rPr>
        <w:t>which means that engaging with them in order to find out their views can be time-consuming.</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5b. The </w:t>
      </w:r>
      <w:r>
        <w:fldChar w:fldCharType="begin"/>
      </w:r>
      <w:r>
        <w:instrText xml:space="preserve"> HYPERLINK "https://www.challengingbehaviour.org.uk/what-we-do/projects-and-research/what-matters-to-me/" </w:instrText>
      </w:r>
      <w:r>
        <w:fldChar w:fldCharType="separate"/>
      </w:r>
      <w:r w:rsidRPr="00925062">
        <w:rPr>
          <w:rStyle w:val="Hyperlink"/>
          <w:rFonts w:ascii="Calibri" w:eastAsia="Aptos" w:hAnsi="Calibri" w:cs="Calibri"/>
          <w:color w:val="auto"/>
        </w:rPr>
        <w:t>What Matters to Me</w:t>
      </w:r>
      <w:r>
        <w:fldChar w:fldCharType="end"/>
      </w:r>
      <w:r w:rsidRPr="00925062">
        <w:rPr>
          <w:rFonts w:ascii="Calibri" w:eastAsia="Aptos" w:hAnsi="Calibri" w:cs="Calibri"/>
        </w:rPr>
        <w:t xml:space="preserve"> project</w:t>
      </w:r>
      <w:r w:rsidRPr="00925062">
        <w:rPr>
          <w:rFonts w:ascii="Calibri" w:eastAsia="Aptos" w:hAnsi="Calibri" w:cs="Calibri"/>
        </w:rPr>
        <w:t xml:space="preserve"> </w:t>
      </w:r>
      <w:r w:rsidRPr="00925062">
        <w:rPr>
          <w:rFonts w:ascii="Calibri" w:eastAsia="Aptos" w:hAnsi="Calibri" w:cs="Calibri"/>
        </w:rPr>
        <w:t>includes</w:t>
      </w:r>
      <w:r w:rsidRPr="00925062">
        <w:rPr>
          <w:rFonts w:ascii="Calibri" w:eastAsia="Aptos" w:hAnsi="Calibri" w:cs="Calibri"/>
        </w:rPr>
        <w:t xml:space="preserve"> a range of evidence-based resources that </w:t>
      </w:r>
      <w:r w:rsidRPr="00925062">
        <w:rPr>
          <w:rFonts w:ascii="Calibri" w:eastAsia="Aptos" w:hAnsi="Calibri" w:cs="Calibri"/>
        </w:rPr>
        <w:t xml:space="preserve">show how the views of </w:t>
      </w:r>
      <w:r w:rsidRPr="00925062">
        <w:rPr>
          <w:rFonts w:ascii="Calibri" w:eastAsia="Aptos" w:hAnsi="Calibri" w:cs="Calibri"/>
        </w:rPr>
        <w:t>young people with severe or profound and multiple learning disabilities can be gathered and used to influence (e.g., transition planning).</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jc w:val="center"/>
        <w:rPr>
          <w:rFonts w:ascii="Calibri" w:eastAsia="Aptos" w:hAnsi="Calibri" w:cs="Calibri"/>
        </w:rPr>
      </w:pPr>
      <w:r w:rsidRPr="00925062">
        <w:rPr>
          <w:rFonts w:ascii="Calibri" w:eastAsia="Aptos" w:hAnsi="Calibri" w:cs="Calibri"/>
        </w:rPr>
        <w:t>5c. From the academic research surveyed for our upcoming report on transition to adulthood, we identified the following act</w:t>
      </w:r>
      <w:r w:rsidRPr="00925062">
        <w:rPr>
          <w:rFonts w:ascii="Calibri" w:eastAsia="Aptos" w:hAnsi="Calibri" w:cs="Calibri"/>
        </w:rPr>
        <w:t>ions that can be taken to involve young people with learning disabilities and their families in transition planning:</w:t>
      </w:r>
    </w:p>
    <w:p w:rsidR="00B6724D" w:rsidRPr="00925062" w:rsidP="00925062">
      <w:pPr>
        <w:pStyle w:val="ListParagraph"/>
        <w:numPr>
          <w:ilvl w:val="0"/>
          <w:numId w:val="16"/>
        </w:numPr>
        <w:spacing w:after="0" w:line="288" w:lineRule="auto"/>
        <w:jc w:val="center"/>
        <w:rPr>
          <w:rFonts w:ascii="Calibri" w:eastAsia="Aptos" w:hAnsi="Calibri" w:cs="Calibri"/>
          <w:vertAlign w:val="superscript"/>
        </w:rPr>
      </w:pPr>
      <w:r w:rsidRPr="00925062">
        <w:rPr>
          <w:rFonts w:ascii="Calibri" w:eastAsia="Aptos" w:hAnsi="Calibri" w:cs="Calibri"/>
        </w:rPr>
        <w:t>Making sure transition planning begins early and that young people and their families are involved from as early as possible</w:t>
      </w:r>
      <w:r>
        <w:rPr>
          <w:rStyle w:val="FootnoteReference"/>
          <w:rFonts w:ascii="Calibri" w:eastAsia="Aptos" w:hAnsi="Calibri" w:cs="Calibri"/>
        </w:rPr>
        <w:footnoteReference w:id="8"/>
      </w:r>
      <w:r w:rsidRPr="00925062">
        <w:rPr>
          <w:rFonts w:ascii="Calibri" w:eastAsia="Aptos" w:hAnsi="Calibri" w:cs="Calibri"/>
        </w:rPr>
        <w:t>, including building a relationship with the young person and their family in advance of formal transition planning meetings</w:t>
      </w:r>
      <w:r>
        <w:rPr>
          <w:rStyle w:val="FootnoteReference"/>
          <w:rFonts w:ascii="Calibri" w:eastAsia="Aptos" w:hAnsi="Calibri" w:cs="Calibri"/>
        </w:rPr>
        <w:footnoteReference w:id="9"/>
      </w:r>
    </w:p>
    <w:p w:rsidR="00B6724D" w:rsidRPr="00925062" w:rsidP="00925062">
      <w:pPr>
        <w:pStyle w:val="ListParagraph"/>
        <w:numPr>
          <w:ilvl w:val="0"/>
          <w:numId w:val="16"/>
        </w:numPr>
        <w:spacing w:after="0" w:line="288" w:lineRule="auto"/>
        <w:jc w:val="center"/>
        <w:rPr>
          <w:rFonts w:ascii="Calibri" w:eastAsia="Aptos" w:hAnsi="Calibri" w:cs="Calibri"/>
          <w:vertAlign w:val="superscript"/>
        </w:rPr>
      </w:pPr>
      <w:r w:rsidRPr="00925062">
        <w:rPr>
          <w:rFonts w:ascii="Calibri" w:eastAsia="Aptos" w:hAnsi="Calibri" w:cs="Calibri"/>
        </w:rPr>
        <w:t>Giving clear and accessible information to the young person and their family</w:t>
      </w:r>
      <w:r>
        <w:rPr>
          <w:rStyle w:val="FootnoteReference"/>
          <w:rFonts w:ascii="Calibri" w:eastAsia="Aptos" w:hAnsi="Calibri" w:cs="Calibri"/>
        </w:rPr>
        <w:footnoteReference w:id="10"/>
      </w:r>
    </w:p>
    <w:p w:rsidR="00B6724D" w:rsidRPr="00925062" w:rsidP="00925062">
      <w:pPr>
        <w:pStyle w:val="ListParagraph"/>
        <w:numPr>
          <w:ilvl w:val="0"/>
          <w:numId w:val="16"/>
        </w:numPr>
        <w:spacing w:after="0" w:line="288" w:lineRule="auto"/>
        <w:jc w:val="center"/>
        <w:rPr>
          <w:rFonts w:ascii="Calibri" w:eastAsia="Aptos" w:hAnsi="Calibri" w:cs="Calibri"/>
          <w:vertAlign w:val="superscript"/>
        </w:rPr>
      </w:pPr>
      <w:r w:rsidRPr="00925062">
        <w:rPr>
          <w:rFonts w:ascii="Calibri" w:eastAsia="Aptos" w:hAnsi="Calibri" w:cs="Calibri"/>
        </w:rPr>
        <w:t>Providing support and advocacy to young people and their families, to help them to engage and make their views heard</w:t>
      </w:r>
      <w:r>
        <w:rPr>
          <w:rStyle w:val="FootnoteReference"/>
          <w:rFonts w:ascii="Calibri" w:eastAsia="Aptos" w:hAnsi="Calibri" w:cs="Calibri"/>
        </w:rPr>
        <w:footnoteReference w:id="11"/>
      </w:r>
    </w:p>
    <w:p w:rsidR="00B6724D" w:rsidRPr="00925062" w:rsidP="00925062">
      <w:pPr>
        <w:pStyle w:val="ListParagraph"/>
        <w:numPr>
          <w:ilvl w:val="0"/>
          <w:numId w:val="16"/>
        </w:numPr>
        <w:spacing w:after="0" w:line="288" w:lineRule="auto"/>
        <w:jc w:val="center"/>
        <w:rPr>
          <w:rFonts w:ascii="Calibri" w:eastAsia="Aptos" w:hAnsi="Calibri" w:cs="Calibri"/>
          <w:vertAlign w:val="superscript"/>
        </w:rPr>
      </w:pPr>
      <w:r w:rsidRPr="00925062">
        <w:rPr>
          <w:rFonts w:ascii="Calibri" w:eastAsia="Aptos" w:hAnsi="Calibri" w:cs="Calibri"/>
        </w:rPr>
        <w:t>For young people with severe or profound learning disabilities, who have little or no speech and may have complex communication needs, using a mixed-method approach of finding out background information, observations, direct engagement, and working with people who know them well to find out what is important to them</w:t>
      </w:r>
      <w:r>
        <w:rPr>
          <w:rStyle w:val="FootnoteReference"/>
          <w:rFonts w:ascii="Calibri" w:eastAsia="Aptos" w:hAnsi="Calibri" w:cs="Calibri"/>
        </w:rPr>
        <w:footnoteReference w:id="12"/>
      </w:r>
      <w:r w:rsidRPr="00925062">
        <w:rPr>
          <w:rFonts w:ascii="Calibri" w:eastAsia="Aptos" w:hAnsi="Calibri" w:cs="Calibri"/>
          <w:vertAlign w:val="superscript"/>
        </w:rPr>
        <w:t>,</w:t>
      </w:r>
      <w:r>
        <w:rPr>
          <w:rStyle w:val="FootnoteReference"/>
          <w:rFonts w:ascii="Calibri" w:eastAsia="Aptos" w:hAnsi="Calibri" w:cs="Calibri"/>
        </w:rPr>
        <w:footnoteReference w:id="13"/>
      </w:r>
    </w:p>
    <w:p w:rsidR="00B6724D" w:rsidRPr="00925062" w:rsidP="00925062">
      <w:pPr>
        <w:spacing w:after="0" w:line="288" w:lineRule="auto"/>
        <w:contextualSpacing/>
        <w:jc w:val="center"/>
        <w:rPr>
          <w:rFonts w:ascii="Calibri" w:eastAsia="Aptos" w:hAnsi="Calibri" w:cs="Calibri"/>
        </w:rPr>
      </w:pPr>
    </w:p>
    <w:p w:rsidR="00B6724D" w:rsidRPr="00925062" w:rsidP="00925062">
      <w:pPr>
        <w:pStyle w:val="ListParagraph"/>
        <w:numPr>
          <w:ilvl w:val="0"/>
          <w:numId w:val="26"/>
        </w:numPr>
        <w:spacing w:after="0" w:line="288" w:lineRule="auto"/>
        <w:jc w:val="center"/>
        <w:rPr>
          <w:rFonts w:ascii="Calibri" w:eastAsia="Aptos" w:hAnsi="Calibri" w:cs="Calibri"/>
          <w:u w:val="single"/>
        </w:rPr>
      </w:pPr>
      <w:r w:rsidRPr="00925062">
        <w:rPr>
          <w:rFonts w:ascii="Calibri" w:eastAsia="Aptos" w:hAnsi="Calibri" w:cs="Calibri"/>
          <w:u w:val="single"/>
        </w:rPr>
        <w:t>What does a good transition service look like, and how is an effective transition defined, measured and monitored at both individual and service levels?</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6a. Andrea Barron and Hassiotis</w:t>
      </w:r>
      <w:r w:rsidRPr="00925062">
        <w:rPr>
          <w:rFonts w:ascii="Calibri" w:eastAsia="Aptos" w:hAnsi="Calibri" w:cs="Calibri"/>
        </w:rPr>
        <w:t xml:space="preserve"> (2008) reviewed </w:t>
      </w:r>
      <w:r w:rsidRPr="00925062">
        <w:rPr>
          <w:rFonts w:ascii="Calibri" w:eastAsia="Aptos" w:hAnsi="Calibri" w:cs="Calibri"/>
        </w:rPr>
        <w:t>existing evidence of what makes a good transition to adulthood. The key themes they identified were transition coordination, involving the young person (including making sur</w:t>
      </w:r>
      <w:r w:rsidRPr="00925062">
        <w:rPr>
          <w:rFonts w:ascii="Calibri" w:eastAsia="Aptos" w:hAnsi="Calibri" w:cs="Calibri"/>
        </w:rPr>
        <w:t>e information is shared in an accessible way for the young person), and person-centred planning</w:t>
      </w:r>
      <w:r>
        <w:rPr>
          <w:rStyle w:val="FootnoteReference"/>
          <w:rFonts w:ascii="Calibri" w:eastAsia="Aptos" w:hAnsi="Calibri" w:cs="Calibri"/>
        </w:rPr>
        <w:footnoteReference w:id="14"/>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6b. </w:t>
      </w:r>
      <w:r w:rsidRPr="00925062">
        <w:rPr>
          <w:rFonts w:ascii="Calibri" w:eastAsia="Aptos" w:hAnsi="Calibri" w:cs="Calibri"/>
        </w:rPr>
        <w:t>Heslop et al., (2002) identified ‘5 Cs’ of a good transition experience</w:t>
      </w:r>
      <w:r>
        <w:rPr>
          <w:rStyle w:val="FootnoteReference"/>
          <w:rFonts w:ascii="Calibri" w:eastAsia="Aptos" w:hAnsi="Calibri" w:cs="Calibri"/>
        </w:rPr>
        <w:footnoteReference w:id="15"/>
      </w:r>
      <w:r w:rsidRPr="00925062">
        <w:rPr>
          <w:rFonts w:ascii="Calibri" w:eastAsia="Aptos" w:hAnsi="Calibri" w:cs="Calibri"/>
        </w:rPr>
        <w:t>:</w:t>
      </w:r>
    </w:p>
    <w:p w:rsidR="00B6724D" w:rsidRPr="00925062" w:rsidP="00925062">
      <w:pPr>
        <w:pStyle w:val="ListParagraph"/>
        <w:numPr>
          <w:ilvl w:val="0"/>
          <w:numId w:val="7"/>
        </w:numPr>
        <w:spacing w:after="0" w:line="288" w:lineRule="auto"/>
        <w:jc w:val="center"/>
        <w:rPr>
          <w:rFonts w:ascii="Calibri" w:eastAsia="Aptos" w:hAnsi="Calibri" w:cs="Calibri"/>
        </w:rPr>
      </w:pPr>
      <w:r w:rsidRPr="00925062">
        <w:rPr>
          <w:rFonts w:ascii="Calibri" w:eastAsia="Aptos" w:hAnsi="Calibri" w:cs="Calibri"/>
        </w:rPr>
        <w:t>Communication (between agencies, between agencies and the young person/their family, and provision of independent advocacy)</w:t>
      </w:r>
    </w:p>
    <w:p w:rsidR="00B6724D" w:rsidRPr="00925062" w:rsidP="00925062">
      <w:pPr>
        <w:pStyle w:val="ListParagraph"/>
        <w:numPr>
          <w:ilvl w:val="0"/>
          <w:numId w:val="7"/>
        </w:numPr>
        <w:spacing w:after="0" w:line="288" w:lineRule="auto"/>
        <w:jc w:val="center"/>
        <w:rPr>
          <w:rFonts w:ascii="Calibri" w:eastAsia="Aptos" w:hAnsi="Calibri" w:cs="Calibri"/>
        </w:rPr>
      </w:pPr>
      <w:r w:rsidRPr="00925062">
        <w:rPr>
          <w:rFonts w:ascii="Calibri" w:eastAsia="Aptos" w:hAnsi="Calibri" w:cs="Calibri"/>
        </w:rPr>
        <w:t>Coordination</w:t>
      </w:r>
    </w:p>
    <w:p w:rsidR="00B6724D" w:rsidRPr="00925062" w:rsidP="00925062">
      <w:pPr>
        <w:pStyle w:val="ListParagraph"/>
        <w:numPr>
          <w:ilvl w:val="0"/>
          <w:numId w:val="7"/>
        </w:numPr>
        <w:spacing w:after="0" w:line="288" w:lineRule="auto"/>
        <w:jc w:val="center"/>
        <w:rPr>
          <w:rFonts w:ascii="Calibri" w:eastAsia="Aptos" w:hAnsi="Calibri" w:cs="Calibri"/>
        </w:rPr>
      </w:pPr>
      <w:r w:rsidRPr="00925062">
        <w:rPr>
          <w:rFonts w:ascii="Calibri" w:eastAsia="Aptos" w:hAnsi="Calibri" w:cs="Calibri"/>
        </w:rPr>
        <w:t xml:space="preserve">Comprehensiveness (including consideration of </w:t>
      </w:r>
      <w:r w:rsidRPr="00925062">
        <w:rPr>
          <w:rFonts w:ascii="Calibri" w:eastAsia="Aptos" w:hAnsi="Calibri" w:cs="Calibri"/>
        </w:rPr>
        <w:t>intersectional factors e.g., ethnicity)</w:t>
      </w:r>
    </w:p>
    <w:p w:rsidR="00B6724D" w:rsidRPr="00925062" w:rsidP="00925062">
      <w:pPr>
        <w:pStyle w:val="ListParagraph"/>
        <w:numPr>
          <w:ilvl w:val="0"/>
          <w:numId w:val="7"/>
        </w:numPr>
        <w:spacing w:after="0" w:line="288" w:lineRule="auto"/>
        <w:jc w:val="center"/>
        <w:rPr>
          <w:rFonts w:ascii="Calibri" w:eastAsia="Aptos" w:hAnsi="Calibri" w:cs="Calibri"/>
        </w:rPr>
      </w:pPr>
      <w:r w:rsidRPr="00925062">
        <w:rPr>
          <w:rFonts w:ascii="Calibri" w:eastAsia="Aptos" w:hAnsi="Calibri" w:cs="Calibri"/>
        </w:rPr>
        <w:t>Continuity</w:t>
      </w:r>
      <w:r w:rsidRPr="00925062">
        <w:rPr>
          <w:rFonts w:ascii="Calibri" w:eastAsia="Aptos" w:hAnsi="Calibri" w:cs="Calibri"/>
        </w:rPr>
        <w:t xml:space="preserve"> (keyworkers and no gaps in eligibility/support)</w:t>
      </w:r>
    </w:p>
    <w:p w:rsidR="00B6724D" w:rsidRPr="00925062" w:rsidP="00925062">
      <w:pPr>
        <w:pStyle w:val="ListParagraph"/>
        <w:numPr>
          <w:ilvl w:val="0"/>
          <w:numId w:val="7"/>
        </w:numPr>
        <w:spacing w:after="0" w:line="288" w:lineRule="auto"/>
        <w:jc w:val="center"/>
        <w:rPr>
          <w:rFonts w:ascii="Calibri" w:eastAsia="Aptos" w:hAnsi="Calibri" w:cs="Calibri"/>
        </w:rPr>
      </w:pPr>
      <w:r w:rsidRPr="00925062">
        <w:rPr>
          <w:rFonts w:ascii="Calibri" w:eastAsia="Aptos" w:hAnsi="Calibri" w:cs="Calibri"/>
        </w:rPr>
        <w:t>Choice</w:t>
      </w:r>
      <w:r w:rsidRPr="00925062">
        <w:rPr>
          <w:rFonts w:ascii="Calibri" w:eastAsia="Aptos" w:hAnsi="Calibri" w:cs="Calibri"/>
        </w:rPr>
        <w:t xml:space="preserve"> (involving young person and their family, access to appropriate information, and a range of options including housing and employment in the young person’s local area)</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jc w:val="center"/>
        <w:rPr>
          <w:rFonts w:ascii="Calibri" w:eastAsia="Aptos" w:hAnsi="Calibri" w:cs="Calibri"/>
          <w:b/>
          <w:bCs/>
        </w:rPr>
      </w:pPr>
      <w:r w:rsidRPr="00925062">
        <w:rPr>
          <w:rFonts w:ascii="Calibri" w:eastAsia="Aptos" w:hAnsi="Calibri" w:cs="Calibri"/>
          <w:b/>
          <w:bCs/>
        </w:rPr>
        <w:t>Workforce and training</w:t>
      </w:r>
    </w:p>
    <w:p w:rsidR="00B6724D" w:rsidRPr="00925062" w:rsidP="00925062">
      <w:pPr>
        <w:pStyle w:val="ListParagraph"/>
        <w:numPr>
          <w:ilvl w:val="0"/>
          <w:numId w:val="26"/>
        </w:numPr>
        <w:spacing w:after="0" w:line="288" w:lineRule="auto"/>
        <w:jc w:val="center"/>
        <w:rPr>
          <w:rFonts w:ascii="Calibri" w:eastAsia="Aptos" w:hAnsi="Calibri" w:cs="Calibri"/>
          <w:u w:val="single"/>
        </w:rPr>
      </w:pPr>
      <w:r w:rsidRPr="00925062">
        <w:rPr>
          <w:rFonts w:ascii="Calibri" w:eastAsia="Aptos" w:hAnsi="Calibri" w:cs="Calibri"/>
          <w:u w:val="single"/>
        </w:rPr>
        <w:t>What is the impact of having named staff members responsible for transitions – for example, a named worker for each individual, a clinical lead and a named executive and senior manager at the organisational level?</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u w:val="single"/>
        </w:rPr>
      </w:pPr>
      <w:r w:rsidRPr="00925062">
        <w:rPr>
          <w:rFonts w:ascii="Calibri" w:eastAsia="Aptos" w:hAnsi="Calibri" w:cs="Calibri"/>
        </w:rPr>
        <w:t xml:space="preserve">7a. </w:t>
      </w:r>
      <w:r w:rsidRPr="00925062">
        <w:rPr>
          <w:rFonts w:ascii="Calibri" w:eastAsia="Aptos" w:hAnsi="Calibri" w:cs="Calibri"/>
        </w:rPr>
        <w:t>In our experience of supporting families of young people with severe learning disabilities who are navigating transition, and from our review of the literature, having a named transition coordinator is a key factor in positive transitions.</w:t>
      </w:r>
      <w:r w:rsidRPr="00925062">
        <w:rPr>
          <w:rFonts w:ascii="Calibri" w:eastAsia="Aptos" w:hAnsi="Calibri" w:cs="Calibri"/>
        </w:rPr>
        <w:t xml:space="preserve"> While many families that we support have not had a transition coordinator based in either health or social care, families say that they </w:t>
      </w:r>
      <w:r w:rsidRPr="00925062">
        <w:rPr>
          <w:rFonts w:ascii="Calibri" w:eastAsia="Aptos" w:hAnsi="Calibri" w:cs="Calibri"/>
        </w:rPr>
        <w:t xml:space="preserve">value, or would have valued, having a single point of contact and someone who can liaise between services on their behalf. Young people </w:t>
      </w:r>
      <w:r w:rsidRPr="00925062">
        <w:rPr>
          <w:rFonts w:ascii="Calibri" w:eastAsia="Aptos" w:hAnsi="Calibri" w:cs="Calibri"/>
        </w:rPr>
        <w:t xml:space="preserve">with severe learning disabilities frequently need input from a range of services and so when there is not a transition coordinator </w:t>
      </w:r>
      <w:r w:rsidRPr="00925062">
        <w:rPr>
          <w:rFonts w:ascii="Calibri" w:eastAsia="Aptos" w:hAnsi="Calibri" w:cs="Calibri"/>
        </w:rPr>
        <w:t>in place</w:t>
      </w:r>
      <w:r w:rsidRPr="00925062">
        <w:rPr>
          <w:rFonts w:ascii="Calibri" w:eastAsia="Aptos" w:hAnsi="Calibri" w:cs="Calibri"/>
        </w:rPr>
        <w:t>,</w:t>
      </w:r>
      <w:r w:rsidRPr="00925062">
        <w:rPr>
          <w:rFonts w:ascii="Calibri" w:eastAsia="Aptos" w:hAnsi="Calibri" w:cs="Calibri"/>
        </w:rPr>
        <w:t xml:space="preserve"> families are required to navigate a high number of services – which use different terminology and different eligibility criteria – </w:t>
      </w:r>
      <w:r w:rsidRPr="00925062">
        <w:rPr>
          <w:rFonts w:ascii="Calibri" w:eastAsia="Aptos" w:hAnsi="Calibri" w:cs="Calibri"/>
        </w:rPr>
        <w:t>in order to</w:t>
      </w:r>
      <w:r w:rsidRPr="00925062">
        <w:rPr>
          <w:rFonts w:ascii="Calibri" w:eastAsia="Aptos" w:hAnsi="Calibri" w:cs="Calibri"/>
        </w:rPr>
        <w:t xml:space="preserve"> act as coordinator for their relative’s</w:t>
      </w:r>
      <w:r w:rsidRPr="00925062">
        <w:rPr>
          <w:rFonts w:ascii="Calibri" w:eastAsia="Aptos" w:hAnsi="Calibri" w:cs="Calibri"/>
        </w:rPr>
        <w:t xml:space="preserve"> transition.</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u w:val="single"/>
        </w:rPr>
      </w:pPr>
      <w:r w:rsidRPr="00925062">
        <w:rPr>
          <w:rFonts w:ascii="Calibri" w:eastAsia="Aptos" w:hAnsi="Calibri" w:cs="Calibri"/>
        </w:rPr>
        <w:t>7b. Families we support have shared the serious impact on their physical and mental health</w:t>
      </w:r>
      <w:r w:rsidRPr="00925062">
        <w:rPr>
          <w:rFonts w:ascii="Calibri" w:eastAsia="Aptos" w:hAnsi="Calibri" w:cs="Calibri"/>
        </w:rPr>
        <w:t xml:space="preserve"> </w:t>
      </w:r>
      <w:r w:rsidRPr="00925062">
        <w:rPr>
          <w:rFonts w:ascii="Calibri" w:eastAsia="Aptos" w:hAnsi="Calibri" w:cs="Calibri"/>
        </w:rPr>
        <w:t xml:space="preserve">of having to navigate these services alongside their other caring responsibilities, and this is also </w:t>
      </w:r>
      <w:r w:rsidRPr="00925062">
        <w:rPr>
          <w:rFonts w:ascii="Calibri" w:eastAsia="Aptos" w:hAnsi="Calibri" w:cs="Calibri"/>
        </w:rPr>
        <w:t>supported by the literature we reviewed</w:t>
      </w:r>
      <w:r>
        <w:rPr>
          <w:rStyle w:val="FootnoteReference"/>
          <w:rFonts w:ascii="Calibri" w:eastAsia="Aptos" w:hAnsi="Calibri" w:cs="Calibri"/>
        </w:rPr>
        <w:footnoteReference w:id="16"/>
      </w:r>
      <w:r w:rsidRPr="00925062">
        <w:rPr>
          <w:rFonts w:ascii="Calibri" w:eastAsia="Aptos" w:hAnsi="Calibri" w:cs="Calibri"/>
          <w:vertAlign w:val="superscript"/>
        </w:rPr>
        <w:t>,</w:t>
      </w:r>
      <w:r>
        <w:rPr>
          <w:rStyle w:val="FootnoteReference"/>
          <w:rFonts w:ascii="Calibri" w:eastAsia="Aptos" w:hAnsi="Calibri" w:cs="Calibri"/>
        </w:rPr>
        <w:footnoteReference w:id="17"/>
      </w:r>
      <w:r w:rsidRPr="00925062">
        <w:rPr>
          <w:rFonts w:ascii="Calibri" w:eastAsia="Aptos" w:hAnsi="Calibri" w:cs="Calibri"/>
        </w:rPr>
        <w:t>.</w:t>
      </w:r>
      <w:r w:rsidRPr="00925062">
        <w:rPr>
          <w:rFonts w:ascii="Calibri" w:eastAsia="Aptos" w:hAnsi="Calibri" w:cs="Calibri"/>
        </w:rPr>
        <w:t xml:space="preserve"> Alongside impacts on physical and mental health, family carers – in particular single parents and mothers – also report having to reduce or give up employment due to the</w:t>
      </w:r>
      <w:r w:rsidRPr="00925062">
        <w:rPr>
          <w:rFonts w:ascii="Calibri" w:eastAsia="Aptos" w:hAnsi="Calibri" w:cs="Calibri"/>
        </w:rPr>
        <w:t xml:space="preserve"> amount of work required to coordinate their child’s transition, impacting their finances</w:t>
      </w:r>
      <w:r w:rsidRPr="00925062">
        <w:rPr>
          <w:rFonts w:ascii="Calibri" w:eastAsia="Aptos" w:hAnsi="Calibri" w:cs="Calibri"/>
        </w:rPr>
        <w:t>. The literature we reviewed also identified this as an issue</w:t>
      </w:r>
      <w:r>
        <w:rPr>
          <w:rStyle w:val="FootnoteReference"/>
          <w:rFonts w:ascii="Calibri" w:eastAsia="Aptos" w:hAnsi="Calibri" w:cs="Calibri"/>
        </w:rPr>
        <w:footnoteReference w:id="18"/>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tbl>
      <w:tblPr>
        <w:tblStyle w:val="TableGrid"/>
        <w:tblW w:w="0" w:type="auto"/>
        <w:tblLook w:val="06A0"/>
      </w:tblPr>
      <w:tblGrid>
        <w:gridCol w:w="9015"/>
      </w:tblGrid>
      <w:tr w:rsidTr="24B037FF">
        <w:tblPrEx>
          <w:tblW w:w="0" w:type="auto"/>
          <w:tblLook w:val="06A0"/>
        </w:tblPrEx>
        <w:trPr>
          <w:trHeight w:val="300"/>
        </w:trPr>
        <w:tc>
          <w:tcPr>
            <w:tcW w:w="9015" w:type="dxa"/>
          </w:tcPr>
          <w:p w:rsidR="00B6724D" w:rsidRPr="00925062" w:rsidP="00925062">
            <w:pPr>
              <w:spacing w:line="288" w:lineRule="auto"/>
              <w:contextualSpacing/>
              <w:jc w:val="center"/>
              <w:rPr>
                <w:rFonts w:ascii="Calibri" w:hAnsi="Calibri" w:cs="Calibri"/>
              </w:rPr>
            </w:pPr>
            <w:r w:rsidRPr="00925062">
              <w:rPr>
                <w:rFonts w:ascii="Calibri" w:hAnsi="Calibri" w:cs="Calibri"/>
              </w:rPr>
              <w:t xml:space="preserve">“Like many families who care for a child with a severe learning disability we struggle to get through the week, so thinking beyond the present day or having time to research and navigate the next steps is really challenging.” </w:t>
            </w:r>
            <w:r w:rsidRPr="00925062">
              <w:rPr>
                <w:rFonts w:ascii="Calibri" w:hAnsi="Calibri" w:cs="Calibri"/>
              </w:rPr>
              <w:t>- f</w:t>
            </w:r>
            <w:r w:rsidRPr="00925062">
              <w:rPr>
                <w:rFonts w:ascii="Calibri" w:hAnsi="Calibri" w:cs="Calibri"/>
              </w:rPr>
              <w:t>amily carer</w:t>
            </w:r>
          </w:p>
        </w:tc>
      </w:tr>
    </w:tbl>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7c. </w:t>
      </w:r>
      <w:r w:rsidRPr="00925062">
        <w:rPr>
          <w:rFonts w:ascii="Calibri" w:eastAsia="Aptos" w:hAnsi="Calibri" w:cs="Calibri"/>
        </w:rPr>
        <w:t xml:space="preserve">Engagement </w:t>
      </w:r>
      <w:r w:rsidRPr="00925062">
        <w:rPr>
          <w:rFonts w:ascii="Calibri" w:eastAsia="Aptos" w:hAnsi="Calibri" w:cs="Calibri"/>
        </w:rPr>
        <w:t xml:space="preserve">we have carried out </w:t>
      </w:r>
      <w:r w:rsidRPr="00925062">
        <w:rPr>
          <w:rFonts w:ascii="Calibri" w:eastAsia="Aptos" w:hAnsi="Calibri" w:cs="Calibri"/>
        </w:rPr>
        <w:t xml:space="preserve">with a range of families and professionals suggests that the transition coordinator should be sufficiently senior to be able to </w:t>
      </w:r>
      <w:r w:rsidRPr="00925062">
        <w:rPr>
          <w:rFonts w:ascii="Calibri" w:eastAsia="Aptos" w:hAnsi="Calibri" w:cs="Calibri"/>
        </w:rPr>
        <w:t xml:space="preserve">hold the range of services that need to be involved in transition accountable for </w:t>
      </w:r>
      <w:r w:rsidRPr="00925062">
        <w:rPr>
          <w:rFonts w:ascii="Calibri" w:eastAsia="Aptos" w:hAnsi="Calibri" w:cs="Calibri"/>
        </w:rPr>
        <w:t>supporting the transition process and escalating and resolving any disputes or gaps between services.</w:t>
      </w:r>
    </w:p>
    <w:p w:rsidR="00B6724D" w:rsidRPr="00925062" w:rsidP="00925062">
      <w:pPr>
        <w:spacing w:after="0" w:line="288" w:lineRule="auto"/>
        <w:jc w:val="center"/>
        <w:rPr>
          <w:rFonts w:ascii="Calibri" w:eastAsia="Aptos" w:hAnsi="Calibri" w:cs="Calibri"/>
          <w:b/>
          <w:bCs/>
        </w:rPr>
      </w:pPr>
      <w:r w:rsidRPr="00925062">
        <w:rPr>
          <w:rFonts w:ascii="Calibri" w:eastAsia="Aptos" w:hAnsi="Calibri" w:cs="Calibri"/>
          <w:b/>
          <w:bCs/>
        </w:rPr>
        <w:t>Enabling developmentally appropriate independence</w:t>
      </w:r>
    </w:p>
    <w:p w:rsidR="00B6724D" w:rsidRPr="00925062" w:rsidP="00925062">
      <w:pPr>
        <w:pStyle w:val="ListParagraph"/>
        <w:numPr>
          <w:ilvl w:val="0"/>
          <w:numId w:val="26"/>
        </w:numPr>
        <w:spacing w:after="0" w:line="288" w:lineRule="auto"/>
        <w:jc w:val="center"/>
        <w:rPr>
          <w:rFonts w:ascii="Calibri" w:hAnsi="Calibri" w:cs="Calibri"/>
        </w:rPr>
      </w:pPr>
      <w:r w:rsidRPr="00925062">
        <w:rPr>
          <w:rFonts w:ascii="Calibri" w:eastAsia="Aptos" w:hAnsi="Calibri" w:cs="Calibri"/>
          <w:u w:val="single"/>
        </w:rPr>
        <w:t>What are the consequences when transition support is absent or inconsistent?</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8a. Our report identified four key </w:t>
      </w:r>
      <w:r w:rsidRPr="00925062">
        <w:rPr>
          <w:rFonts w:ascii="Calibri" w:eastAsia="Aptos" w:hAnsi="Calibri" w:cs="Calibri"/>
        </w:rPr>
        <w:t>consequences of poor transitions:</w:t>
      </w:r>
    </w:p>
    <w:p w:rsidR="00B6724D" w:rsidRPr="00925062" w:rsidP="00925062">
      <w:pPr>
        <w:pStyle w:val="ListParagraph"/>
        <w:numPr>
          <w:ilvl w:val="0"/>
          <w:numId w:val="15"/>
        </w:numPr>
        <w:spacing w:after="0" w:line="288" w:lineRule="auto"/>
        <w:jc w:val="center"/>
        <w:rPr>
          <w:rFonts w:ascii="Calibri" w:eastAsia="Aptos" w:hAnsi="Calibri" w:cs="Calibri"/>
        </w:rPr>
      </w:pPr>
      <w:r w:rsidRPr="00925062">
        <w:rPr>
          <w:rFonts w:ascii="Calibri" w:eastAsia="Aptos" w:hAnsi="Calibri" w:cs="Calibri"/>
        </w:rPr>
        <w:t>Out-of-area placements</w:t>
      </w:r>
    </w:p>
    <w:p w:rsidR="00B6724D" w:rsidRPr="00925062" w:rsidP="00925062">
      <w:pPr>
        <w:pStyle w:val="ListParagraph"/>
        <w:numPr>
          <w:ilvl w:val="0"/>
          <w:numId w:val="15"/>
        </w:numPr>
        <w:spacing w:after="0" w:line="288" w:lineRule="auto"/>
        <w:jc w:val="center"/>
        <w:rPr>
          <w:rFonts w:ascii="Calibri" w:eastAsia="Aptos" w:hAnsi="Calibri" w:cs="Calibri"/>
        </w:rPr>
      </w:pPr>
      <w:r w:rsidRPr="00925062">
        <w:rPr>
          <w:rFonts w:ascii="Calibri" w:eastAsia="Aptos" w:hAnsi="Calibri" w:cs="Calibri"/>
        </w:rPr>
        <w:t>Exacerbated health inequalities</w:t>
      </w:r>
    </w:p>
    <w:p w:rsidR="00B6724D" w:rsidRPr="00925062" w:rsidP="00925062">
      <w:pPr>
        <w:pStyle w:val="ListParagraph"/>
        <w:numPr>
          <w:ilvl w:val="0"/>
          <w:numId w:val="15"/>
        </w:numPr>
        <w:spacing w:after="0" w:line="288" w:lineRule="auto"/>
        <w:jc w:val="center"/>
        <w:rPr>
          <w:rFonts w:ascii="Calibri" w:eastAsia="Aptos" w:hAnsi="Calibri" w:cs="Calibri"/>
        </w:rPr>
      </w:pPr>
      <w:r w:rsidRPr="00925062">
        <w:rPr>
          <w:rFonts w:ascii="Calibri" w:eastAsia="Aptos" w:hAnsi="Calibri" w:cs="Calibri"/>
        </w:rPr>
        <w:t>Admissions to inpatient hospitals</w:t>
      </w:r>
    </w:p>
    <w:p w:rsidR="00B6724D" w:rsidRPr="00925062" w:rsidP="00925062">
      <w:pPr>
        <w:pStyle w:val="ListParagraph"/>
        <w:numPr>
          <w:ilvl w:val="0"/>
          <w:numId w:val="15"/>
        </w:numPr>
        <w:spacing w:after="0" w:line="288" w:lineRule="auto"/>
        <w:jc w:val="center"/>
        <w:rPr>
          <w:rFonts w:ascii="Calibri" w:eastAsia="Aptos" w:hAnsi="Calibri" w:cs="Calibri"/>
        </w:rPr>
      </w:pPr>
      <w:r w:rsidRPr="00925062">
        <w:rPr>
          <w:rFonts w:ascii="Calibri" w:eastAsia="Aptos" w:hAnsi="Calibri" w:cs="Calibri"/>
        </w:rPr>
        <w:t>Impacts on families</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i/>
          <w:iCs/>
        </w:rPr>
      </w:pPr>
      <w:r w:rsidRPr="00925062">
        <w:rPr>
          <w:rFonts w:ascii="Calibri" w:eastAsia="Aptos" w:hAnsi="Calibri" w:cs="Calibri"/>
          <w:i/>
          <w:iCs/>
        </w:rPr>
        <w:t>Out-of-area placements</w:t>
      </w: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8b. Effective transitions which begin early, are well-coordinated and meaningfully involve the young person and their family should result in local areas having identified and/or developed suitable support for the </w:t>
      </w:r>
      <w:r w:rsidRPr="00925062">
        <w:rPr>
          <w:rFonts w:ascii="Calibri" w:eastAsia="Aptos" w:hAnsi="Calibri" w:cs="Calibri"/>
        </w:rPr>
        <w:t xml:space="preserve">young person once they have become an adult. </w:t>
      </w:r>
      <w:r w:rsidRPr="00925062">
        <w:rPr>
          <w:rFonts w:ascii="Calibri" w:eastAsia="Aptos" w:hAnsi="Calibri" w:cs="Calibri"/>
        </w:rPr>
        <w:t xml:space="preserve">Our report found that </w:t>
      </w:r>
      <w:r w:rsidRPr="00925062">
        <w:rPr>
          <w:rFonts w:ascii="Calibri" w:eastAsia="Aptos" w:hAnsi="Calibri" w:cs="Calibri"/>
        </w:rPr>
        <w:t xml:space="preserve">poor transitions – e.g., </w:t>
      </w:r>
      <w:r w:rsidRPr="00925062">
        <w:rPr>
          <w:rFonts w:ascii="Calibri" w:eastAsia="Aptos" w:hAnsi="Calibri" w:cs="Calibri"/>
        </w:rPr>
        <w:t>where planning did not</w:t>
      </w:r>
      <w:r w:rsidRPr="00925062">
        <w:rPr>
          <w:rFonts w:ascii="Calibri" w:eastAsia="Aptos" w:hAnsi="Calibri" w:cs="Calibri"/>
        </w:rPr>
        <w:t xml:space="preserve"> start until shortly before a young person turns 18, or where not all of the different </w:t>
      </w:r>
      <w:r w:rsidRPr="00925062">
        <w:rPr>
          <w:rFonts w:ascii="Calibri" w:eastAsia="Aptos" w:hAnsi="Calibri" w:cs="Calibri"/>
        </w:rPr>
        <w:t>parts of the system were sufficiently involved</w:t>
      </w:r>
      <w:r w:rsidRPr="00925062">
        <w:rPr>
          <w:rFonts w:ascii="Calibri" w:eastAsia="Aptos" w:hAnsi="Calibri" w:cs="Calibri"/>
        </w:rPr>
        <w:t xml:space="preserve"> – could result in local areas failing to develop th</w:t>
      </w:r>
      <w:r w:rsidRPr="00925062">
        <w:rPr>
          <w:rFonts w:ascii="Calibri" w:eastAsia="Aptos" w:hAnsi="Calibri" w:cs="Calibri"/>
        </w:rPr>
        <w:t>is support or ensure sufficient capacity locally, with young people consequently being placed out-of-area.</w:t>
      </w:r>
      <w:r w:rsidRPr="00925062">
        <w:rPr>
          <w:rFonts w:ascii="Calibri" w:eastAsia="Aptos" w:hAnsi="Calibri" w:cs="Calibri"/>
        </w:rPr>
        <w:t xml:space="preserve"> </w:t>
      </w:r>
      <w:r w:rsidRPr="00925062">
        <w:rPr>
          <w:rFonts w:ascii="Calibri" w:eastAsia="Aptos" w:hAnsi="Calibri" w:cs="Calibri"/>
        </w:rPr>
        <w:t>As well as often being more expensive than providing support in-area</w:t>
      </w:r>
      <w:r>
        <w:rPr>
          <w:rStyle w:val="FootnoteReference"/>
          <w:rFonts w:ascii="Calibri" w:eastAsia="Aptos" w:hAnsi="Calibri" w:cs="Calibri"/>
        </w:rPr>
        <w:footnoteReference w:id="19"/>
      </w:r>
      <w:r w:rsidRPr="00925062">
        <w:rPr>
          <w:rFonts w:ascii="Calibri" w:eastAsia="Aptos" w:hAnsi="Calibri" w:cs="Calibri"/>
        </w:rPr>
        <w:t>, t</w:t>
      </w:r>
      <w:r w:rsidRPr="00925062">
        <w:rPr>
          <w:rFonts w:ascii="Calibri" w:eastAsia="Aptos" w:hAnsi="Calibri" w:cs="Calibri"/>
        </w:rPr>
        <w:t xml:space="preserve">he impacts </w:t>
      </w:r>
      <w:r w:rsidRPr="00925062">
        <w:rPr>
          <w:rFonts w:ascii="Calibri" w:eastAsia="Aptos" w:hAnsi="Calibri" w:cs="Calibri"/>
        </w:rPr>
        <w:t xml:space="preserve">on people with learning disabilities </w:t>
      </w:r>
      <w:r w:rsidRPr="00925062">
        <w:rPr>
          <w:rFonts w:ascii="Calibri" w:eastAsia="Aptos" w:hAnsi="Calibri" w:cs="Calibri"/>
        </w:rPr>
        <w:t>of being placed out-of-area include weakened relationships with family, friends and communit</w:t>
      </w:r>
      <w:r w:rsidRPr="00925062">
        <w:rPr>
          <w:rFonts w:ascii="Calibri" w:eastAsia="Aptos" w:hAnsi="Calibri" w:cs="Calibri"/>
        </w:rPr>
        <w:t>y</w:t>
      </w:r>
      <w:r>
        <w:rPr>
          <w:rStyle w:val="FootnoteReference"/>
          <w:rFonts w:ascii="Calibri" w:eastAsia="Aptos" w:hAnsi="Calibri" w:cs="Calibri"/>
        </w:rPr>
        <w:footnoteReference w:id="20"/>
      </w:r>
      <w:r w:rsidRPr="00925062">
        <w:rPr>
          <w:rFonts w:ascii="Calibri" w:eastAsia="Aptos" w:hAnsi="Calibri" w:cs="Calibri"/>
          <w:vertAlign w:val="superscript"/>
        </w:rPr>
        <w:t>,</w:t>
      </w:r>
      <w:r>
        <w:rPr>
          <w:rStyle w:val="FootnoteReference"/>
          <w:rFonts w:ascii="Calibri" w:eastAsia="Aptos" w:hAnsi="Calibri" w:cs="Calibri"/>
        </w:rPr>
        <w:footnoteReference w:id="21"/>
      </w:r>
      <w:r w:rsidRPr="00925062">
        <w:rPr>
          <w:rFonts w:ascii="Calibri" w:eastAsia="Aptos" w:hAnsi="Calibri" w:cs="Calibri"/>
        </w:rPr>
        <w:t>. Out-of-area placements also create difficulties for</w:t>
      </w:r>
      <w:r w:rsidRPr="00925062">
        <w:rPr>
          <w:rFonts w:ascii="Calibri" w:eastAsia="Aptos" w:hAnsi="Calibri" w:cs="Calibri"/>
        </w:rPr>
        <w:t xml:space="preserve"> local authorities who have safeguarding and quality assurance responsibilities for </w:t>
      </w:r>
      <w:r w:rsidRPr="00925062">
        <w:rPr>
          <w:rFonts w:ascii="Calibri" w:eastAsia="Aptos" w:hAnsi="Calibri" w:cs="Calibri"/>
        </w:rPr>
        <w:t xml:space="preserve">people </w:t>
      </w:r>
      <w:r w:rsidRPr="00925062">
        <w:rPr>
          <w:rFonts w:ascii="Calibri" w:eastAsia="Aptos" w:hAnsi="Calibri" w:cs="Calibri"/>
        </w:rPr>
        <w:t xml:space="preserve">originally </w:t>
      </w:r>
      <w:r w:rsidRPr="00925062">
        <w:rPr>
          <w:rFonts w:ascii="Calibri" w:eastAsia="Aptos" w:hAnsi="Calibri" w:cs="Calibri"/>
        </w:rPr>
        <w:t>from their area</w:t>
      </w:r>
      <w:r w:rsidRPr="00925062">
        <w:rPr>
          <w:rFonts w:ascii="Calibri" w:eastAsia="Aptos" w:hAnsi="Calibri" w:cs="Calibri"/>
        </w:rPr>
        <w:t>, with evidence suggesting people with learning disabilities who are living in out-of-area placements may be at greater risk of abuse</w:t>
      </w:r>
      <w:r>
        <w:rPr>
          <w:rStyle w:val="FootnoteReference"/>
          <w:rFonts w:ascii="Calibri" w:eastAsia="Aptos" w:hAnsi="Calibri" w:cs="Calibri"/>
        </w:rPr>
        <w:footnoteReference w:id="22"/>
      </w:r>
      <w:r w:rsidRPr="00925062">
        <w:rPr>
          <w:rFonts w:ascii="Calibri" w:eastAsia="Aptos" w:hAnsi="Calibri" w:cs="Calibri"/>
          <w:vertAlign w:val="superscript"/>
        </w:rPr>
        <w:t>,</w:t>
      </w:r>
      <w:r>
        <w:rPr>
          <w:rStyle w:val="FootnoteReference"/>
          <w:rFonts w:ascii="Calibri" w:eastAsia="Aptos" w:hAnsi="Calibri" w:cs="Calibri"/>
        </w:rPr>
        <w:footnoteReference w:id="23"/>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p>
    <w:tbl>
      <w:tblPr>
        <w:tblStyle w:val="TableGrid"/>
        <w:tblW w:w="0" w:type="auto"/>
        <w:tblLook w:val="06A0"/>
      </w:tblPr>
      <w:tblGrid>
        <w:gridCol w:w="9015"/>
      </w:tblGrid>
      <w:tr w:rsidTr="24B037FF">
        <w:tblPrEx>
          <w:tblW w:w="0" w:type="auto"/>
          <w:tblLook w:val="06A0"/>
        </w:tblPrEx>
        <w:trPr>
          <w:trHeight w:val="300"/>
        </w:trPr>
        <w:tc>
          <w:tcPr>
            <w:tcW w:w="901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Example</w:t>
            </w:r>
          </w:p>
          <w:p w:rsidR="00B6724D" w:rsidRPr="00925062" w:rsidP="00925062">
            <w:pPr>
              <w:spacing w:line="288" w:lineRule="auto"/>
              <w:contextualSpacing/>
              <w:jc w:val="center"/>
              <w:rPr>
                <w:rFonts w:ascii="Calibri" w:eastAsia="Aptos" w:hAnsi="Calibri" w:cs="Calibri"/>
              </w:rPr>
            </w:pPr>
          </w:p>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P, who has a severe learning disability and visual impairment, experienced an out-of-area placement due to a disjointed approach and delayed decision making. </w:t>
            </w:r>
            <w:r w:rsidRPr="00925062">
              <w:rPr>
                <w:rFonts w:ascii="Calibri" w:eastAsia="Aptos" w:hAnsi="Calibri" w:cs="Calibri"/>
              </w:rPr>
              <w:t xml:space="preserve">P’s family worked with the CBF to create a timeline and diagram showing how these failures contributed to her being placed out-of-area, </w:t>
            </w:r>
            <w:r w:rsidRPr="00925062">
              <w:rPr>
                <w:rFonts w:ascii="Calibri" w:eastAsia="Aptos" w:hAnsi="Calibri" w:cs="Calibri"/>
              </w:rPr>
              <w:t xml:space="preserve">which can be viewed </w:t>
            </w:r>
            <w:r>
              <w:fldChar w:fldCharType="begin"/>
            </w:r>
            <w:r>
              <w:instrText xml:space="preserve"> HYPERLINK "https://www.challengingbehaviour.org.uk/wp-content/uploads/2025/07/Final-Transition-Journey-case-study-P.pdf" </w:instrText>
            </w:r>
            <w:r>
              <w:fldChar w:fldCharType="separate"/>
            </w:r>
            <w:r w:rsidRPr="00925062">
              <w:rPr>
                <w:rStyle w:val="Hyperlink"/>
                <w:rFonts w:ascii="Calibri" w:eastAsia="Aptos" w:hAnsi="Calibri" w:cs="Calibri"/>
                <w:color w:val="auto"/>
              </w:rPr>
              <w:t>here</w:t>
            </w:r>
            <w:r>
              <w:fldChar w:fldCharType="end"/>
            </w:r>
            <w:r w:rsidRPr="00925062">
              <w:rPr>
                <w:rFonts w:ascii="Calibri" w:eastAsia="Aptos" w:hAnsi="Calibri" w:cs="Calibri"/>
              </w:rPr>
              <w:t>.</w:t>
            </w:r>
          </w:p>
          <w:p w:rsidR="00B6724D" w:rsidRPr="00925062" w:rsidP="00925062">
            <w:pPr>
              <w:spacing w:line="288" w:lineRule="auto"/>
              <w:contextualSpacing/>
              <w:jc w:val="center"/>
              <w:rPr>
                <w:rFonts w:ascii="Calibri" w:eastAsia="Aptos" w:hAnsi="Calibri" w:cs="Calibri"/>
              </w:rPr>
            </w:pPr>
          </w:p>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P’s family say that the following things would have improved her experiences of transition:</w:t>
            </w:r>
          </w:p>
          <w:p w:rsidR="00B6724D" w:rsidRPr="00925062" w:rsidP="00925062">
            <w:pPr>
              <w:pStyle w:val="ListParagraph"/>
              <w:numPr>
                <w:ilvl w:val="0"/>
                <w:numId w:val="5"/>
              </w:numPr>
              <w:spacing w:line="288" w:lineRule="auto"/>
              <w:jc w:val="center"/>
              <w:rPr>
                <w:rFonts w:ascii="Calibri" w:eastAsia="Aptos" w:hAnsi="Calibri" w:cs="Calibri"/>
              </w:rPr>
            </w:pPr>
            <w:r w:rsidRPr="00925062">
              <w:rPr>
                <w:rFonts w:ascii="Calibri" w:eastAsia="Aptos" w:hAnsi="Calibri" w:cs="Calibri"/>
              </w:rPr>
              <w:t>Involving, listening to and valuing the expertise and experience of P’s family</w:t>
            </w:r>
          </w:p>
          <w:p w:rsidR="00B6724D" w:rsidRPr="00925062" w:rsidP="00925062">
            <w:pPr>
              <w:pStyle w:val="ListParagraph"/>
              <w:numPr>
                <w:ilvl w:val="0"/>
                <w:numId w:val="5"/>
              </w:numPr>
              <w:spacing w:line="288" w:lineRule="auto"/>
              <w:jc w:val="center"/>
              <w:rPr>
                <w:rFonts w:ascii="Calibri" w:eastAsia="Aptos" w:hAnsi="Calibri" w:cs="Calibri"/>
              </w:rPr>
            </w:pPr>
            <w:r w:rsidRPr="00925062">
              <w:rPr>
                <w:rFonts w:ascii="Calibri" w:eastAsia="Aptos" w:hAnsi="Calibri" w:cs="Calibri"/>
              </w:rPr>
              <w:t>A named transition coordinator to liaise between health and social care and escalate disputes for resolution in a timely manner</w:t>
            </w:r>
          </w:p>
          <w:p w:rsidR="00B6724D" w:rsidRPr="00925062" w:rsidP="00925062">
            <w:pPr>
              <w:pStyle w:val="ListParagraph"/>
              <w:numPr>
                <w:ilvl w:val="0"/>
                <w:numId w:val="5"/>
              </w:numPr>
              <w:spacing w:line="288" w:lineRule="auto"/>
              <w:jc w:val="center"/>
              <w:rPr>
                <w:rFonts w:ascii="Calibri" w:eastAsia="Aptos" w:hAnsi="Calibri" w:cs="Calibri"/>
              </w:rPr>
            </w:pPr>
            <w:r w:rsidRPr="00925062">
              <w:rPr>
                <w:rFonts w:ascii="Calibri" w:eastAsia="Aptos" w:hAnsi="Calibri" w:cs="Calibri"/>
              </w:rPr>
              <w:t>Social care involvement from the age of 14 to plan P’s transition</w:t>
            </w:r>
          </w:p>
        </w:tc>
      </w:tr>
    </w:tbl>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i/>
          <w:iCs/>
        </w:rPr>
      </w:pPr>
      <w:r w:rsidRPr="00925062">
        <w:rPr>
          <w:rFonts w:ascii="Calibri" w:eastAsia="Aptos" w:hAnsi="Calibri" w:cs="Calibri"/>
          <w:i/>
          <w:iCs/>
        </w:rPr>
        <w:t>Exacerbated health inequalities</w:t>
      </w: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8c. People with a learning disability experience significant health and social inequalities.</w:t>
      </w:r>
      <w:r w:rsidRPr="00925062">
        <w:rPr>
          <w:rFonts w:ascii="Calibri" w:eastAsia="Aptos" w:hAnsi="Calibri" w:cs="Calibri"/>
        </w:rPr>
        <w:t xml:space="preserve"> </w:t>
      </w:r>
      <w:r w:rsidRPr="00925062">
        <w:rPr>
          <w:rFonts w:ascii="Calibri" w:eastAsia="Aptos" w:hAnsi="Calibri" w:cs="Calibri"/>
        </w:rPr>
        <w:t>In 2</w:t>
      </w:r>
      <w:r w:rsidRPr="00925062">
        <w:rPr>
          <w:rFonts w:ascii="Calibri" w:eastAsia="Aptos" w:hAnsi="Calibri" w:cs="Calibri"/>
        </w:rPr>
        <w:t>023, 40% of deaths of people with a learning disability were avoidable – nearly double the general population</w:t>
      </w:r>
      <w:r>
        <w:rPr>
          <w:rStyle w:val="FootnoteReference"/>
          <w:rFonts w:ascii="Calibri" w:eastAsia="Aptos" w:hAnsi="Calibri" w:cs="Calibri"/>
        </w:rPr>
        <w:footnoteReference w:id="24"/>
      </w:r>
      <w:r w:rsidRPr="00925062">
        <w:rPr>
          <w:rFonts w:ascii="Calibri" w:eastAsia="Aptos" w:hAnsi="Calibri" w:cs="Calibri"/>
        </w:rPr>
        <w:t xml:space="preserve">. </w:t>
      </w:r>
      <w:r w:rsidRPr="00925062">
        <w:rPr>
          <w:rFonts w:ascii="Calibri" w:eastAsia="Aptos" w:hAnsi="Calibri" w:cs="Calibri"/>
        </w:rPr>
        <w:t>Young people (13-24) with learning disabilities are significantly more likely to experience health issues than young people without learning disabilities</w:t>
      </w:r>
      <w:r>
        <w:rPr>
          <w:rStyle w:val="FootnoteReference"/>
          <w:rFonts w:ascii="Calibri" w:eastAsia="Aptos" w:hAnsi="Calibri" w:cs="Calibri"/>
        </w:rPr>
        <w:footnoteReference w:id="25"/>
      </w:r>
      <w:r w:rsidRPr="00925062">
        <w:rPr>
          <w:rFonts w:ascii="Calibri" w:eastAsia="Aptos" w:hAnsi="Calibri" w:cs="Calibri"/>
        </w:rPr>
        <w:t>, and people with more severe learning disabilities are likely to have more health issues than people with milder learning disabilities</w:t>
      </w:r>
      <w:r>
        <w:rPr>
          <w:rStyle w:val="FootnoteReference"/>
          <w:rFonts w:ascii="Calibri" w:eastAsia="Aptos" w:hAnsi="Calibri" w:cs="Calibri"/>
        </w:rPr>
        <w:footnoteReference w:id="26"/>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i/>
          <w:iCs/>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8d. As discussed previously, t</w:t>
      </w:r>
      <w:r w:rsidRPr="00925062">
        <w:rPr>
          <w:rFonts w:ascii="Calibri" w:eastAsia="Aptos" w:hAnsi="Calibri" w:cs="Calibri"/>
        </w:rPr>
        <w:t>he gap in eligibility for health services between 16 and 18 creates significant barriers to accessing healthcare</w:t>
      </w:r>
      <w:r w:rsidRPr="00925062">
        <w:rPr>
          <w:rFonts w:ascii="Calibri" w:eastAsia="Aptos" w:hAnsi="Calibri" w:cs="Calibri"/>
        </w:rPr>
        <w:t>.</w:t>
      </w:r>
      <w:r w:rsidRPr="00925062">
        <w:rPr>
          <w:rFonts w:ascii="Calibri" w:eastAsia="Aptos" w:hAnsi="Calibri" w:cs="Calibri"/>
        </w:rPr>
        <w:t xml:space="preserve"> Health inequalities are further exacerbated by failures to identify where a young person will live following transition to adult services, which can</w:t>
      </w:r>
      <w:r w:rsidRPr="00925062">
        <w:rPr>
          <w:rFonts w:ascii="Calibri" w:eastAsia="Aptos" w:hAnsi="Calibri" w:cs="Calibri"/>
        </w:rPr>
        <w:t xml:space="preserve"> make it difficult to e.g., access a GP or dentist (where eligibility is based on geographical location)</w:t>
      </w:r>
      <w:r>
        <w:rPr>
          <w:rStyle w:val="FootnoteReference"/>
          <w:rFonts w:ascii="Calibri" w:eastAsia="Aptos" w:hAnsi="Calibri" w:cs="Calibri"/>
        </w:rPr>
        <w:footnoteReference w:id="27"/>
      </w:r>
      <w:r w:rsidRPr="00925062">
        <w:rPr>
          <w:rFonts w:ascii="Calibri" w:eastAsia="Aptos" w:hAnsi="Calibri" w:cs="Calibri"/>
        </w:rPr>
        <w:t>.</w:t>
      </w:r>
      <w:r w:rsidRPr="00925062">
        <w:rPr>
          <w:rFonts w:ascii="Calibri" w:eastAsia="Aptos" w:hAnsi="Calibri" w:cs="Calibri"/>
        </w:rPr>
        <w:t xml:space="preserve"> Children, young people and adults have an increased likelihood of physical and mental health conditions which can often need long-term care</w:t>
      </w:r>
      <w:r>
        <w:rPr>
          <w:rStyle w:val="FootnoteReference"/>
          <w:rFonts w:ascii="Calibri" w:eastAsia="Aptos" w:hAnsi="Calibri" w:cs="Calibri"/>
        </w:rPr>
        <w:footnoteReference w:id="28"/>
      </w:r>
      <w:r w:rsidRPr="00925062">
        <w:rPr>
          <w:rFonts w:ascii="Calibri" w:eastAsia="Aptos" w:hAnsi="Calibri" w:cs="Calibri"/>
        </w:rPr>
        <w:t xml:space="preserve">, </w:t>
      </w:r>
      <w:r w:rsidRPr="00925062">
        <w:rPr>
          <w:rFonts w:ascii="Calibri" w:eastAsia="Aptos" w:hAnsi="Calibri" w:cs="Calibri"/>
        </w:rPr>
        <w:t xml:space="preserve">and </w:t>
      </w:r>
      <w:r w:rsidRPr="00925062">
        <w:rPr>
          <w:rFonts w:ascii="Calibri" w:eastAsia="Aptos" w:hAnsi="Calibri" w:cs="Calibri"/>
        </w:rPr>
        <w:t>where continuity of healthcare is disrupted (e.g., by poorly planned transitions to adult health services) this can have significant health impacts on young people with learning disabilities</w:t>
      </w:r>
      <w:r>
        <w:rPr>
          <w:rStyle w:val="FootnoteReference"/>
          <w:rFonts w:ascii="Calibri" w:eastAsia="Aptos" w:hAnsi="Calibri" w:cs="Calibri"/>
        </w:rPr>
        <w:footnoteReference w:id="29"/>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i/>
          <w:iCs/>
        </w:rPr>
      </w:pPr>
      <w:r w:rsidRPr="00925062">
        <w:rPr>
          <w:rFonts w:ascii="Calibri" w:eastAsia="Aptos" w:hAnsi="Calibri" w:cs="Calibri"/>
          <w:i/>
          <w:iCs/>
        </w:rPr>
        <w:t>Admissions to inpatient hospitals</w:t>
      </w: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8e. We have supported many families where, following poor transitions, their relative was admitted to </w:t>
      </w:r>
      <w:r w:rsidRPr="00925062">
        <w:rPr>
          <w:rFonts w:ascii="Calibri" w:eastAsia="Aptos" w:hAnsi="Calibri" w:cs="Calibri"/>
        </w:rPr>
        <w:t xml:space="preserve">an inpatient </w:t>
      </w:r>
      <w:r w:rsidRPr="00925062">
        <w:rPr>
          <w:rFonts w:ascii="Calibri" w:eastAsia="Aptos" w:hAnsi="Calibri" w:cs="Calibri"/>
        </w:rPr>
        <w:t>hospital</w:t>
      </w:r>
      <w:r w:rsidRPr="00925062">
        <w:rPr>
          <w:rFonts w:ascii="Calibri" w:eastAsia="Aptos" w:hAnsi="Calibri" w:cs="Calibri"/>
        </w:rPr>
        <w:t xml:space="preserve"> when this could otherwise have been avoided. A review of inpatient serv</w:t>
      </w:r>
      <w:r w:rsidRPr="00925062">
        <w:rPr>
          <w:rFonts w:ascii="Calibri" w:eastAsia="Aptos" w:hAnsi="Calibri" w:cs="Calibri"/>
        </w:rPr>
        <w:t xml:space="preserve">ices for people with learning disabilities, autistic people and people with mental health conditions by CQC in 2020 identified that poor transitions to adulthood were a key </w:t>
      </w:r>
      <w:r w:rsidRPr="00925062">
        <w:rPr>
          <w:rFonts w:ascii="Calibri" w:eastAsia="Aptos" w:hAnsi="Calibri" w:cs="Calibri"/>
        </w:rPr>
        <w:t>crisis point leading to admissions to hospital</w:t>
      </w:r>
      <w:r>
        <w:rPr>
          <w:rStyle w:val="FootnoteReference"/>
          <w:rFonts w:ascii="Calibri" w:eastAsia="Aptos" w:hAnsi="Calibri" w:cs="Calibri"/>
        </w:rPr>
        <w:footnoteReference w:id="30"/>
      </w:r>
      <w:r w:rsidRPr="00925062">
        <w:rPr>
          <w:rFonts w:ascii="Calibri" w:eastAsia="Aptos" w:hAnsi="Calibri" w:cs="Calibri"/>
        </w:rPr>
        <w:t>. Under</w:t>
      </w:r>
      <w:r w:rsidRPr="00925062">
        <w:rPr>
          <w:rFonts w:ascii="Calibri" w:eastAsia="Aptos" w:hAnsi="Calibri" w:cs="Calibri"/>
        </w:rPr>
        <w:t xml:space="preserve"> the current Mental Health Act, people with learning disabilities can be admitted to hospital if their learning disability is associated with behaviour that challenges</w:t>
      </w:r>
      <w:r w:rsidRPr="00925062">
        <w:rPr>
          <w:rFonts w:ascii="Calibri" w:eastAsia="Aptos" w:hAnsi="Calibri" w:cs="Calibri"/>
        </w:rPr>
        <w:t>, even if they do not have a mental health condition</w:t>
      </w:r>
      <w:r w:rsidRPr="00925062">
        <w:rPr>
          <w:rFonts w:ascii="Calibri" w:eastAsia="Aptos" w:hAnsi="Calibri" w:cs="Calibri"/>
        </w:rPr>
        <w:t xml:space="preserve"> (while the Mental Health Act 2025 seeks to amend this, the provisions relating to </w:t>
      </w:r>
      <w:r w:rsidRPr="00925062">
        <w:rPr>
          <w:rFonts w:ascii="Calibri" w:eastAsia="Aptos" w:hAnsi="Calibri" w:cs="Calibri"/>
        </w:rPr>
        <w:t>people with learning disabilities and autistic people have not yet been enacted and are not expected to be enacted for a decade).</w:t>
      </w:r>
      <w:r w:rsidRPr="00925062">
        <w:rPr>
          <w:rFonts w:ascii="Calibri" w:eastAsia="Aptos" w:hAnsi="Calibri" w:cs="Calibri"/>
        </w:rPr>
        <w:t xml:space="preserve"> </w:t>
      </w:r>
      <w:r w:rsidRPr="00925062">
        <w:rPr>
          <w:rFonts w:ascii="Calibri" w:eastAsia="Aptos" w:hAnsi="Calibri" w:cs="Calibri"/>
        </w:rPr>
        <w:t>Many families that we support whose relative has been admitted to an inpa</w:t>
      </w:r>
      <w:r w:rsidRPr="00925062">
        <w:rPr>
          <w:rFonts w:ascii="Calibri" w:eastAsia="Aptos" w:hAnsi="Calibri" w:cs="Calibri"/>
        </w:rPr>
        <w:t xml:space="preserve">tient hospital </w:t>
      </w:r>
      <w:r w:rsidRPr="00925062">
        <w:rPr>
          <w:rFonts w:ascii="Calibri" w:eastAsia="Aptos" w:hAnsi="Calibri" w:cs="Calibri"/>
        </w:rPr>
        <w:t xml:space="preserve">have told us that their relative </w:t>
      </w:r>
      <w:r w:rsidRPr="00925062">
        <w:rPr>
          <w:rFonts w:ascii="Calibri" w:eastAsia="Aptos" w:hAnsi="Calibri" w:cs="Calibri"/>
        </w:rPr>
        <w:t>was admitted not because they needed to be in hospital, but because there was not suitable support available in their community</w:t>
      </w:r>
      <w:r w:rsidRPr="00925062">
        <w:rPr>
          <w:rFonts w:ascii="Calibri" w:eastAsia="Aptos" w:hAnsi="Calibri" w:cs="Calibri"/>
        </w:rPr>
        <w:t xml:space="preserve"> (particularly if e.g., challenging behaviour increased and/or there was damage to property)</w:t>
      </w:r>
      <w:r w:rsidRPr="00925062">
        <w:rPr>
          <w:rFonts w:ascii="Calibri" w:eastAsia="Aptos" w:hAnsi="Calibri" w:cs="Calibri"/>
        </w:rPr>
        <w:t xml:space="preserve"> and hospital was the only available place for them to go</w:t>
      </w:r>
      <w:r>
        <w:rPr>
          <w:rStyle w:val="FootnoteReference"/>
          <w:rFonts w:ascii="Calibri" w:eastAsia="Aptos" w:hAnsi="Calibri" w:cs="Calibri"/>
        </w:rPr>
        <w:footnoteReference w:id="31"/>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8f. </w:t>
      </w:r>
      <w:r w:rsidRPr="00925062">
        <w:rPr>
          <w:rFonts w:ascii="Calibri" w:eastAsia="Aptos" w:hAnsi="Calibri" w:cs="Calibri"/>
        </w:rPr>
        <w:t>Factors that increase the likelihood of behaviours that challenge developing include changes to environment (</w:t>
      </w:r>
      <w:r w:rsidRPr="00925062">
        <w:rPr>
          <w:rFonts w:ascii="Calibri" w:eastAsia="Aptos" w:hAnsi="Calibri" w:cs="Calibri"/>
        </w:rPr>
        <w:t>e.g., significant staff changes, moving to a new care setting) and staff not having capacity or resources to respond to need</w:t>
      </w:r>
      <w:r>
        <w:rPr>
          <w:rStyle w:val="FootnoteReference"/>
          <w:rFonts w:ascii="Calibri" w:eastAsia="Aptos" w:hAnsi="Calibri" w:cs="Calibri"/>
        </w:rPr>
        <w:footnoteReference w:id="32"/>
      </w:r>
      <w:r w:rsidRPr="00925062">
        <w:rPr>
          <w:rFonts w:ascii="Calibri" w:eastAsia="Aptos" w:hAnsi="Calibri" w:cs="Calibri"/>
        </w:rPr>
        <w:t xml:space="preserve">. When transitions are poorly planned (for example, if they are rushed because planning began too late) this can </w:t>
      </w:r>
      <w:r w:rsidRPr="00925062">
        <w:rPr>
          <w:rFonts w:ascii="Calibri" w:eastAsia="Aptos" w:hAnsi="Calibri" w:cs="Calibri"/>
        </w:rPr>
        <w:t>therefore lead to increased behaviours that challenge, breakdowns in support, and otherwise-avoidable admissions to hospital.</w:t>
      </w:r>
    </w:p>
    <w:p w:rsidR="00B6724D" w:rsidRPr="00925062" w:rsidP="00925062">
      <w:pPr>
        <w:spacing w:after="0" w:line="288" w:lineRule="auto"/>
        <w:contextualSpacing/>
        <w:jc w:val="center"/>
        <w:rPr>
          <w:rFonts w:ascii="Calibri" w:eastAsia="Aptos" w:hAnsi="Calibri" w:cs="Calibri"/>
        </w:rPr>
      </w:pPr>
    </w:p>
    <w:tbl>
      <w:tblPr>
        <w:tblStyle w:val="TableGrid"/>
        <w:tblW w:w="0" w:type="auto"/>
        <w:tblLook w:val="06A0"/>
      </w:tblPr>
      <w:tblGrid>
        <w:gridCol w:w="3005"/>
        <w:gridCol w:w="3005"/>
        <w:gridCol w:w="3005"/>
      </w:tblGrid>
      <w:tr w:rsidTr="24B037FF">
        <w:tblPrEx>
          <w:tblW w:w="0" w:type="auto"/>
          <w:tblLook w:val="06A0"/>
        </w:tblPrEx>
        <w:trPr>
          <w:trHeight w:val="300"/>
        </w:trPr>
        <w:tc>
          <w:tcPr>
            <w:tcW w:w="9015" w:type="dxa"/>
            <w:gridSpan w:val="3"/>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NHS Digital Assuring Transformation Dataset, March 2026</w:t>
            </w:r>
            <w:r>
              <w:rPr>
                <w:rStyle w:val="FootnoteReference"/>
                <w:rFonts w:ascii="Calibri" w:eastAsia="Aptos" w:hAnsi="Calibri" w:cs="Calibri"/>
              </w:rPr>
              <w:footnoteReference w:id="33"/>
            </w:r>
          </w:p>
        </w:tc>
      </w:tr>
      <w:tr w:rsidTr="24B037FF">
        <w:tblPrEx>
          <w:tblW w:w="0" w:type="auto"/>
          <w:tblLook w:val="06A0"/>
        </w:tblPrEx>
        <w:trPr>
          <w:trHeight w:val="300"/>
        </w:trPr>
        <w:tc>
          <w:tcPr>
            <w:tcW w:w="300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Under-18s with learning disabilities and/or who are autistic in hospital: </w:t>
            </w:r>
            <w:r w:rsidRPr="00925062">
              <w:rPr>
                <w:rFonts w:ascii="Calibri" w:eastAsia="Aptos" w:hAnsi="Calibri" w:cs="Calibri"/>
                <w:b/>
                <w:bCs/>
              </w:rPr>
              <w:t>210</w:t>
            </w:r>
          </w:p>
        </w:tc>
        <w:tc>
          <w:tcPr>
            <w:tcW w:w="300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18-24-year-olds with learning disabilities and/or who are autistic in hospital: </w:t>
            </w:r>
            <w:r w:rsidRPr="00925062">
              <w:rPr>
                <w:rFonts w:ascii="Calibri" w:eastAsia="Aptos" w:hAnsi="Calibri" w:cs="Calibri"/>
                <w:b/>
                <w:bCs/>
              </w:rPr>
              <w:t>460</w:t>
            </w:r>
          </w:p>
        </w:tc>
        <w:tc>
          <w:tcPr>
            <w:tcW w:w="300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Increase of </w:t>
            </w:r>
            <w:r w:rsidRPr="00925062">
              <w:rPr>
                <w:rFonts w:ascii="Calibri" w:eastAsia="Aptos" w:hAnsi="Calibri" w:cs="Calibri"/>
                <w:b/>
                <w:bCs/>
              </w:rPr>
              <w:t>119%</w:t>
            </w:r>
          </w:p>
        </w:tc>
      </w:tr>
      <w:tr w:rsidTr="24B037FF">
        <w:tblPrEx>
          <w:tblW w:w="0" w:type="auto"/>
          <w:tblLook w:val="06A0"/>
        </w:tblPrEx>
        <w:trPr>
          <w:trHeight w:val="300"/>
        </w:trPr>
        <w:tc>
          <w:tcPr>
            <w:tcW w:w="300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Total number of people with learning disabilities and/or who are autistic in hospital: </w:t>
            </w:r>
            <w:r w:rsidRPr="00925062">
              <w:rPr>
                <w:rFonts w:ascii="Calibri" w:eastAsia="Aptos" w:hAnsi="Calibri" w:cs="Calibri"/>
                <w:b/>
                <w:bCs/>
              </w:rPr>
              <w:t>2115</w:t>
            </w:r>
          </w:p>
        </w:tc>
        <w:tc>
          <w:tcPr>
            <w:tcW w:w="300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18–24-year-olds with learning disabilities and/or who are autistic in hospital: </w:t>
            </w:r>
            <w:r w:rsidRPr="00925062">
              <w:rPr>
                <w:rFonts w:ascii="Calibri" w:eastAsia="Aptos" w:hAnsi="Calibri" w:cs="Calibri"/>
                <w:b/>
                <w:bCs/>
              </w:rPr>
              <w:t>460</w:t>
            </w:r>
          </w:p>
        </w:tc>
        <w:tc>
          <w:tcPr>
            <w:tcW w:w="300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b/>
                <w:bCs/>
              </w:rPr>
              <w:t>More than 1/5</w:t>
            </w:r>
            <w:r w:rsidRPr="00925062">
              <w:rPr>
                <w:rFonts w:ascii="Calibri" w:eastAsia="Aptos" w:hAnsi="Calibri" w:cs="Calibri"/>
              </w:rPr>
              <w:t xml:space="preserve"> of people with learning disabilities and/or who are autistic in hospital are aged 18-24</w:t>
            </w:r>
          </w:p>
        </w:tc>
      </w:tr>
    </w:tbl>
    <w:p w:rsidR="00B6724D" w:rsidRPr="00925062" w:rsidP="00925062">
      <w:pPr>
        <w:spacing w:after="0" w:line="288" w:lineRule="auto"/>
        <w:contextualSpacing/>
        <w:jc w:val="center"/>
        <w:rPr>
          <w:rFonts w:ascii="Calibri" w:eastAsia="Aptos" w:hAnsi="Calibri" w:cs="Calibri"/>
          <w:i/>
          <w:iCs/>
        </w:rPr>
      </w:pPr>
    </w:p>
    <w:p w:rsidR="00B6724D" w:rsidRPr="00925062" w:rsidP="00925062">
      <w:pPr>
        <w:spacing w:after="0" w:line="288" w:lineRule="auto"/>
        <w:contextualSpacing/>
        <w:jc w:val="center"/>
        <w:rPr>
          <w:rFonts w:ascii="Calibri" w:eastAsia="Aptos" w:hAnsi="Calibri" w:cs="Calibri"/>
          <w:i/>
          <w:iCs/>
        </w:rPr>
      </w:pPr>
      <w:r w:rsidRPr="00925062">
        <w:rPr>
          <w:rFonts w:ascii="Calibri" w:eastAsia="Aptos" w:hAnsi="Calibri" w:cs="Calibri"/>
          <w:i/>
          <w:iCs/>
        </w:rPr>
        <w:t>Impact on families</w:t>
      </w: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8g. Families we support have told us that the impact on them of poor transitions is sign</w:t>
      </w:r>
      <w:r w:rsidRPr="00925062">
        <w:rPr>
          <w:rFonts w:ascii="Calibri" w:eastAsia="Aptos" w:hAnsi="Calibri" w:cs="Calibri"/>
        </w:rPr>
        <w:t>ificant. As highlighted previously, poor transitions and in particular the absence of a transition coordinato</w:t>
      </w:r>
      <w:r w:rsidRPr="00925062">
        <w:rPr>
          <w:rFonts w:ascii="Calibri" w:eastAsia="Aptos" w:hAnsi="Calibri" w:cs="Calibri"/>
        </w:rPr>
        <w:t xml:space="preserve">r </w:t>
      </w:r>
      <w:r w:rsidRPr="00925062">
        <w:rPr>
          <w:rFonts w:ascii="Calibri" w:eastAsia="Aptos" w:hAnsi="Calibri" w:cs="Calibri"/>
        </w:rPr>
        <w:t xml:space="preserve">contribute to poorer physical and mental health of family carers, families </w:t>
      </w:r>
      <w:r w:rsidRPr="00925062">
        <w:rPr>
          <w:rFonts w:ascii="Calibri" w:eastAsia="Aptos" w:hAnsi="Calibri" w:cs="Calibri"/>
        </w:rPr>
        <w:t>having to reduce or give up employment, and increased isolation.</w:t>
      </w:r>
    </w:p>
    <w:p w:rsidR="00B6724D" w:rsidRPr="00925062" w:rsidP="00925062">
      <w:pPr>
        <w:spacing w:after="0" w:line="288" w:lineRule="auto"/>
        <w:contextualSpacing/>
        <w:jc w:val="center"/>
        <w:rPr>
          <w:rFonts w:ascii="Calibri" w:eastAsia="Aptos" w:hAnsi="Calibri" w:cs="Calibri"/>
        </w:rPr>
      </w:pPr>
    </w:p>
    <w:tbl>
      <w:tblPr>
        <w:tblStyle w:val="TableGrid"/>
        <w:tblW w:w="0" w:type="auto"/>
        <w:tblLook w:val="06A0"/>
      </w:tblPr>
      <w:tblGrid>
        <w:gridCol w:w="9015"/>
      </w:tblGrid>
      <w:tr w:rsidTr="24B037FF">
        <w:tblPrEx>
          <w:tblW w:w="0" w:type="auto"/>
          <w:tblLook w:val="06A0"/>
        </w:tblPrEx>
        <w:trPr>
          <w:trHeight w:val="300"/>
        </w:trPr>
        <w:tc>
          <w:tcPr>
            <w:tcW w:w="9015" w:type="dxa"/>
          </w:tcPr>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Example</w:t>
            </w:r>
          </w:p>
          <w:p w:rsidR="00B6724D" w:rsidRPr="00925062" w:rsidP="00925062">
            <w:pPr>
              <w:spacing w:line="288" w:lineRule="auto"/>
              <w:contextualSpacing/>
              <w:jc w:val="center"/>
              <w:rPr>
                <w:rFonts w:ascii="Calibri" w:eastAsia="Aptos" w:hAnsi="Calibri" w:cs="Calibri"/>
              </w:rPr>
            </w:pPr>
          </w:p>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A </w:t>
            </w:r>
            <w:r w:rsidRPr="00925062">
              <w:rPr>
                <w:rFonts w:ascii="Calibri" w:eastAsia="Aptos" w:hAnsi="Calibri" w:cs="Calibri"/>
              </w:rPr>
              <w:t>family carer quoted in our report had a mental health breakdown as a result of the lack of support during her son’s transition to adulthood:</w:t>
            </w:r>
          </w:p>
          <w:p w:rsidR="00B6724D" w:rsidRPr="00925062" w:rsidP="00925062">
            <w:pPr>
              <w:spacing w:line="288" w:lineRule="auto"/>
              <w:contextualSpacing/>
              <w:jc w:val="center"/>
              <w:rPr>
                <w:rFonts w:ascii="Calibri" w:eastAsia="Aptos" w:hAnsi="Calibri" w:cs="Calibri"/>
              </w:rPr>
            </w:pPr>
          </w:p>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 xml:space="preserve">“The way it impacted me was quite horrific really and I ended up having a mental breakdown. There was no time to process, there was no support around me.” </w:t>
            </w:r>
            <w:r w:rsidRPr="00925062">
              <w:rPr>
                <w:rFonts w:ascii="Calibri" w:eastAsia="Aptos" w:hAnsi="Calibri" w:cs="Calibri"/>
              </w:rPr>
              <w:t>-</w:t>
            </w:r>
            <w:r w:rsidRPr="00925062">
              <w:rPr>
                <w:rFonts w:ascii="Calibri" w:eastAsia="Aptos" w:hAnsi="Calibri" w:cs="Calibri"/>
              </w:rPr>
              <w:t xml:space="preserve"> family carer</w:t>
            </w:r>
          </w:p>
          <w:p w:rsidR="00B6724D" w:rsidRPr="00925062" w:rsidP="00925062">
            <w:pPr>
              <w:spacing w:line="288" w:lineRule="auto"/>
              <w:contextualSpacing/>
              <w:jc w:val="center"/>
              <w:rPr>
                <w:rFonts w:ascii="Calibri" w:eastAsia="Aptos" w:hAnsi="Calibri" w:cs="Calibri"/>
              </w:rPr>
            </w:pPr>
          </w:p>
          <w:p w:rsidR="00B6724D" w:rsidRPr="00925062" w:rsidP="00925062">
            <w:pPr>
              <w:spacing w:line="288" w:lineRule="auto"/>
              <w:contextualSpacing/>
              <w:jc w:val="center"/>
              <w:rPr>
                <w:rFonts w:ascii="Calibri" w:eastAsia="Aptos" w:hAnsi="Calibri" w:cs="Calibri"/>
              </w:rPr>
            </w:pPr>
            <w:r w:rsidRPr="00925062">
              <w:rPr>
                <w:rFonts w:ascii="Calibri" w:eastAsia="Aptos" w:hAnsi="Calibri" w:cs="Calibri"/>
              </w:rPr>
              <w:t>From both our Family Support work and our engagement with other families we know that similar experiences are widespread.</w:t>
            </w:r>
          </w:p>
        </w:tc>
      </w:tr>
    </w:tbl>
    <w:p w:rsidR="00B6724D" w:rsidRPr="00925062" w:rsidP="00925062">
      <w:pPr>
        <w:spacing w:after="0" w:line="288" w:lineRule="auto"/>
        <w:contextualSpacing/>
        <w:jc w:val="center"/>
        <w:rPr>
          <w:rFonts w:ascii="Calibri" w:eastAsia="Aptos" w:hAnsi="Calibri" w:cs="Calibri"/>
        </w:rPr>
      </w:pPr>
    </w:p>
    <w:p w:rsidR="00B6724D" w:rsidRPr="00925062" w:rsidP="00925062">
      <w:pPr>
        <w:pStyle w:val="ListParagraph"/>
        <w:numPr>
          <w:ilvl w:val="0"/>
          <w:numId w:val="26"/>
        </w:numPr>
        <w:spacing w:after="0" w:line="288" w:lineRule="auto"/>
        <w:jc w:val="center"/>
        <w:rPr>
          <w:rFonts w:ascii="Calibri" w:eastAsia="Aptos" w:hAnsi="Calibri" w:cs="Calibri"/>
          <w:u w:val="single"/>
        </w:rPr>
      </w:pPr>
      <w:r w:rsidRPr="00925062">
        <w:rPr>
          <w:rFonts w:ascii="Calibri" w:eastAsia="Aptos" w:hAnsi="Calibri" w:cs="Calibri"/>
          <w:u w:val="single"/>
        </w:rPr>
        <w:t>How is the model of independence appropriately adapted for young people who will continue to require substantial support in adult life?</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hAnsi="Calibri" w:cs="Calibri"/>
        </w:rPr>
      </w:pPr>
      <w:r w:rsidRPr="00925062">
        <w:rPr>
          <w:rFonts w:ascii="Calibri" w:eastAsia="Aptos" w:hAnsi="Calibri" w:cs="Calibri"/>
        </w:rPr>
        <w:t>9a. Shanahan et al., (2020)</w:t>
      </w:r>
      <w:r>
        <w:rPr>
          <w:rStyle w:val="FootnoteReference"/>
          <w:rFonts w:ascii="Calibri" w:hAnsi="Calibri" w:cs="Calibri"/>
        </w:rPr>
        <w:footnoteReference w:id="34"/>
      </w:r>
      <w:r w:rsidRPr="00925062">
        <w:rPr>
          <w:rFonts w:ascii="Calibri" w:hAnsi="Calibri" w:cs="Calibri"/>
        </w:rPr>
        <w:t xml:space="preserve"> looked at the experiences of young people with learning disabilities, who were autistic, and/or with ADHD</w:t>
      </w:r>
      <w:r w:rsidRPr="00925062">
        <w:rPr>
          <w:rFonts w:ascii="Calibri" w:hAnsi="Calibri" w:cs="Calibri"/>
        </w:rPr>
        <w:t xml:space="preserve"> and their families</w:t>
      </w:r>
      <w:r w:rsidRPr="00925062">
        <w:rPr>
          <w:rFonts w:ascii="Calibri" w:hAnsi="Calibri" w:cs="Calibri"/>
        </w:rPr>
        <w:t>. They identified that transition for these young people is experienced as an “abrupt, binary change”, causing a lack of continuity</w:t>
      </w:r>
      <w:r w:rsidRPr="00925062">
        <w:rPr>
          <w:rFonts w:ascii="Calibri" w:hAnsi="Calibri" w:cs="Calibri"/>
        </w:rPr>
        <w:t>, and that little consideration was given to their psychosocial and cognitive maturity.</w:t>
      </w:r>
    </w:p>
    <w:p w:rsidR="00B6724D" w:rsidRPr="00925062" w:rsidP="00925062">
      <w:pPr>
        <w:spacing w:after="0" w:line="288" w:lineRule="auto"/>
        <w:contextualSpacing/>
        <w:jc w:val="center"/>
        <w:rPr>
          <w:rFonts w:ascii="Calibri" w:hAnsi="Calibri" w:cs="Calibri"/>
        </w:rPr>
      </w:pPr>
    </w:p>
    <w:p w:rsidR="00B6724D" w:rsidRPr="00925062" w:rsidP="00925062">
      <w:pPr>
        <w:spacing w:after="0" w:line="288" w:lineRule="auto"/>
        <w:contextualSpacing/>
        <w:jc w:val="center"/>
        <w:rPr>
          <w:rFonts w:ascii="Calibri" w:hAnsi="Calibri" w:cs="Calibri"/>
        </w:rPr>
      </w:pPr>
      <w:r w:rsidRPr="00925062">
        <w:rPr>
          <w:rFonts w:ascii="Calibri" w:hAnsi="Calibri" w:cs="Calibri"/>
        </w:rPr>
        <w:t>9b. Families that we support tell us that they are not given sufficient information about the Mental Capacity Act and are often excluded from decision making once their relative turns 18, despite</w:t>
      </w:r>
      <w:r w:rsidRPr="00925062">
        <w:rPr>
          <w:rFonts w:ascii="Calibri" w:hAnsi="Calibri" w:cs="Calibri"/>
        </w:rPr>
        <w:t xml:space="preserve"> the fact ‘best interests’ principles should require them to be involved. The change can happen abruptly and young people</w:t>
      </w:r>
      <w:r w:rsidRPr="00925062">
        <w:rPr>
          <w:rFonts w:ascii="Calibri" w:hAnsi="Calibri" w:cs="Calibri"/>
        </w:rPr>
        <w:t xml:space="preserve"> with learning disabilities</w:t>
      </w:r>
      <w:r w:rsidRPr="00925062">
        <w:rPr>
          <w:rFonts w:ascii="Calibri" w:hAnsi="Calibri" w:cs="Calibri"/>
        </w:rPr>
        <w:t xml:space="preserve"> and their families are frequently unprepared for this.</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jc w:val="center"/>
        <w:rPr>
          <w:rFonts w:ascii="Calibri" w:eastAsia="Aptos" w:hAnsi="Calibri" w:cs="Calibri"/>
          <w:b/>
          <w:bCs/>
        </w:rPr>
      </w:pPr>
      <w:r w:rsidRPr="00925062">
        <w:rPr>
          <w:rFonts w:ascii="Calibri" w:eastAsia="Aptos" w:hAnsi="Calibri" w:cs="Calibri"/>
          <w:b/>
          <w:bCs/>
        </w:rPr>
        <w:t>Promoting equity across the transition</w:t>
      </w:r>
    </w:p>
    <w:p w:rsidR="00B6724D" w:rsidRPr="00925062" w:rsidP="00925062">
      <w:pPr>
        <w:pStyle w:val="ListParagraph"/>
        <w:numPr>
          <w:ilvl w:val="0"/>
          <w:numId w:val="26"/>
        </w:numPr>
        <w:spacing w:after="0" w:line="288" w:lineRule="auto"/>
        <w:jc w:val="center"/>
        <w:rPr>
          <w:rFonts w:ascii="Calibri" w:eastAsia="Aptos" w:hAnsi="Calibri" w:cs="Calibri"/>
          <w:u w:val="single"/>
        </w:rPr>
      </w:pPr>
      <w:r w:rsidRPr="00925062">
        <w:rPr>
          <w:rFonts w:ascii="Calibri" w:eastAsia="Aptos" w:hAnsi="Calibri" w:cs="Calibri"/>
          <w:u w:val="single"/>
        </w:rPr>
        <w:t>To what extent are services providing the right tools to ensure that all young people can communicate their needs?</w:t>
      </w:r>
      <w:r w:rsidRPr="00925062">
        <w:rPr>
          <w:rFonts w:ascii="Calibri" w:eastAsia="Aptos" w:hAnsi="Calibri" w:cs="Calibri"/>
        </w:rPr>
        <w:t xml:space="preserve"> / </w:t>
      </w:r>
      <w:r w:rsidRPr="00925062">
        <w:rPr>
          <w:rFonts w:ascii="Calibri" w:eastAsia="Aptos" w:hAnsi="Calibri" w:cs="Calibri"/>
          <w:u w:val="single"/>
        </w:rPr>
        <w:t>To what extent are services able to accommodate different communication needs for individuals with communication difficulties?</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10a. In our experience, young people with severe or profound and multiple learning disabilities are rarely given the right support to communicate their needs and wishes as part of transition planning.</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10b. As part of the What Matters to Me project, we engaged with a range of young people with severe or profound and multiple learning disabilities and complex communication needs</w:t>
      </w:r>
      <w:r w:rsidRPr="00925062">
        <w:rPr>
          <w:rFonts w:ascii="Calibri" w:eastAsia="Aptos" w:hAnsi="Calibri" w:cs="Calibri"/>
        </w:rPr>
        <w:t xml:space="preserve"> based in Kent, Southeast London and East Sussex to identify what mattered to them during their transition to adulthood. </w:t>
      </w:r>
      <w:r w:rsidRPr="00925062">
        <w:rPr>
          <w:rFonts w:ascii="Calibri" w:eastAsia="Aptos" w:hAnsi="Calibri" w:cs="Calibri"/>
        </w:rPr>
        <w:t xml:space="preserve">One of our key findings was that the exclusion of young people with severe and profound and multiple learning disabilities from </w:t>
      </w:r>
      <w:r w:rsidRPr="00925062">
        <w:rPr>
          <w:rFonts w:ascii="Calibri" w:eastAsia="Aptos" w:hAnsi="Calibri" w:cs="Calibri"/>
        </w:rPr>
        <w:t xml:space="preserve">transition planning, as well as </w:t>
      </w:r>
      <w:r w:rsidRPr="00925062">
        <w:rPr>
          <w:rFonts w:ascii="Calibri" w:eastAsia="Aptos" w:hAnsi="Calibri" w:cs="Calibri"/>
        </w:rPr>
        <w:t>wider discussions around what community services are needed, meant that their needs were not being sufficiently met.</w:t>
      </w:r>
      <w:r w:rsidRPr="00925062">
        <w:rPr>
          <w:rFonts w:ascii="Calibri" w:eastAsia="Aptos" w:hAnsi="Calibri" w:cs="Calibri"/>
        </w:rPr>
        <w:t xml:space="preserve"> Fuller findings relating to transition can be viewed </w:t>
      </w:r>
      <w:r>
        <w:fldChar w:fldCharType="begin"/>
      </w:r>
      <w:r>
        <w:instrText xml:space="preserve"> HYPERLINK "https://www.challengingbehaviour.org.uk/wp-content/uploads/2025/06/WMM-Influencing-what-Happens-Transition-to-adulthood-findings-2.pdf" </w:instrText>
      </w:r>
      <w:r>
        <w:fldChar w:fldCharType="separate"/>
      </w:r>
      <w:r w:rsidRPr="00925062">
        <w:rPr>
          <w:rStyle w:val="Hyperlink"/>
          <w:rFonts w:ascii="Calibri" w:eastAsia="Aptos" w:hAnsi="Calibri" w:cs="Calibri"/>
          <w:color w:val="auto"/>
        </w:rPr>
        <w:t>here</w:t>
      </w:r>
      <w:r>
        <w:fldChar w:fldCharType="end"/>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10c. To appropriately support young people with severe or profound and multiple learning disabilities to communicate wishes and needs relating to transition to adulthood, </w:t>
      </w:r>
      <w:r w:rsidRPr="00925062">
        <w:rPr>
          <w:rFonts w:ascii="Calibri" w:eastAsia="Aptos" w:hAnsi="Calibri" w:cs="Calibri"/>
        </w:rPr>
        <w:t>working with them, their families, and their circles of support is crucial to understand what is important to them. This requires time to build relationships</w:t>
      </w:r>
      <w:r w:rsidRPr="00925062">
        <w:rPr>
          <w:rFonts w:ascii="Calibri" w:eastAsia="Aptos" w:hAnsi="Calibri" w:cs="Calibri"/>
        </w:rPr>
        <w:t xml:space="preserve"> and an understanding of the young person’s communication</w:t>
      </w:r>
      <w:r w:rsidRPr="00925062">
        <w:rPr>
          <w:rFonts w:ascii="Calibri" w:eastAsia="Aptos" w:hAnsi="Calibri" w:cs="Calibri"/>
        </w:rPr>
        <w:t xml:space="preserve">, which emphasises the importance of beginning transition planning </w:t>
      </w:r>
      <w:r w:rsidRPr="00925062">
        <w:rPr>
          <w:rFonts w:ascii="Calibri" w:eastAsia="Aptos" w:hAnsi="Calibri" w:cs="Calibri"/>
        </w:rPr>
        <w:t>early.</w:t>
      </w:r>
      <w:r w:rsidRPr="00925062">
        <w:rPr>
          <w:rFonts w:ascii="Calibri" w:eastAsia="Aptos" w:hAnsi="Calibri" w:cs="Calibri"/>
        </w:rPr>
        <w:t xml:space="preserve"> Independent non-instructed advocacy can also </w:t>
      </w:r>
      <w:r w:rsidRPr="00925062">
        <w:rPr>
          <w:rFonts w:ascii="Calibri" w:eastAsia="Aptos" w:hAnsi="Calibri" w:cs="Calibri"/>
        </w:rPr>
        <w:t xml:space="preserve">help ensure that the young </w:t>
      </w:r>
      <w:r w:rsidRPr="00925062">
        <w:rPr>
          <w:rFonts w:ascii="Calibri" w:eastAsia="Aptos" w:hAnsi="Calibri" w:cs="Calibri"/>
        </w:rPr>
        <w:t xml:space="preserve">person’s views are represented in transition planning, but </w:t>
      </w:r>
      <w:r w:rsidRPr="00925062">
        <w:rPr>
          <w:rFonts w:ascii="Calibri" w:eastAsia="Aptos" w:hAnsi="Calibri" w:cs="Calibri"/>
        </w:rPr>
        <w:t>current provision is inconsistent</w:t>
      </w:r>
      <w:r>
        <w:rPr>
          <w:rStyle w:val="FootnoteReference"/>
          <w:rFonts w:ascii="Calibri" w:eastAsia="Aptos" w:hAnsi="Calibri" w:cs="Calibri"/>
        </w:rPr>
        <w:footnoteReference w:id="35"/>
      </w:r>
      <w:r w:rsidRPr="00925062">
        <w:rPr>
          <w:rFonts w:ascii="Calibri" w:eastAsia="Aptos" w:hAnsi="Calibri" w:cs="Calibri"/>
          <w:vertAlign w:val="superscript"/>
        </w:rPr>
        <w:t>,</w:t>
      </w:r>
      <w:r>
        <w:rPr>
          <w:rStyle w:val="FootnoteReference"/>
          <w:rFonts w:ascii="Calibri" w:eastAsia="Aptos" w:hAnsi="Calibri" w:cs="Calibri"/>
        </w:rPr>
        <w:footnoteReference w:id="36"/>
      </w:r>
      <w:r w:rsidRPr="00925062">
        <w:rPr>
          <w:rFonts w:ascii="Calibri" w:eastAsia="Aptos" w:hAnsi="Calibri" w:cs="Calibri"/>
          <w:vertAlign w:val="superscript"/>
        </w:rPr>
        <w:t>,</w:t>
      </w:r>
      <w:r>
        <w:rPr>
          <w:rStyle w:val="FootnoteReference"/>
          <w:rFonts w:ascii="Calibri" w:eastAsia="Aptos" w:hAnsi="Calibri" w:cs="Calibri"/>
        </w:rPr>
        <w:footnoteReference w:id="37"/>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p w:rsidR="00B6724D" w:rsidRPr="00925062" w:rsidP="00925062">
      <w:pPr>
        <w:pStyle w:val="ListParagraph"/>
        <w:numPr>
          <w:ilvl w:val="0"/>
          <w:numId w:val="26"/>
        </w:numPr>
        <w:spacing w:after="0" w:line="288" w:lineRule="auto"/>
        <w:jc w:val="center"/>
        <w:rPr>
          <w:rFonts w:ascii="Calibri" w:eastAsia="Aptos" w:hAnsi="Calibri" w:cs="Calibri"/>
          <w:u w:val="single"/>
        </w:rPr>
      </w:pPr>
      <w:r w:rsidRPr="00925062">
        <w:rPr>
          <w:rFonts w:ascii="Calibri" w:eastAsia="Aptos" w:hAnsi="Calibri" w:cs="Calibri"/>
          <w:u w:val="single"/>
        </w:rPr>
        <w:t>What is the impact of the provision, or lack of provision, of person-centred care for individuals with additional needs?</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11a. Person-centred care during transition for young people with learning disabilities should involve working with the young person, their family and their circles of support to identify what is important for the young person and what they need to live good lives as adults. </w:t>
      </w:r>
      <w:r w:rsidRPr="00925062">
        <w:rPr>
          <w:rFonts w:ascii="Calibri" w:eastAsia="Aptos" w:hAnsi="Calibri" w:cs="Calibri"/>
        </w:rPr>
        <w:t>This should involve building relationships with the young person and their family</w:t>
      </w:r>
      <w:r w:rsidRPr="00925062">
        <w:rPr>
          <w:rFonts w:ascii="Calibri" w:eastAsia="Aptos" w:hAnsi="Calibri" w:cs="Calibri"/>
        </w:rPr>
        <w:t xml:space="preserve"> (</w:t>
      </w:r>
      <w:r w:rsidRPr="00925062">
        <w:rPr>
          <w:rFonts w:ascii="Calibri" w:eastAsia="Aptos" w:hAnsi="Calibri" w:cs="Calibri"/>
        </w:rPr>
        <w:t>in particular, finding out how the young person communicates</w:t>
      </w:r>
      <w:r w:rsidRPr="00925062">
        <w:rPr>
          <w:rFonts w:ascii="Calibri" w:eastAsia="Aptos" w:hAnsi="Calibri" w:cs="Calibri"/>
        </w:rPr>
        <w:t>), identifying what support they need and want,</w:t>
      </w:r>
      <w:r w:rsidRPr="00925062">
        <w:rPr>
          <w:rFonts w:ascii="Calibri" w:eastAsia="Aptos" w:hAnsi="Calibri" w:cs="Calibri"/>
        </w:rPr>
        <w:t xml:space="preserve"> and ensuring services are developed that are able to provide this support – not </w:t>
      </w:r>
      <w:r w:rsidRPr="00925062">
        <w:rPr>
          <w:rFonts w:ascii="Calibri" w:eastAsia="Aptos" w:hAnsi="Calibri" w:cs="Calibri"/>
        </w:rPr>
        <w:t xml:space="preserve">just </w:t>
      </w:r>
      <w:r w:rsidRPr="00925062">
        <w:rPr>
          <w:rFonts w:ascii="Calibri" w:eastAsia="Aptos" w:hAnsi="Calibri" w:cs="Calibri"/>
        </w:rPr>
        <w:t>‘fitting</w:t>
      </w:r>
      <w:r w:rsidRPr="00925062">
        <w:rPr>
          <w:rFonts w:ascii="Calibri" w:eastAsia="Aptos" w:hAnsi="Calibri" w:cs="Calibri"/>
        </w:rPr>
        <w:t xml:space="preserve"> p</w:t>
      </w:r>
      <w:r w:rsidRPr="00925062">
        <w:rPr>
          <w:rFonts w:ascii="Calibri" w:eastAsia="Aptos" w:hAnsi="Calibri" w:cs="Calibri"/>
        </w:rPr>
        <w:t xml:space="preserve">eople into existing services’. </w:t>
      </w:r>
      <w:r w:rsidRPr="00925062">
        <w:rPr>
          <w:rFonts w:ascii="Calibri" w:eastAsia="Aptos" w:hAnsi="Calibri" w:cs="Calibri"/>
        </w:rPr>
        <w:t>Person-centred care</w:t>
      </w:r>
      <w:r w:rsidRPr="00925062">
        <w:rPr>
          <w:rFonts w:ascii="Calibri" w:eastAsia="Aptos" w:hAnsi="Calibri" w:cs="Calibri"/>
        </w:rPr>
        <w:t xml:space="preserve"> for people with severe learning disabilities </w:t>
      </w:r>
      <w:r w:rsidRPr="00925062">
        <w:rPr>
          <w:rFonts w:ascii="Calibri" w:eastAsia="Aptos" w:hAnsi="Calibri" w:cs="Calibri"/>
        </w:rPr>
        <w:t xml:space="preserve">can require a long time to set up, particularly if a local area does not currently have suitable services (or services do exist but do not have sufficient capacity for the </w:t>
      </w:r>
      <w:r w:rsidRPr="00925062">
        <w:rPr>
          <w:rFonts w:ascii="Calibri" w:eastAsia="Aptos" w:hAnsi="Calibri" w:cs="Calibri"/>
        </w:rPr>
        <w:t>local population)</w:t>
      </w:r>
      <w:r>
        <w:rPr>
          <w:rStyle w:val="FootnoteReference"/>
          <w:rFonts w:ascii="Calibri" w:eastAsia="Aptos" w:hAnsi="Calibri" w:cs="Calibri"/>
        </w:rPr>
        <w:footnoteReference w:id="38"/>
      </w:r>
      <w:r w:rsidRPr="00925062">
        <w:rPr>
          <w:rFonts w:ascii="Calibri" w:eastAsia="Aptos" w:hAnsi="Calibri" w:cs="Calibri"/>
        </w:rPr>
        <w:t xml:space="preserve"> - transition planning therefore needs to begin early to provide sufficient time for needs to be identified and sui</w:t>
      </w:r>
      <w:r w:rsidRPr="00925062">
        <w:rPr>
          <w:rFonts w:ascii="Calibri" w:eastAsia="Aptos" w:hAnsi="Calibri" w:cs="Calibri"/>
        </w:rPr>
        <w:t>table services de</w:t>
      </w:r>
      <w:r w:rsidRPr="00925062">
        <w:rPr>
          <w:rFonts w:ascii="Calibri" w:eastAsia="Aptos" w:hAnsi="Calibri" w:cs="Calibri"/>
        </w:rPr>
        <w:t>veloped.</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11b. T</w:t>
      </w:r>
      <w:r w:rsidRPr="00925062">
        <w:rPr>
          <w:rFonts w:ascii="Calibri" w:eastAsia="Aptos" w:hAnsi="Calibri" w:cs="Calibri"/>
        </w:rPr>
        <w:t xml:space="preserve">he delays in beginning transition planning, the lack of coordination (and subsequent requirement on family carers to act as transition coordinators), and failure to meaningfully involve young people with learning disabilities and their families </w:t>
      </w:r>
      <w:r w:rsidRPr="00925062">
        <w:rPr>
          <w:rFonts w:ascii="Calibri" w:eastAsia="Aptos" w:hAnsi="Calibri" w:cs="Calibri"/>
        </w:rPr>
        <w:t>leads to poorer outcomes following transition</w:t>
      </w:r>
      <w:r w:rsidRPr="00925062">
        <w:rPr>
          <w:rFonts w:ascii="Calibri" w:eastAsia="Aptos" w:hAnsi="Calibri" w:cs="Calibri"/>
        </w:rPr>
        <w:t>. O</w:t>
      </w:r>
      <w:r w:rsidRPr="00925062">
        <w:rPr>
          <w:rFonts w:ascii="Calibri" w:eastAsia="Aptos" w:hAnsi="Calibri" w:cs="Calibri"/>
        </w:rPr>
        <w:t>ne family carer</w:t>
      </w:r>
      <w:r w:rsidRPr="00925062">
        <w:rPr>
          <w:rFonts w:ascii="Calibri" w:eastAsia="Aptos" w:hAnsi="Calibri" w:cs="Calibri"/>
        </w:rPr>
        <w:t xml:space="preserve"> in our upcoming report </w:t>
      </w:r>
      <w:r w:rsidRPr="00925062">
        <w:rPr>
          <w:rFonts w:ascii="Calibri" w:eastAsia="Aptos" w:hAnsi="Calibri" w:cs="Calibri"/>
        </w:rPr>
        <w:t>gave t</w:t>
      </w:r>
      <w:r w:rsidRPr="00925062">
        <w:rPr>
          <w:rFonts w:ascii="Calibri" w:eastAsia="Aptos" w:hAnsi="Calibri" w:cs="Calibri"/>
        </w:rPr>
        <w:t>he example of</w:t>
      </w:r>
      <w:r w:rsidRPr="00925062">
        <w:rPr>
          <w:rFonts w:ascii="Calibri" w:eastAsia="Aptos" w:hAnsi="Calibri" w:cs="Calibri"/>
        </w:rPr>
        <w:t xml:space="preserve"> a local authority </w:t>
      </w:r>
      <w:r w:rsidRPr="00925062">
        <w:rPr>
          <w:rFonts w:ascii="Calibri" w:eastAsia="Aptos" w:hAnsi="Calibri" w:cs="Calibri"/>
        </w:rPr>
        <w:t>dismissing their views and their relative’s needs by</w:t>
      </w:r>
      <w:r w:rsidRPr="00925062">
        <w:rPr>
          <w:rFonts w:ascii="Calibri" w:eastAsia="Aptos" w:hAnsi="Calibri" w:cs="Calibri"/>
        </w:rPr>
        <w:t xml:space="preserve"> choosing a different day service for their relative</w:t>
      </w:r>
      <w:r w:rsidRPr="00925062">
        <w:rPr>
          <w:rFonts w:ascii="Calibri" w:eastAsia="Aptos" w:hAnsi="Calibri" w:cs="Calibri"/>
        </w:rPr>
        <w:t xml:space="preserve"> to the one that had been asked for</w:t>
      </w:r>
      <w:r w:rsidRPr="00925062">
        <w:rPr>
          <w:rFonts w:ascii="Calibri" w:eastAsia="Aptos" w:hAnsi="Calibri" w:cs="Calibri"/>
        </w:rPr>
        <w:t>, which then proved unable to meet their relative’s needs and resulted in them becoming stuck at home for many months</w:t>
      </w:r>
      <w:r w:rsidRPr="00925062">
        <w:rPr>
          <w:rFonts w:ascii="Calibri" w:eastAsia="Aptos" w:hAnsi="Calibri" w:cs="Calibri"/>
        </w:rPr>
        <w:t xml:space="preserve"> and developing behaviours that challenge</w:t>
      </w:r>
      <w:r w:rsidRPr="00925062">
        <w:rPr>
          <w:rFonts w:ascii="Calibri" w:eastAsia="Aptos" w:hAnsi="Calibri" w:cs="Calibri"/>
        </w:rPr>
        <w:t>.</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b/>
          <w:bCs/>
        </w:rPr>
      </w:pPr>
      <w:r w:rsidRPr="00925062">
        <w:rPr>
          <w:rFonts w:ascii="Calibri" w:eastAsia="Aptos" w:hAnsi="Calibri" w:cs="Calibri"/>
          <w:b/>
          <w:bCs/>
        </w:rPr>
        <w:t>Additional comments</w:t>
      </w:r>
    </w:p>
    <w:p w:rsidR="00B6724D" w:rsidRPr="00925062" w:rsidP="00925062">
      <w:pPr>
        <w:spacing w:after="0" w:line="288" w:lineRule="auto"/>
        <w:contextualSpacing/>
        <w:jc w:val="center"/>
        <w:rPr>
          <w:rFonts w:ascii="Calibri" w:eastAsia="Aptos" w:hAnsi="Calibri" w:cs="Calibri"/>
          <w:i/>
          <w:iCs/>
        </w:rPr>
      </w:pPr>
      <w:r w:rsidRPr="00925062">
        <w:rPr>
          <w:rFonts w:ascii="Calibri" w:eastAsia="Aptos" w:hAnsi="Calibri" w:cs="Calibri"/>
          <w:i/>
          <w:iCs/>
        </w:rPr>
        <w:t>Particular issues faced by young people with learning disabilities in out-of-area residential schools</w:t>
      </w: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12a. </w:t>
      </w:r>
      <w:r w:rsidRPr="00925062">
        <w:rPr>
          <w:rFonts w:ascii="Calibri" w:eastAsia="Aptos" w:hAnsi="Calibri" w:cs="Calibri"/>
        </w:rPr>
        <w:t>Evidence suggests that young people with learning disabilities who are placed in out-of-area residential schools are at greater risk of poor transitions to adult health and social care services</w:t>
      </w:r>
      <w:r w:rsidRPr="00925062">
        <w:rPr>
          <w:rFonts w:ascii="Calibri" w:eastAsia="Aptos" w:hAnsi="Calibri" w:cs="Calibri"/>
        </w:rPr>
        <w:t>. This is</w:t>
      </w:r>
      <w:r w:rsidRPr="00925062">
        <w:rPr>
          <w:rFonts w:ascii="Calibri" w:eastAsia="Aptos" w:hAnsi="Calibri" w:cs="Calibri"/>
        </w:rPr>
        <w:t xml:space="preserve"> due to </w:t>
      </w:r>
      <w:r w:rsidRPr="00925062">
        <w:rPr>
          <w:rFonts w:ascii="Calibri" w:eastAsia="Aptos" w:hAnsi="Calibri" w:cs="Calibri"/>
        </w:rPr>
        <w:t>the geographical distance between the local authority or ICB with responsibility for their transition and the young person making it harder to ‘get to know’ the young person and their wishes/needs</w:t>
      </w:r>
      <w:r>
        <w:rPr>
          <w:rStyle w:val="FootnoteReference"/>
          <w:rFonts w:ascii="Calibri" w:eastAsia="Aptos" w:hAnsi="Calibri" w:cs="Calibri"/>
        </w:rPr>
        <w:footnoteReference w:id="39"/>
      </w:r>
      <w:r w:rsidRPr="00925062">
        <w:rPr>
          <w:rFonts w:ascii="Calibri" w:eastAsia="Aptos" w:hAnsi="Calibri" w:cs="Calibri"/>
          <w:vertAlign w:val="superscript"/>
        </w:rPr>
        <w:t>,</w:t>
      </w:r>
      <w:r>
        <w:rPr>
          <w:rStyle w:val="FootnoteReference"/>
          <w:rFonts w:ascii="Calibri" w:eastAsia="Aptos" w:hAnsi="Calibri" w:cs="Calibri"/>
        </w:rPr>
        <w:footnoteReference w:id="40"/>
      </w:r>
      <w:r w:rsidRPr="00925062">
        <w:rPr>
          <w:rFonts w:ascii="Calibri" w:eastAsia="Aptos" w:hAnsi="Calibri" w:cs="Calibri"/>
          <w:vertAlign w:val="superscript"/>
        </w:rPr>
        <w:t>,</w:t>
      </w:r>
      <w:r>
        <w:rPr>
          <w:rStyle w:val="FootnoteReference"/>
          <w:rFonts w:ascii="Calibri" w:eastAsia="Aptos" w:hAnsi="Calibri" w:cs="Calibri"/>
        </w:rPr>
        <w:footnoteReference w:id="41"/>
      </w:r>
      <w:r w:rsidRPr="00925062">
        <w:rPr>
          <w:rFonts w:ascii="Calibri" w:eastAsia="Aptos" w:hAnsi="Calibri" w:cs="Calibri"/>
        </w:rPr>
        <w:t>.</w:t>
      </w:r>
      <w:r w:rsidRPr="00925062">
        <w:rPr>
          <w:rFonts w:ascii="Calibri" w:eastAsia="Aptos" w:hAnsi="Calibri" w:cs="Calibri"/>
        </w:rPr>
        <w:t xml:space="preserve"> Many young people with learning disabilities, particular those whose behaviour is described as challenging, are placed in out-of-area residential schools because local services are unable to meet their needs</w:t>
      </w:r>
      <w:r>
        <w:rPr>
          <w:rStyle w:val="FootnoteReference"/>
          <w:rFonts w:ascii="Calibri" w:eastAsia="Aptos" w:hAnsi="Calibri" w:cs="Calibri"/>
        </w:rPr>
        <w:footnoteReference w:id="42"/>
      </w:r>
      <w:r w:rsidRPr="00925062">
        <w:rPr>
          <w:rFonts w:ascii="Calibri" w:eastAsia="Aptos" w:hAnsi="Calibri" w:cs="Calibri"/>
          <w:vertAlign w:val="superscript"/>
        </w:rPr>
        <w:t>,</w:t>
      </w:r>
      <w:r>
        <w:rPr>
          <w:rStyle w:val="FootnoteReference"/>
          <w:rFonts w:ascii="Calibri" w:eastAsia="Aptos" w:hAnsi="Calibri" w:cs="Calibri"/>
        </w:rPr>
        <w:footnoteReference w:id="43"/>
      </w:r>
      <w:r w:rsidRPr="00925062">
        <w:rPr>
          <w:rFonts w:ascii="Calibri" w:eastAsia="Aptos" w:hAnsi="Calibri" w:cs="Calibri"/>
          <w:vertAlign w:val="superscript"/>
        </w:rPr>
        <w:t>,</w:t>
      </w:r>
      <w:r>
        <w:rPr>
          <w:rStyle w:val="FootnoteReference"/>
          <w:rFonts w:ascii="Calibri" w:eastAsia="Aptos" w:hAnsi="Calibri" w:cs="Calibri"/>
        </w:rPr>
        <w:footnoteReference w:id="44"/>
      </w:r>
      <w:r w:rsidRPr="00925062">
        <w:rPr>
          <w:rFonts w:ascii="Calibri" w:eastAsia="Aptos" w:hAnsi="Calibri" w:cs="Calibri"/>
        </w:rPr>
        <w:t xml:space="preserve"> – when this is the case, it is especially crucial that transition pl</w:t>
      </w:r>
      <w:r w:rsidRPr="00925062">
        <w:rPr>
          <w:rFonts w:ascii="Calibri" w:eastAsia="Aptos" w:hAnsi="Calibri" w:cs="Calibri"/>
        </w:rPr>
        <w:t xml:space="preserve">anning begins early, involves the young person and their family, and is well-coordinated, as time and joint working will be needed to identify what support they will need as an adult and </w:t>
      </w:r>
      <w:r w:rsidRPr="00925062">
        <w:rPr>
          <w:rFonts w:ascii="Calibri" w:eastAsia="Aptos" w:hAnsi="Calibri" w:cs="Calibri"/>
        </w:rPr>
        <w:t>ensure that the local area has built up this capacity.</w:t>
      </w:r>
    </w:p>
    <w:p w:rsidR="00B6724D" w:rsidRPr="00925062" w:rsidP="00925062">
      <w:pPr>
        <w:spacing w:after="0" w:line="288" w:lineRule="auto"/>
        <w:contextualSpacing/>
        <w:jc w:val="center"/>
        <w:rPr>
          <w:rFonts w:ascii="Calibri" w:eastAsia="Aptos" w:hAnsi="Calibri" w:cs="Calibri"/>
        </w:rPr>
      </w:pPr>
    </w:p>
    <w:p w:rsidR="00B6724D" w:rsidRPr="00925062" w:rsidP="00925062">
      <w:pPr>
        <w:spacing w:after="0" w:line="288" w:lineRule="auto"/>
        <w:contextualSpacing/>
        <w:jc w:val="center"/>
        <w:rPr>
          <w:rFonts w:ascii="Calibri" w:eastAsia="Aptos" w:hAnsi="Calibri" w:cs="Calibri"/>
          <w:i/>
          <w:iCs/>
        </w:rPr>
      </w:pPr>
      <w:r w:rsidRPr="00925062">
        <w:rPr>
          <w:rFonts w:ascii="Calibri" w:eastAsia="Aptos" w:hAnsi="Calibri" w:cs="Calibri"/>
          <w:i/>
          <w:iCs/>
        </w:rPr>
        <w:t>Recommendations from our report</w:t>
      </w:r>
    </w:p>
    <w:p w:rsidR="00B6724D" w:rsidRPr="00925062" w:rsidP="00925062">
      <w:pPr>
        <w:spacing w:after="0" w:line="288" w:lineRule="auto"/>
        <w:contextualSpacing/>
        <w:jc w:val="center"/>
        <w:rPr>
          <w:rFonts w:ascii="Calibri" w:eastAsia="Aptos" w:hAnsi="Calibri" w:cs="Calibri"/>
        </w:rPr>
      </w:pPr>
      <w:r w:rsidRPr="00925062">
        <w:rPr>
          <w:rFonts w:ascii="Calibri" w:eastAsia="Aptos" w:hAnsi="Calibri" w:cs="Calibri"/>
        </w:rPr>
        <w:t xml:space="preserve">12b. </w:t>
      </w:r>
      <w:r w:rsidRPr="00925062">
        <w:rPr>
          <w:rFonts w:ascii="Calibri" w:eastAsia="Aptos" w:hAnsi="Calibri" w:cs="Calibri"/>
        </w:rPr>
        <w:t>Our report makes four recommendations which are listed below:</w:t>
      </w:r>
    </w:p>
    <w:p w:rsidR="00B6724D" w:rsidRPr="00925062" w:rsidP="00925062">
      <w:pPr>
        <w:spacing w:after="0" w:line="288" w:lineRule="auto"/>
        <w:contextualSpacing/>
        <w:jc w:val="center"/>
        <w:rPr>
          <w:rFonts w:ascii="Calibri" w:eastAsia="Aptos" w:hAnsi="Calibri" w:cs="Calibri"/>
        </w:rPr>
      </w:pPr>
    </w:p>
    <w:p w:rsidR="00B6724D" w:rsidRPr="00925062" w:rsidP="00925062">
      <w:pPr>
        <w:pStyle w:val="ListParagraph"/>
        <w:numPr>
          <w:ilvl w:val="0"/>
          <w:numId w:val="3"/>
        </w:numPr>
        <w:jc w:val="center"/>
        <w:rPr>
          <w:rFonts w:ascii="Calibri" w:eastAsia="Aptos" w:hAnsi="Calibri" w:cs="Calibri"/>
        </w:rPr>
      </w:pPr>
      <w:r w:rsidRPr="00925062">
        <w:rPr>
          <w:rFonts w:ascii="Calibri" w:eastAsia="Aptos" w:hAnsi="Calibri" w:cs="Calibri"/>
        </w:rPr>
        <w:t>Improve joint working by introducing a national, cross-departmental plan for transition, co-produced by young people with learning disabilities and their families</w:t>
      </w:r>
    </w:p>
    <w:p w:rsidR="00B6724D" w:rsidRPr="00925062" w:rsidP="00925062">
      <w:pPr>
        <w:pStyle w:val="ListParagraph"/>
        <w:numPr>
          <w:ilvl w:val="1"/>
          <w:numId w:val="3"/>
        </w:numPr>
        <w:jc w:val="center"/>
        <w:rPr>
          <w:rFonts w:ascii="Calibri" w:eastAsia="Aptos" w:hAnsi="Calibri" w:cs="Calibri"/>
        </w:rPr>
      </w:pPr>
      <w:r w:rsidRPr="00925062">
        <w:rPr>
          <w:rFonts w:ascii="Calibri" w:eastAsia="Aptos" w:hAnsi="Calibri" w:cs="Calibri"/>
        </w:rPr>
        <w:t>At a minimum, the departments involved should include the Department for Education, the Department of Health and Social Care and the Ministry of Housing, Communities and Local Government</w:t>
      </w:r>
      <w:r w:rsidRPr="00925062">
        <w:rPr>
          <w:rFonts w:ascii="Calibri" w:eastAsia="Aptos" w:hAnsi="Calibri" w:cs="Calibri"/>
        </w:rPr>
        <w:t xml:space="preserve"> (due to the importance of suitable housing for young people with learning disabilities)</w:t>
      </w:r>
    </w:p>
    <w:p w:rsidR="00B6724D" w:rsidRPr="00925062" w:rsidP="00925062">
      <w:pPr>
        <w:pStyle w:val="ListParagraph"/>
        <w:numPr>
          <w:ilvl w:val="0"/>
          <w:numId w:val="3"/>
        </w:numPr>
        <w:jc w:val="center"/>
        <w:rPr>
          <w:rFonts w:ascii="Calibri" w:eastAsia="Aptos" w:hAnsi="Calibri" w:cs="Calibri"/>
        </w:rPr>
      </w:pPr>
      <w:r w:rsidRPr="00925062">
        <w:rPr>
          <w:rFonts w:ascii="Calibri" w:eastAsia="Aptos" w:hAnsi="Calibri" w:cs="Calibri"/>
        </w:rPr>
        <w:t>Make sure all young people and their families have access to a named transition coordinator</w:t>
      </w:r>
    </w:p>
    <w:p w:rsidR="00B6724D" w:rsidRPr="00925062" w:rsidP="00925062">
      <w:pPr>
        <w:pStyle w:val="ListParagraph"/>
        <w:numPr>
          <w:ilvl w:val="1"/>
          <w:numId w:val="3"/>
        </w:numPr>
        <w:jc w:val="center"/>
        <w:rPr>
          <w:rFonts w:ascii="Calibri" w:eastAsia="Aptos" w:hAnsi="Calibri" w:cs="Calibri"/>
        </w:rPr>
      </w:pPr>
      <w:r w:rsidRPr="00925062">
        <w:rPr>
          <w:rFonts w:ascii="Calibri" w:eastAsia="Aptos" w:hAnsi="Calibri" w:cs="Calibri"/>
        </w:rPr>
        <w:t xml:space="preserve">This would improve coordination and reduce stress on family carers – addressing the physical and mental health issues </w:t>
      </w:r>
      <w:r w:rsidRPr="00925062">
        <w:rPr>
          <w:rFonts w:ascii="Calibri" w:eastAsia="Aptos" w:hAnsi="Calibri" w:cs="Calibri"/>
        </w:rPr>
        <w:t>and impacts on employment caused by poor transitions/having to act as coordinator</w:t>
      </w:r>
    </w:p>
    <w:p w:rsidR="00B6724D" w:rsidRPr="00925062" w:rsidP="00925062">
      <w:pPr>
        <w:pStyle w:val="ListParagraph"/>
        <w:numPr>
          <w:ilvl w:val="0"/>
          <w:numId w:val="3"/>
        </w:numPr>
        <w:jc w:val="center"/>
        <w:rPr>
          <w:rFonts w:ascii="Calibri" w:eastAsia="Aptos" w:hAnsi="Calibri" w:cs="Calibri"/>
        </w:rPr>
      </w:pPr>
      <w:r w:rsidRPr="00925062">
        <w:rPr>
          <w:rFonts w:ascii="Calibri" w:eastAsia="Aptos" w:hAnsi="Calibri" w:cs="Calibri"/>
        </w:rPr>
        <w:t>Amend the Care Act 2014 to introduce a statutory age of 14 to begin transition planning</w:t>
      </w:r>
    </w:p>
    <w:p w:rsidR="00B6724D" w:rsidRPr="00925062" w:rsidP="00925062">
      <w:pPr>
        <w:pStyle w:val="ListParagraph"/>
        <w:numPr>
          <w:ilvl w:val="1"/>
          <w:numId w:val="3"/>
        </w:numPr>
        <w:jc w:val="center"/>
        <w:rPr>
          <w:rFonts w:ascii="Calibri" w:eastAsia="Aptos" w:hAnsi="Calibri" w:cs="Calibri"/>
        </w:rPr>
      </w:pPr>
      <w:r w:rsidRPr="00925062">
        <w:rPr>
          <w:rFonts w:ascii="Calibri" w:eastAsia="Aptos" w:hAnsi="Calibri" w:cs="Calibri"/>
        </w:rPr>
        <w:t xml:space="preserve">This is </w:t>
      </w:r>
      <w:r w:rsidRPr="00925062">
        <w:rPr>
          <w:rFonts w:ascii="Calibri" w:eastAsia="Aptos" w:hAnsi="Calibri" w:cs="Calibri"/>
        </w:rPr>
        <w:t>in line with the Law Commission’s recommendation in their review of Disabled Children’s Social Care</w:t>
      </w:r>
    </w:p>
    <w:p w:rsidR="00B6724D" w:rsidRPr="00925062" w:rsidP="00925062">
      <w:pPr>
        <w:pStyle w:val="ListParagraph"/>
        <w:numPr>
          <w:ilvl w:val="0"/>
          <w:numId w:val="3"/>
        </w:numPr>
        <w:jc w:val="center"/>
        <w:rPr>
          <w:rFonts w:ascii="Calibri" w:eastAsia="Aptos" w:hAnsi="Calibri" w:cs="Calibri"/>
        </w:rPr>
      </w:pPr>
      <w:r w:rsidRPr="00925062">
        <w:rPr>
          <w:rFonts w:ascii="Calibri" w:eastAsia="Aptos" w:hAnsi="Calibri" w:cs="Calibri"/>
        </w:rPr>
        <w:t>Strengthen the evidence base for ‘what works’ in transition for young people with learning disabilities</w:t>
      </w:r>
    </w:p>
    <w:p w:rsidR="00B6724D" w:rsidP="00925062">
      <w:pPr>
        <w:pStyle w:val="ListParagraph"/>
        <w:numPr>
          <w:ilvl w:val="1"/>
          <w:numId w:val="3"/>
        </w:numPr>
        <w:jc w:val="center"/>
        <w:rPr>
          <w:rFonts w:ascii="Calibri" w:eastAsia="Aptos" w:hAnsi="Calibri" w:cs="Calibri"/>
        </w:rPr>
      </w:pPr>
      <w:r w:rsidRPr="00925062">
        <w:rPr>
          <w:rFonts w:ascii="Calibri" w:eastAsia="Aptos" w:hAnsi="Calibri" w:cs="Calibri"/>
        </w:rPr>
        <w:t>O</w:t>
      </w:r>
      <w:r w:rsidRPr="00925062">
        <w:rPr>
          <w:rFonts w:ascii="Calibri" w:eastAsia="Aptos" w:hAnsi="Calibri" w:cs="Calibri"/>
        </w:rPr>
        <w:t xml:space="preserve">ur review identified a serious lack of </w:t>
      </w:r>
      <w:r w:rsidRPr="00925062">
        <w:rPr>
          <w:rFonts w:ascii="Calibri" w:eastAsia="Aptos" w:hAnsi="Calibri" w:cs="Calibri"/>
        </w:rPr>
        <w:t>evaluated approaches to transition for young people with learning disabilities</w:t>
      </w:r>
    </w:p>
    <w:p w:rsidR="00925062" w:rsidP="00925062">
      <w:pPr>
        <w:jc w:val="center"/>
        <w:rPr>
          <w:rFonts w:ascii="Calibri" w:eastAsia="Aptos" w:hAnsi="Calibri" w:cs="Calibri"/>
        </w:rPr>
      </w:pPr>
    </w:p>
    <w:p w:rsidR="00925062" w:rsidP="00925062">
      <w:pPr>
        <w:jc w:val="center"/>
        <w:rPr>
          <w:rFonts w:ascii="Calibri" w:eastAsia="Aptos" w:hAnsi="Calibri" w:cs="Calibri"/>
        </w:rPr>
      </w:pPr>
    </w:p>
    <w:p w:rsidR="00925062" w:rsidRPr="00925062" w:rsidP="00925062">
      <w:pPr>
        <w:rPr>
          <w:rFonts w:ascii="Calibri" w:eastAsia="Aptos" w:hAnsi="Calibri" w:cs="Calibri"/>
          <w:i/>
          <w:iCs/>
        </w:rPr>
      </w:pPr>
      <w:r w:rsidRPr="00925062">
        <w:rPr>
          <w:rFonts w:ascii="Calibri" w:eastAsia="Aptos" w:hAnsi="Calibri" w:cs="Calibri"/>
          <w:i/>
          <w:iCs/>
        </w:rPr>
        <w:t>May 2026</w:t>
      </w:r>
    </w:p>
    <w:sectPr>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6724D">
      <w:pPr>
        <w:spacing w:after="0" w:line="240" w:lineRule="auto"/>
      </w:pPr>
      <w:r>
        <w:separator/>
      </w:r>
    </w:p>
  </w:footnote>
  <w:footnote w:type="continuationSeparator" w:id="1">
    <w:p w:rsidR="00B6724D">
      <w:pPr>
        <w:spacing w:after="0" w:line="240" w:lineRule="auto"/>
      </w:pPr>
      <w:r>
        <w:continuationSeparator/>
      </w:r>
    </w:p>
  </w:footnote>
  <w:footnote w:id="2">
    <w:p w:rsidR="00B6724D" w:rsidP="24B037FF">
      <w:pPr>
        <w:pStyle w:val="FootnoteText"/>
      </w:pPr>
      <w:r w:rsidRPr="24B037FF">
        <w:rPr>
          <w:rStyle w:val="FootnoteReference"/>
        </w:rPr>
        <w:footnoteRef/>
      </w:r>
      <w:r>
        <w:t xml:space="preserve"> McGill, P., Cooper, V., and Honeyman, G., ‘Developing better commissioning for individuals with behaviour that challenges – a scoping exercise’, Tizard Centre and the Challenging Behaviour Foundation</w:t>
      </w:r>
      <w:r>
        <w:t xml:space="preserve"> (2010)</w:t>
      </w:r>
      <w:r>
        <w:t xml:space="preserve">. Available from: </w:t>
      </w:r>
      <w:r>
        <w:fldChar w:fldCharType="begin"/>
      </w:r>
      <w:r>
        <w:instrText xml:space="preserve"> HYPERLINK "https://research.kent.ac.uk/tizard/wp-content/uploads/sites/2302/2019/01/finalreportwithtitlepage.pdf" </w:instrText>
      </w:r>
      <w:r>
        <w:fldChar w:fldCharType="separate"/>
      </w:r>
      <w:r w:rsidRPr="24B037FF">
        <w:rPr>
          <w:rStyle w:val="Hyperlink"/>
        </w:rPr>
        <w:t>https://research.kent.ac.uk/tizard/wp-content/uploads/sites/2302/2019/01/finalreportwithtitlepage.pdf</w:t>
      </w:r>
      <w:r>
        <w:fldChar w:fldCharType="end"/>
      </w:r>
      <w:r>
        <w:t xml:space="preserve"> </w:t>
      </w:r>
    </w:p>
  </w:footnote>
  <w:footnote w:id="3">
    <w:p w:rsidR="00B6724D" w:rsidP="00C145A4">
      <w:pPr>
        <w:pStyle w:val="FootnoteText"/>
        <w:rPr>
          <w:rFonts w:ascii="Aptos" w:hAnsi="Aptos"/>
        </w:rPr>
      </w:pPr>
      <w:r w:rsidRPr="24B037FF">
        <w:rPr>
          <w:rStyle w:val="FootnoteReference"/>
        </w:rPr>
        <w:footnoteRef/>
      </w:r>
      <w:r>
        <w:t xml:space="preserve"> </w:t>
      </w:r>
      <w:r w:rsidRPr="24B037FF">
        <w:rPr>
          <w:rFonts w:ascii="Aptos" w:hAnsi="Aptos"/>
        </w:rPr>
        <w:t xml:space="preserve">Soper, P., Stewart, A. G., Nathan, R., Nall-Evans, S., Mills, R., Michelet, F., and Jaydeokar, S.,  ‘Do demographic, and clinical characteristics influence meeting NICE quality standards for young people transitioning to adult intellectual disability services?’, </w:t>
      </w:r>
      <w:r w:rsidRPr="24B037FF">
        <w:rPr>
          <w:rFonts w:ascii="Aptos" w:hAnsi="Aptos"/>
          <w:i/>
          <w:iCs/>
        </w:rPr>
        <w:t>Advances in Mental Health and Intellectual Disabilities</w:t>
      </w:r>
      <w:r w:rsidRPr="24B037FF">
        <w:rPr>
          <w:rFonts w:ascii="Aptos" w:hAnsi="Aptos"/>
        </w:rPr>
        <w:t xml:space="preserve">, </w:t>
      </w:r>
      <w:r w:rsidRPr="24B037FF">
        <w:rPr>
          <w:rFonts w:ascii="Aptos" w:hAnsi="Aptos"/>
          <w:b/>
          <w:bCs/>
        </w:rPr>
        <w:t>16</w:t>
      </w:r>
      <w:r w:rsidRPr="24B037FF">
        <w:rPr>
          <w:rFonts w:ascii="Aptos" w:hAnsi="Aptos"/>
        </w:rPr>
        <w:t>, 4 (2022)</w:t>
      </w:r>
    </w:p>
    <w:p w:rsidR="00B6724D" w:rsidP="24B037FF">
      <w:pPr>
        <w:pStyle w:val="FootnoteText"/>
      </w:pPr>
    </w:p>
  </w:footnote>
  <w:footnote w:id="4">
    <w:p w:rsidR="00B6724D" w:rsidP="24B037FF">
      <w:pPr>
        <w:pStyle w:val="FootnoteText"/>
      </w:pPr>
      <w:r w:rsidRPr="24B037FF">
        <w:rPr>
          <w:rStyle w:val="FootnoteReference"/>
        </w:rPr>
        <w:footnoteRef/>
      </w:r>
      <w:r>
        <w:t xml:space="preserve"> Brown, M., Chouliara, Z., MacArthur, J., Truesdale, M., and Higgins, A., ‘Transition from child to adult health services for people with complex learning disabilities: learning from families and nurses (Final report)’ (2021). Available from: </w:t>
      </w:r>
      <w:r>
        <w:fldChar w:fldCharType="begin"/>
      </w:r>
      <w:r>
        <w:instrText xml:space="preserve"> HYPERLINK "https://pureadmin.qub.ac.uk/ws/portalfiles/portal/230518757/Health_Transitions_Full_Report_2020.pdf" </w:instrText>
      </w:r>
      <w:r>
        <w:fldChar w:fldCharType="separate"/>
      </w:r>
      <w:r w:rsidRPr="24B037FF">
        <w:rPr>
          <w:rStyle w:val="Hyperlink"/>
        </w:rPr>
        <w:t>https://pureadmin.qub.ac.uk/ws/portalfiles/portal/230518757/Health_Transitions_Full_Report_2020.pdf</w:t>
      </w:r>
      <w:r>
        <w:fldChar w:fldCharType="end"/>
      </w:r>
    </w:p>
  </w:footnote>
  <w:footnote w:id="5">
    <w:p w:rsidR="00B6724D" w:rsidP="24B037FF">
      <w:pPr>
        <w:pStyle w:val="FootnoteText"/>
      </w:pPr>
      <w:r w:rsidRPr="24B037FF">
        <w:rPr>
          <w:rStyle w:val="FootnoteReference"/>
        </w:rPr>
        <w:footnoteRef/>
      </w:r>
      <w:r>
        <w:t xml:space="preserve"> People with learning disabilities are frequently subject to high levels of medication as a way of controlling behaviour. According to the most recent NHS Digital Health and Care of People with Learning Disabilities statistics (published Dec 2025), nearly 14% of people with learning disabilities are prescribed antipsychotics compared to 0.94% of people without a learning disability. </w:t>
      </w:r>
    </w:p>
    <w:p w:rsidR="00B6724D" w:rsidP="24B037FF">
      <w:pPr>
        <w:pStyle w:val="FootnoteText"/>
      </w:pPr>
      <w:r>
        <w:t>NHS England has initiated the ‘Stopping Overmedication of People with a Learning Disability and Autistic People’ (STOMP) and ‘Supporting Treatment and Appropriate Medication in Paediatrics’ (STAMP) programmes to try to address the inappropriate prescribing of psychotropic medications. However, as of Dec 2025, 8.24% of all people on the learning disability register, and 60% of all people with learning disabilities who are prescribed antipsychotics, are prescribed these despite not having a diagnosis of sever</w:t>
      </w:r>
      <w:r>
        <w:t xml:space="preserve">e mental illness (SMI) or being on the palliative care register. </w:t>
      </w:r>
      <w:r>
        <w:fldChar w:fldCharType="begin"/>
      </w:r>
      <w:r>
        <w:instrText xml:space="preserve"> HYPERLINK "https://digital.nhs.uk/data-and-information/publications/statistical/health-and-care-of-people-with-learning-disabilities/experimental-statistics-2024-to-2025" </w:instrText>
      </w:r>
      <w:r>
        <w:fldChar w:fldCharType="separate"/>
      </w:r>
      <w:r w:rsidRPr="24B037FF">
        <w:rPr>
          <w:rStyle w:val="Hyperlink"/>
        </w:rPr>
        <w:t>https://digital.nhs.uk/data-and-information/publications/statistical/health-and-care-of-people-with-learning-disabilities/experimental-statistics-2024-to-2025</w:t>
      </w:r>
      <w:r>
        <w:fldChar w:fldCharType="end"/>
      </w:r>
    </w:p>
  </w:footnote>
  <w:footnote w:id="6">
    <w:p w:rsidR="00B6724D" w:rsidP="24B037FF">
      <w:pPr>
        <w:pStyle w:val="FootnoteText"/>
      </w:pPr>
      <w:r w:rsidRPr="24B037FF">
        <w:rPr>
          <w:rStyle w:val="FootnoteReference"/>
        </w:rPr>
        <w:footnoteRef/>
      </w:r>
      <w:r>
        <w:t xml:space="preserve"> The National Confidential Enquiry into Patient Outcome and Death, ‘The Inbetweeners: A review of the barriers and facilitators in the process of the transition of children and young people with complex chronic health conditions moving into adult health services’ (2023). Available from: </w:t>
      </w:r>
      <w:r>
        <w:fldChar w:fldCharType="begin"/>
      </w:r>
      <w:r>
        <w:instrText xml:space="preserve"> HYPERLINK "https://www.ncepod.org.uk/2023transition.html" </w:instrText>
      </w:r>
      <w:r>
        <w:fldChar w:fldCharType="separate"/>
      </w:r>
      <w:r w:rsidRPr="24B037FF">
        <w:rPr>
          <w:rStyle w:val="Hyperlink"/>
        </w:rPr>
        <w:t>https://www.ncepod.org.uk/2023transition.html</w:t>
      </w:r>
      <w:r>
        <w:fldChar w:fldCharType="end"/>
      </w:r>
      <w:r>
        <w:t xml:space="preserve"> </w:t>
      </w:r>
    </w:p>
  </w:footnote>
  <w:footnote w:id="7">
    <w:p w:rsidR="00B6724D" w:rsidP="24B037FF">
      <w:pPr>
        <w:pStyle w:val="FootnoteText"/>
      </w:pPr>
      <w:r w:rsidRPr="24B037FF">
        <w:rPr>
          <w:rStyle w:val="FootnoteReference"/>
        </w:rPr>
        <w:footnoteRef/>
      </w:r>
      <w:r>
        <w:t xml:space="preserve"> </w:t>
      </w:r>
      <w:r>
        <w:t xml:space="preserve">Brown, M., Chouliara, Z., MacArthur, J., Truesdale, M., and Higgins, A., ‘Transition from child to adult health services for people with complex learning disabilities: learning from families and nurses (Final report)’ (2021). Available from: </w:t>
      </w:r>
      <w:r>
        <w:fldChar w:fldCharType="begin"/>
      </w:r>
      <w:r>
        <w:instrText xml:space="preserve"> HYPERLINK "https://pureadmin.qub.ac.uk/ws/portalfiles/portal/230518757/Health_Transitions_Full_Report_2020.pdf" </w:instrText>
      </w:r>
      <w:r>
        <w:fldChar w:fldCharType="separate"/>
      </w:r>
      <w:r w:rsidRPr="24B037FF">
        <w:rPr>
          <w:rStyle w:val="Hyperlink"/>
        </w:rPr>
        <w:t>https://pureadmin.qub.ac.uk/ws/portalfiles/portal/230518757/Health_Transitions_Full_Report_2020.pdf</w:t>
      </w:r>
      <w:r>
        <w:fldChar w:fldCharType="end"/>
      </w:r>
    </w:p>
  </w:footnote>
  <w:footnote w:id="8">
    <w:p w:rsidR="00B6724D" w:rsidP="24B037FF">
      <w:pPr>
        <w:pStyle w:val="FootnoteText"/>
      </w:pPr>
      <w:r w:rsidRPr="24B037FF">
        <w:rPr>
          <w:rStyle w:val="FootnoteReference"/>
        </w:rPr>
        <w:footnoteRef/>
      </w:r>
      <w:r>
        <w:t xml:space="preserve"> </w:t>
      </w:r>
      <w:r w:rsidRPr="24B037FF">
        <w:rPr>
          <w:rFonts w:ascii="Aptos" w:eastAsia="Aptos" w:hAnsi="Aptos" w:cs="Aptos"/>
          <w:color w:val="000000" w:themeColor="text1"/>
        </w:rPr>
        <w:t xml:space="preserve">Tyers, C., and Sinclair, A., ‘Learning and development for family/unpaid carers of children/young people with a learning disability and/or autism: rapid evidence review and mapping study - report to Skills for Care’, Research Partners (2019). Available from: </w:t>
      </w:r>
      <w:r>
        <w:fldChar w:fldCharType="begin"/>
      </w:r>
      <w:r>
        <w:instrText xml:space="preserve"> HYPERLINK "https://www.skillsforcare.org.uk/resources/documents/Developing-your-workforce/Care-topics/Learning-disability/Learning-and-development-for-people-with-a-learning-disability-and-or-autism-transition-into-adulthood-research.pdf" </w:instrText>
      </w:r>
      <w:r>
        <w:fldChar w:fldCharType="separate"/>
      </w:r>
      <w:r w:rsidRPr="24B037FF">
        <w:rPr>
          <w:rStyle w:val="Hyperlink"/>
          <w:rFonts w:ascii="Aptos" w:eastAsia="Aptos" w:hAnsi="Aptos" w:cs="Aptos"/>
        </w:rPr>
        <w:t>https://www.skillsforcare.org.uk/resources/documents/Developing-your-workforce/Care-topics/Learning-disability/Learning-and-development-for-people-with-a-learning-disability-and-or-autism-transition-into-adulthood-research.pdf</w:t>
      </w:r>
      <w:r>
        <w:fldChar w:fldCharType="end"/>
      </w:r>
    </w:p>
  </w:footnote>
  <w:footnote w:id="9">
    <w:p w:rsidR="00B6724D" w:rsidP="24B037FF">
      <w:pPr>
        <w:pStyle w:val="FootnoteText"/>
        <w:rPr>
          <w:rFonts w:ascii="Aptos" w:hAnsi="Aptos"/>
        </w:rPr>
      </w:pPr>
      <w:r w:rsidRPr="24B037FF">
        <w:rPr>
          <w:rStyle w:val="FootnoteReference"/>
        </w:rPr>
        <w:footnoteRef/>
      </w:r>
      <w:r>
        <w:t xml:space="preserve"> </w:t>
      </w:r>
      <w:r w:rsidRPr="24B037FF">
        <w:rPr>
          <w:rFonts w:ascii="Aptos" w:hAnsi="Aptos"/>
          <w:color w:val="000000" w:themeColor="text1"/>
        </w:rPr>
        <w:t xml:space="preserve">Deb, S., Le Mesurier, N., and Bathia, N., ‘Guidelines for Services for Young People (14–25 Years) with Learning Difficulties/Disabilities and Mental Health Problems/ Challenging Behaviours: Quick Reference Guide’ (2006). Available from: </w:t>
      </w:r>
      <w:r>
        <w:fldChar w:fldCharType="begin"/>
      </w:r>
      <w:r>
        <w:instrText xml:space="preserve"> HYPERLINK "https://www.birmingham.ac.uk/Documents/college-les/psych/ld/LDTransitionGuide5-4.pdf" </w:instrText>
      </w:r>
      <w:r>
        <w:fldChar w:fldCharType="separate"/>
      </w:r>
      <w:r w:rsidRPr="24B037FF">
        <w:rPr>
          <w:rStyle w:val="Hyperlink"/>
          <w:rFonts w:ascii="Aptos" w:hAnsi="Aptos"/>
        </w:rPr>
        <w:t>https://www.birmingham.ac.uk/Documents/college-les/psych/ld/LDTransitionGuide5-4.pdf</w:t>
      </w:r>
      <w:r>
        <w:fldChar w:fldCharType="end"/>
      </w:r>
    </w:p>
  </w:footnote>
  <w:footnote w:id="10">
    <w:p w:rsidR="00B6724D" w:rsidP="24B037FF">
      <w:pPr>
        <w:pStyle w:val="FootnoteText"/>
        <w:rPr>
          <w:rFonts w:ascii="Aptos" w:hAnsi="Aptos"/>
        </w:rPr>
      </w:pPr>
      <w:r w:rsidRPr="24B037FF">
        <w:rPr>
          <w:rStyle w:val="FootnoteReference"/>
        </w:rPr>
        <w:footnoteRef/>
      </w:r>
      <w:r>
        <w:t xml:space="preserve"> </w:t>
      </w:r>
      <w:r w:rsidRPr="24B037FF">
        <w:rPr>
          <w:rFonts w:ascii="Aptos" w:hAnsi="Aptos"/>
          <w:color w:val="000000" w:themeColor="text1"/>
        </w:rPr>
        <w:t xml:space="preserve">Kaehne, A., Kiernan, J., Ridley, J., Maden, M., Onochie, D., and Pilkington, M., ‘Rapid review: Transition for young people with learning disabilities in housing, social care, and health care, education/training, and employment’, Edge Hill University (2018). Available from: </w:t>
      </w:r>
      <w:r>
        <w:fldChar w:fldCharType="begin"/>
      </w:r>
      <w:r>
        <w:instrText xml:space="preserve"> HYPERLINK "https://research.edgehill.ac.uk/ws/portalfiles/portal/20055335/CCfW%20final%20report%2004072018.pdf" </w:instrText>
      </w:r>
      <w:r>
        <w:fldChar w:fldCharType="separate"/>
      </w:r>
      <w:r w:rsidRPr="24B037FF">
        <w:rPr>
          <w:rStyle w:val="Hyperlink"/>
          <w:rFonts w:ascii="Aptos" w:hAnsi="Aptos"/>
        </w:rPr>
        <w:t>https://research.edgehill.ac.uk/ws/portalfiles/portal/20055335/CCfW%20final%20report%2004072018.pdf</w:t>
      </w:r>
      <w:r>
        <w:fldChar w:fldCharType="end"/>
      </w:r>
    </w:p>
  </w:footnote>
  <w:footnote w:id="11">
    <w:p w:rsidR="00B6724D" w:rsidP="24B037FF">
      <w:pPr>
        <w:pStyle w:val="FootnoteText"/>
      </w:pPr>
      <w:r w:rsidRPr="24B037FF">
        <w:rPr>
          <w:rStyle w:val="FootnoteReference"/>
        </w:rPr>
        <w:footnoteRef/>
      </w:r>
      <w:r>
        <w:t xml:space="preserve"> </w:t>
      </w:r>
      <w:r w:rsidRPr="24B037FF">
        <w:rPr>
          <w:rFonts w:ascii="Aptos" w:eastAsia="Aptos" w:hAnsi="Aptos" w:cs="Aptos"/>
          <w:color w:val="000000" w:themeColor="text1"/>
        </w:rPr>
        <w:t xml:space="preserve">Tyers, C., and Sinclair, A., ‘Learning and development for family/unpaid carers of children/young people with a learning disability and/or autism: rapid evidence review and mapping study - report to Skills for Care’, Research Partners (2019). Available from: </w:t>
      </w:r>
      <w:r>
        <w:fldChar w:fldCharType="begin"/>
      </w:r>
      <w:r>
        <w:instrText xml:space="preserve"> HYPERLINK "https://www.skillsforcare.org.uk/resources/documents/Developing-your-workforce/Care-topics/Learning-disability/Learning-and-development-for-people-with-a-learning-disability-and-or-autism-transition-into-adulthood-research.pdf" </w:instrText>
      </w:r>
      <w:r>
        <w:fldChar w:fldCharType="separate"/>
      </w:r>
      <w:r w:rsidRPr="24B037FF">
        <w:rPr>
          <w:rStyle w:val="Hyperlink"/>
          <w:rFonts w:ascii="Aptos" w:eastAsia="Aptos" w:hAnsi="Aptos" w:cs="Aptos"/>
        </w:rPr>
        <w:t>https://www.skillsforcare.org.uk/resources/documents/Developing-your-workforce/Care-topics/Learning-disability/Learning-and-development-for-people-with-a-learning-disability-and-or-autism-transition-into-adulthood-research.pdf</w:t>
      </w:r>
      <w:r>
        <w:fldChar w:fldCharType="end"/>
      </w:r>
    </w:p>
  </w:footnote>
  <w:footnote w:id="12">
    <w:p w:rsidR="00B6724D" w:rsidP="24B037FF">
      <w:pPr>
        <w:pStyle w:val="FootnoteText"/>
        <w:rPr>
          <w:rFonts w:ascii="Aptos" w:hAnsi="Aptos"/>
        </w:rPr>
      </w:pPr>
      <w:r w:rsidRPr="24B037FF">
        <w:rPr>
          <w:rStyle w:val="FootnoteReference"/>
        </w:rPr>
        <w:footnoteRef/>
      </w:r>
      <w:r>
        <w:t xml:space="preserve"> </w:t>
      </w:r>
      <w:r w:rsidRPr="24B037FF">
        <w:rPr>
          <w:rFonts w:ascii="Aptos" w:hAnsi="Aptos"/>
          <w:color w:val="000000" w:themeColor="text1"/>
        </w:rPr>
        <w:t xml:space="preserve">The Challenging Behaviour Foundation, ‘What Matters to Me’. Available from: </w:t>
      </w:r>
      <w:r>
        <w:fldChar w:fldCharType="begin"/>
      </w:r>
      <w:r>
        <w:instrText xml:space="preserve"> HYPERLINK "https://www.challengingbehaviour.org.uk/what-we-do/projects-and-research/what-matters-to-me/" </w:instrText>
      </w:r>
      <w:r>
        <w:fldChar w:fldCharType="separate"/>
      </w:r>
      <w:r w:rsidRPr="24B037FF">
        <w:rPr>
          <w:rStyle w:val="Hyperlink"/>
          <w:rFonts w:ascii="Aptos" w:hAnsi="Aptos"/>
        </w:rPr>
        <w:t>https://www.challengingbehaviour.org.uk/what-we-do/projects-and-research/what-matters-to-me/</w:t>
      </w:r>
      <w:r>
        <w:fldChar w:fldCharType="end"/>
      </w:r>
    </w:p>
  </w:footnote>
  <w:footnote w:id="13">
    <w:p w:rsidR="00B6724D" w:rsidP="24B037FF">
      <w:pPr>
        <w:pStyle w:val="FootnoteText"/>
        <w:rPr>
          <w:rFonts w:ascii="Aptos" w:hAnsi="Aptos"/>
        </w:rPr>
      </w:pPr>
      <w:r w:rsidRPr="24B037FF">
        <w:rPr>
          <w:rStyle w:val="FootnoteReference"/>
        </w:rPr>
        <w:footnoteRef/>
      </w:r>
      <w:r>
        <w:t xml:space="preserve"> </w:t>
      </w:r>
      <w:r w:rsidRPr="24B037FF">
        <w:rPr>
          <w:rFonts w:ascii="Aptos" w:hAnsi="Aptos"/>
          <w:color w:val="000000" w:themeColor="text1"/>
        </w:rPr>
        <w:t xml:space="preserve">Jacobs, P., Quayle, E., Wilkinson, H., and MacMahon, K., ‘Relationships matter! - Utilising ethics of care to understand transitions in the lives of adults with severe intellectual disabilities’, </w:t>
      </w:r>
      <w:r w:rsidRPr="24B037FF">
        <w:rPr>
          <w:rFonts w:ascii="Aptos" w:hAnsi="Aptos"/>
          <w:i/>
          <w:iCs/>
          <w:color w:val="000000" w:themeColor="text1"/>
        </w:rPr>
        <w:t>British Journal of Learning Disabilities</w:t>
      </w:r>
      <w:r w:rsidRPr="24B037FF">
        <w:rPr>
          <w:rFonts w:ascii="Aptos" w:hAnsi="Aptos"/>
          <w:color w:val="000000" w:themeColor="text1"/>
        </w:rPr>
        <w:t xml:space="preserve">, </w:t>
      </w:r>
      <w:r w:rsidRPr="24B037FF">
        <w:rPr>
          <w:rFonts w:ascii="Aptos" w:hAnsi="Aptos"/>
          <w:b/>
          <w:bCs/>
          <w:color w:val="000000" w:themeColor="text1"/>
        </w:rPr>
        <w:t>49</w:t>
      </w:r>
      <w:r w:rsidRPr="24B037FF">
        <w:rPr>
          <w:rFonts w:ascii="Aptos" w:hAnsi="Aptos"/>
          <w:color w:val="000000" w:themeColor="text1"/>
        </w:rPr>
        <w:t>, 3 (2021)</w:t>
      </w:r>
    </w:p>
  </w:footnote>
  <w:footnote w:id="14">
    <w:p w:rsidR="00B6724D" w:rsidP="24B037FF">
      <w:pPr>
        <w:pStyle w:val="FootnoteText"/>
        <w:rPr>
          <w:rFonts w:ascii="Aptos" w:hAnsi="Aptos"/>
        </w:rPr>
      </w:pPr>
      <w:r w:rsidRPr="24B037FF">
        <w:rPr>
          <w:rStyle w:val="FootnoteReference"/>
        </w:rPr>
        <w:footnoteRef/>
      </w:r>
      <w:r>
        <w:t xml:space="preserve"> </w:t>
      </w:r>
      <w:r w:rsidRPr="24B037FF">
        <w:rPr>
          <w:rFonts w:ascii="Aptos" w:hAnsi="Aptos"/>
          <w:color w:val="000000" w:themeColor="text1"/>
        </w:rPr>
        <w:t xml:space="preserve">Andrea Barron, D., and Hassiotis, A., ‘Good practice in transition services for young people with learning disabilities: a review’, </w:t>
      </w:r>
      <w:r w:rsidRPr="24B037FF">
        <w:rPr>
          <w:rFonts w:ascii="Aptos" w:hAnsi="Aptos"/>
          <w:i/>
          <w:iCs/>
          <w:color w:val="000000" w:themeColor="text1"/>
        </w:rPr>
        <w:t>Advances in Mental Health and Learning Disabilities</w:t>
      </w:r>
      <w:r w:rsidRPr="24B037FF">
        <w:rPr>
          <w:rFonts w:ascii="Aptos" w:hAnsi="Aptos"/>
          <w:color w:val="000000" w:themeColor="text1"/>
        </w:rPr>
        <w:t xml:space="preserve">, </w:t>
      </w:r>
      <w:r w:rsidRPr="24B037FF">
        <w:rPr>
          <w:rFonts w:ascii="Aptos" w:hAnsi="Aptos"/>
          <w:b/>
          <w:bCs/>
          <w:color w:val="000000" w:themeColor="text1"/>
        </w:rPr>
        <w:t>2</w:t>
      </w:r>
      <w:r w:rsidRPr="24B037FF">
        <w:rPr>
          <w:rFonts w:ascii="Aptos" w:hAnsi="Aptos"/>
          <w:color w:val="000000" w:themeColor="text1"/>
        </w:rPr>
        <w:t>, 3 (2008)</w:t>
      </w:r>
    </w:p>
  </w:footnote>
  <w:footnote w:id="15">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Heslop, P., Mallett, R., Simons, K., and Ward, L., ‘Bridging the divide at transition: what happens for young people with learning difficulties and their families? – Final summary of research findings’, Norah Fry Research Centre (2002) Available from: </w:t>
      </w:r>
      <w:r>
        <w:fldChar w:fldCharType="begin"/>
      </w:r>
      <w:r>
        <w:instrText xml:space="preserve"> HYPERLINK "https://research-information.bris.ac.uk/ws/portalfiles/portal/190243603/Summary.pdf" </w:instrText>
      </w:r>
      <w:r>
        <w:fldChar w:fldCharType="separate"/>
      </w:r>
      <w:r w:rsidRPr="24B037FF">
        <w:rPr>
          <w:rStyle w:val="Hyperlink"/>
          <w:rFonts w:ascii="Aptos" w:hAnsi="Aptos"/>
        </w:rPr>
        <w:t>https://research-information.bris.ac.uk/ws/portalfiles/portal/190243603/Summary.pdf</w:t>
      </w:r>
      <w:r>
        <w:fldChar w:fldCharType="end"/>
      </w:r>
    </w:p>
  </w:footnote>
  <w:footnote w:id="16">
    <w:p w:rsidR="00B6724D" w:rsidP="24B037FF">
      <w:pPr>
        <w:pStyle w:val="FootnoteText"/>
        <w:rPr>
          <w:rFonts w:ascii="Aptos" w:hAnsi="Aptos"/>
        </w:rPr>
      </w:pPr>
      <w:r w:rsidRPr="24B037FF">
        <w:rPr>
          <w:rStyle w:val="FootnoteReference"/>
        </w:rPr>
        <w:footnoteRef/>
      </w:r>
      <w:r>
        <w:t xml:space="preserve"> </w:t>
      </w:r>
      <w:r w:rsidRPr="24B037FF">
        <w:rPr>
          <w:rFonts w:ascii="Aptos" w:hAnsi="Aptos"/>
          <w:color w:val="000000" w:themeColor="text1"/>
        </w:rPr>
        <w:t xml:space="preserve">Codd, J., and Hewitt, O., ‘Having a son or daughter with an intellectual disability transition to adulthood: A parental perspective’, </w:t>
      </w:r>
      <w:r w:rsidRPr="24B037FF">
        <w:rPr>
          <w:rFonts w:ascii="Aptos" w:hAnsi="Aptos"/>
          <w:i/>
          <w:iCs/>
          <w:color w:val="000000" w:themeColor="text1"/>
        </w:rPr>
        <w:t>British Journal of Learning Disabilities</w:t>
      </w:r>
      <w:r w:rsidRPr="24B037FF">
        <w:rPr>
          <w:rFonts w:ascii="Aptos" w:hAnsi="Aptos"/>
          <w:color w:val="000000" w:themeColor="text1"/>
        </w:rPr>
        <w:t xml:space="preserve">, </w:t>
      </w:r>
      <w:r w:rsidRPr="24B037FF">
        <w:rPr>
          <w:rFonts w:ascii="Aptos" w:hAnsi="Aptos"/>
          <w:b/>
          <w:bCs/>
          <w:color w:val="000000" w:themeColor="text1"/>
        </w:rPr>
        <w:t>49</w:t>
      </w:r>
      <w:r w:rsidRPr="24B037FF">
        <w:rPr>
          <w:rFonts w:ascii="Aptos" w:hAnsi="Aptos"/>
          <w:color w:val="000000" w:themeColor="text1"/>
        </w:rPr>
        <w:t>, 1 (2020)</w:t>
      </w:r>
    </w:p>
  </w:footnote>
  <w:footnote w:id="17">
    <w:p w:rsidR="00B6724D" w:rsidP="24B037FF">
      <w:pPr>
        <w:pStyle w:val="FootnoteText"/>
      </w:pPr>
      <w:r w:rsidRPr="24B037FF">
        <w:rPr>
          <w:rStyle w:val="FootnoteReference"/>
        </w:rPr>
        <w:footnoteRef/>
      </w:r>
      <w:r>
        <w:t xml:space="preserve"> Brown, M., Chouliara, Z., MacArthur, J., Truesdale, M., and Higgins, A., ‘Transition from child to adult health services for people with complex learning disabilities: learning from families and nurses (Final report)’ (2021). Available from: </w:t>
      </w:r>
      <w:r>
        <w:fldChar w:fldCharType="begin"/>
      </w:r>
      <w:r>
        <w:instrText xml:space="preserve"> HYPERLINK "https://pureadmin.qub.ac.uk/ws/portalfiles/portal/230518757/Health_Transitions_Full_Report_2020.pdf" </w:instrText>
      </w:r>
      <w:r>
        <w:fldChar w:fldCharType="separate"/>
      </w:r>
      <w:r w:rsidRPr="24B037FF">
        <w:rPr>
          <w:rStyle w:val="Hyperlink"/>
        </w:rPr>
        <w:t>https://pureadmin.qub.ac.uk/ws/portalfiles/portal/230518757/Health_Transitions_Full_Report_2020.pdf</w:t>
      </w:r>
      <w:r>
        <w:fldChar w:fldCharType="end"/>
      </w:r>
      <w:r>
        <w:t xml:space="preserve"> </w:t>
      </w:r>
    </w:p>
  </w:footnote>
  <w:footnote w:id="18">
    <w:p w:rsidR="00B6724D" w:rsidP="24B037FF">
      <w:pPr>
        <w:pStyle w:val="FootnoteText"/>
      </w:pPr>
      <w:r w:rsidRPr="24B037FF">
        <w:rPr>
          <w:rStyle w:val="FootnoteReference"/>
        </w:rPr>
        <w:footnoteRef/>
      </w:r>
      <w:r>
        <w:t xml:space="preserve"> e.g. </w:t>
      </w:r>
      <w:r w:rsidRPr="24B037FF">
        <w:rPr>
          <w:rFonts w:ascii="Aptos" w:eastAsia="Aptos" w:hAnsi="Aptos" w:cs="Aptos"/>
          <w:color w:val="000000" w:themeColor="text1"/>
        </w:rPr>
        <w:t xml:space="preserve">Children’s Commissioner for Wales, ‘‘Don’t Hold Back’: Transitions to adulthood for young people with learning disabilities’ (2018). Available from: </w:t>
      </w:r>
      <w:r>
        <w:fldChar w:fldCharType="begin"/>
      </w:r>
      <w:r>
        <w:instrText xml:space="preserve"> HYPERLINK "https://www.childcomwales.org.uk/wp-content/uploads/2019/10/Dont-Hold-Back.pdf" </w:instrText>
      </w:r>
      <w:r>
        <w:fldChar w:fldCharType="separate"/>
      </w:r>
      <w:r w:rsidRPr="24B037FF">
        <w:rPr>
          <w:rStyle w:val="Hyperlink"/>
          <w:rFonts w:ascii="Aptos" w:eastAsia="Aptos" w:hAnsi="Aptos" w:cs="Aptos"/>
        </w:rPr>
        <w:t>https://www.childcomwales.org.uk/wp-content/uploads/2019/10/Dont-Hold-Back.pdf</w:t>
      </w:r>
      <w:r>
        <w:fldChar w:fldCharType="end"/>
      </w:r>
    </w:p>
  </w:footnote>
  <w:footnote w:id="19">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Clarke, S., Sloper, P., Moran, N., Cusworth, L., Franklin, A., and Beecham, J., ‘Multi-agency transition services: greater collaboration needed to meet the priorities of young disabled children with complex needs as they move into adulthood’, </w:t>
      </w:r>
      <w:r w:rsidRPr="24B037FF">
        <w:rPr>
          <w:rFonts w:ascii="Aptos" w:hAnsi="Aptos"/>
          <w:i/>
          <w:iCs/>
        </w:rPr>
        <w:t>Journal of Integrated Care</w:t>
      </w:r>
      <w:r w:rsidRPr="24B037FF">
        <w:rPr>
          <w:rFonts w:ascii="Aptos" w:hAnsi="Aptos"/>
        </w:rPr>
        <w:t xml:space="preserve">, </w:t>
      </w:r>
      <w:r w:rsidRPr="24B037FF">
        <w:rPr>
          <w:rFonts w:ascii="Aptos" w:hAnsi="Aptos"/>
          <w:b/>
          <w:bCs/>
        </w:rPr>
        <w:t>19</w:t>
      </w:r>
      <w:r w:rsidRPr="24B037FF">
        <w:rPr>
          <w:rFonts w:ascii="Aptos" w:hAnsi="Aptos"/>
        </w:rPr>
        <w:t>, 5 (2011)</w:t>
      </w:r>
    </w:p>
  </w:footnote>
  <w:footnote w:id="20">
    <w:p w:rsidR="00B6724D" w:rsidRPr="00C145A4" w:rsidP="24B037FF">
      <w:pPr>
        <w:pStyle w:val="FootnoteText"/>
        <w:rPr>
          <w:rFonts w:ascii="Aptos" w:hAnsi="Aptos"/>
          <w:u w:val="single"/>
        </w:rPr>
      </w:pPr>
      <w:r w:rsidRPr="24B037FF">
        <w:rPr>
          <w:rStyle w:val="FootnoteReference"/>
        </w:rPr>
        <w:footnoteRef/>
      </w:r>
      <w:r>
        <w:t xml:space="preserve"> </w:t>
      </w:r>
      <w:r w:rsidRPr="24B037FF">
        <w:rPr>
          <w:rFonts w:ascii="Aptos" w:hAnsi="Aptos"/>
        </w:rPr>
        <w:t xml:space="preserve">Department of Health, ‘Transforming care: a national response to Winterbourne View Hospital’ (2012). Available from: </w:t>
      </w:r>
      <w:r>
        <w:fldChar w:fldCharType="begin"/>
      </w:r>
      <w:r>
        <w:instrText xml:space="preserve"> HYPERLINK "https://assets.publishing.service.gov.uk/media/5a7b91f7ed915d13110601c3/final-report.pdf" </w:instrText>
      </w:r>
      <w:r>
        <w:fldChar w:fldCharType="separate"/>
      </w:r>
      <w:r w:rsidRPr="24B037FF">
        <w:rPr>
          <w:rStyle w:val="Hyperlink"/>
          <w:rFonts w:ascii="Aptos" w:hAnsi="Aptos"/>
        </w:rPr>
        <w:t>https://assets.publishing.service.gov.uk/media/5a7b91f7ed915d13110601c3/final-report.pdf</w:t>
      </w:r>
      <w:r>
        <w:fldChar w:fldCharType="end"/>
      </w:r>
    </w:p>
  </w:footnote>
  <w:footnote w:id="21">
    <w:p w:rsidR="00B6724D" w:rsidP="24B037FF">
      <w:pPr>
        <w:pStyle w:val="FootnoteText"/>
        <w:rPr>
          <w:rFonts w:ascii="Aptos" w:hAnsi="Aptos"/>
          <w:u w:val="single"/>
        </w:rPr>
      </w:pPr>
      <w:r w:rsidRPr="24B037FF">
        <w:rPr>
          <w:rStyle w:val="FootnoteReference"/>
        </w:rPr>
        <w:footnoteRef/>
      </w:r>
      <w:r>
        <w:t xml:space="preserve"> The Challenging Behaviour Foundation and Mencap, </w:t>
      </w:r>
      <w:r w:rsidRPr="24B037FF">
        <w:rPr>
          <w:rFonts w:ascii="Aptos" w:hAnsi="Aptos"/>
        </w:rPr>
        <w:t xml:space="preserve">‘Keeping in Touch with Home’ (2016). Available from: </w:t>
      </w:r>
      <w:r>
        <w:fldChar w:fldCharType="begin"/>
      </w:r>
      <w:r>
        <w:instrText xml:space="preserve"> HYPERLINK "https://www.challengingbehaviour.org.uk/wp-content/uploads/2021/03/Keeping-in-touch-with-home-web-version.pdf" </w:instrText>
      </w:r>
      <w:r>
        <w:fldChar w:fldCharType="separate"/>
      </w:r>
      <w:r w:rsidRPr="24B037FF">
        <w:rPr>
          <w:rStyle w:val="Hyperlink"/>
          <w:rFonts w:ascii="Aptos" w:hAnsi="Aptos"/>
        </w:rPr>
        <w:t>https://www.challengingbehaviour.org.uk/wp-content/uploads/2021/03/Keeping-in-touch-with-home-web-version.pdf</w:t>
      </w:r>
      <w:r>
        <w:fldChar w:fldCharType="end"/>
      </w:r>
      <w:r w:rsidRPr="24B037FF">
        <w:rPr>
          <w:rFonts w:ascii="Aptos" w:hAnsi="Aptos"/>
        </w:rPr>
        <w:t xml:space="preserve"> </w:t>
      </w:r>
    </w:p>
  </w:footnote>
  <w:footnote w:id="22">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Cambridge, P., Beadle-Brown, J., Milne, A., Mansell, J., and Whelton, B., ‘Exploring the incidence, risk factors, nature and monitoring of adult protection alerts’, Tizard Centre (2006). Available from: </w:t>
      </w:r>
      <w:r>
        <w:fldChar w:fldCharType="begin"/>
      </w:r>
      <w:r>
        <w:instrText xml:space="preserve"> HYPERLINK "https://research.kent.ac.uk/tizard/wp-content/uploads/sites/2302/2019/01/cambridge_2006_tizardadultprotection.pdf" </w:instrText>
      </w:r>
      <w:r>
        <w:fldChar w:fldCharType="separate"/>
      </w:r>
      <w:r w:rsidRPr="24B037FF">
        <w:rPr>
          <w:rStyle w:val="Hyperlink"/>
          <w:rFonts w:ascii="Aptos" w:hAnsi="Aptos"/>
        </w:rPr>
        <w:t>https://research.kent.ac.uk/tizard/wp-content/uploads/sites/2302/2019/01/cambridge_2006_tizardadultprotection.pdf</w:t>
      </w:r>
      <w:r>
        <w:fldChar w:fldCharType="end"/>
      </w:r>
    </w:p>
  </w:footnote>
  <w:footnote w:id="23">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The Child Safeguarding Practice Review Panel, ‘Safeguarding children with disabilities and complex health needs in residential settings: Phase 1 report’ (2022). Available from: </w:t>
      </w:r>
      <w:r>
        <w:fldChar w:fldCharType="begin"/>
      </w:r>
      <w:r>
        <w:instrText xml:space="preserve"> HYPERLINK "https://assets.publishing.service.gov.uk/media/635914568fa8f557d066c1ad/safeguarding_children_with_disabilities_in_residential_care_homes_phase_1_report.pdf" </w:instrText>
      </w:r>
      <w:r>
        <w:fldChar w:fldCharType="separate"/>
      </w:r>
      <w:r w:rsidRPr="24B037FF">
        <w:rPr>
          <w:rStyle w:val="Hyperlink"/>
          <w:rFonts w:ascii="Aptos" w:hAnsi="Aptos"/>
        </w:rPr>
        <w:t>https://assets.publishing.service.gov.uk/media/635914568fa8f557d066c1ad/safeguarding_children_with_disabilities_in_residential_care_homes_phase_1_report.pdf</w:t>
      </w:r>
      <w:r>
        <w:fldChar w:fldCharType="end"/>
      </w:r>
    </w:p>
  </w:footnote>
  <w:footnote w:id="24">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White, A., Sheehan, R., Ditzel, N., Ding, J., Roberts, C., Magill, N., Yu, MKL., Keagan-Bull, R., Chauhan, U., Tuffrey-Wijne, I., and Strydom, A., ‘Learning from Lives and Deaths – People with a learning disability and autistic people (LeDeR) report for 2023’, LeDeR Autism and Learning Disability Partnership, King’s College London (2026). Available from: </w:t>
      </w:r>
      <w:r>
        <w:fldChar w:fldCharType="begin"/>
      </w:r>
      <w:r>
        <w:instrText xml:space="preserve"> HYPERLINK "https://www.kcl.ac.uk/ioppn/assets/pdfs/leder/2023-final-updated.pdf" </w:instrText>
      </w:r>
      <w:r>
        <w:fldChar w:fldCharType="separate"/>
      </w:r>
      <w:r w:rsidRPr="24B037FF">
        <w:rPr>
          <w:rStyle w:val="Hyperlink"/>
          <w:rFonts w:ascii="Aptos" w:hAnsi="Aptos"/>
        </w:rPr>
        <w:t>https://www.kcl.ac.uk/ioppn/assets/pdfs/leder/2023-final-updated.pdf</w:t>
      </w:r>
      <w:r>
        <w:fldChar w:fldCharType="end"/>
      </w:r>
    </w:p>
  </w:footnote>
  <w:footnote w:id="25">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Young-Southward, G., Rydzewska, E., Philo, C., and Cooper, S-A., ‘Physical and mental health of young people with and without intellectual disabilities: cross-sectional analysis of a whole country population’, </w:t>
      </w:r>
      <w:r w:rsidRPr="24B037FF">
        <w:rPr>
          <w:rFonts w:ascii="Aptos" w:hAnsi="Aptos"/>
          <w:i/>
          <w:iCs/>
        </w:rPr>
        <w:t>Journal of Intellectual Disability Research</w:t>
      </w:r>
      <w:r w:rsidRPr="24B037FF">
        <w:rPr>
          <w:rFonts w:ascii="Aptos" w:hAnsi="Aptos"/>
        </w:rPr>
        <w:t xml:space="preserve">, </w:t>
      </w:r>
      <w:r w:rsidRPr="24B037FF">
        <w:rPr>
          <w:rFonts w:ascii="Aptos" w:hAnsi="Aptos"/>
          <w:b/>
          <w:bCs/>
        </w:rPr>
        <w:t>61</w:t>
      </w:r>
      <w:r w:rsidRPr="24B037FF">
        <w:rPr>
          <w:rFonts w:ascii="Aptos" w:hAnsi="Aptos"/>
        </w:rPr>
        <w:t>, 10 (2017)</w:t>
      </w:r>
    </w:p>
  </w:footnote>
  <w:footnote w:id="26">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Cooper, S-A., McLean, G., Guthrie, B., McConnachie, A., Mercer, S., Sullivan, G., and Morrison, J., ‘Multiple physical and mental health comorbidity in adults with intellectual disabilities: population-based cross-sectional analysis’, </w:t>
      </w:r>
      <w:r w:rsidRPr="24B037FF">
        <w:rPr>
          <w:rFonts w:ascii="Aptos" w:hAnsi="Aptos"/>
          <w:i/>
          <w:iCs/>
        </w:rPr>
        <w:t>BMC Family Practice</w:t>
      </w:r>
      <w:r w:rsidRPr="24B037FF">
        <w:rPr>
          <w:rFonts w:ascii="Aptos" w:hAnsi="Aptos"/>
        </w:rPr>
        <w:t xml:space="preserve">, </w:t>
      </w:r>
      <w:r w:rsidRPr="24B037FF">
        <w:rPr>
          <w:rFonts w:ascii="Aptos" w:hAnsi="Aptos"/>
          <w:b/>
          <w:bCs/>
        </w:rPr>
        <w:t>16</w:t>
      </w:r>
      <w:r w:rsidRPr="24B037FF">
        <w:rPr>
          <w:rFonts w:ascii="Aptos" w:hAnsi="Aptos"/>
        </w:rPr>
        <w:t xml:space="preserve"> (2015)</w:t>
      </w:r>
    </w:p>
  </w:footnote>
  <w:footnote w:id="27">
    <w:p w:rsidR="00B6724D" w:rsidP="24B037FF">
      <w:pPr>
        <w:pStyle w:val="FootnoteText"/>
      </w:pPr>
      <w:r w:rsidRPr="24B037FF">
        <w:rPr>
          <w:rStyle w:val="FootnoteReference"/>
        </w:rPr>
        <w:footnoteRef/>
      </w:r>
      <w:r>
        <w:t xml:space="preserve"> Beresford, B., and Cavet, J., ‘Transitions to Adult Services by Disabled Young People Leaving Out Authority Residential Schools’ (2009). Available from: </w:t>
      </w:r>
      <w:r>
        <w:fldChar w:fldCharType="begin"/>
      </w:r>
      <w:r>
        <w:instrText xml:space="preserve"> HYPERLINK "https://www.york.ac.uk/inst/spru/pubs/pdf/resident.pdf" </w:instrText>
      </w:r>
      <w:r>
        <w:fldChar w:fldCharType="separate"/>
      </w:r>
      <w:r w:rsidRPr="24B037FF">
        <w:rPr>
          <w:rStyle w:val="Hyperlink"/>
        </w:rPr>
        <w:t>https://www.york.ac.uk/inst/spru/pubs/pdf/resident.pdf</w:t>
      </w:r>
      <w:r>
        <w:fldChar w:fldCharType="end"/>
      </w:r>
      <w:r>
        <w:t xml:space="preserve"> </w:t>
      </w:r>
    </w:p>
  </w:footnote>
  <w:footnote w:id="28">
    <w:p w:rsidR="00B6724D" w:rsidP="24B037FF">
      <w:pPr>
        <w:pStyle w:val="FootnoteText"/>
      </w:pPr>
      <w:r w:rsidRPr="24B037FF">
        <w:rPr>
          <w:rStyle w:val="FootnoteReference"/>
        </w:rPr>
        <w:footnoteRef/>
      </w:r>
      <w:r>
        <w:t xml:space="preserve"> E.g., Morris, J., and Julian, S., ‘Preventing people with a learning disability from dying too young’, Nuffield Trust (2024). Available from: </w:t>
      </w:r>
      <w:r>
        <w:fldChar w:fldCharType="begin"/>
      </w:r>
      <w:r>
        <w:instrText xml:space="preserve"> HYPERLINK "https://www.nuffieldtrust.org.uk/sites/default/files/2024-03/Nuffield%20Trust%20-%20Learning%20disability_WEB_FINAL_1.pdf" </w:instrText>
      </w:r>
      <w:r>
        <w:fldChar w:fldCharType="separate"/>
      </w:r>
      <w:r w:rsidRPr="24B037FF">
        <w:rPr>
          <w:rStyle w:val="Hyperlink"/>
        </w:rPr>
        <w:t>https://www.nuffieldtrust.org.uk/sites/default/files/2024-03/Nuffield%20Trust%20-%20Learning%20disability_WEB_FINAL_1.pdf</w:t>
      </w:r>
      <w:r>
        <w:fldChar w:fldCharType="end"/>
      </w:r>
      <w:r>
        <w:t xml:space="preserve"> </w:t>
      </w:r>
    </w:p>
  </w:footnote>
  <w:footnote w:id="29">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Brown, M., </w:t>
      </w:r>
      <w:bookmarkStart w:id="0" w:name="_Int_Eylgqfiw"/>
      <w:r w:rsidRPr="24B037FF">
        <w:rPr>
          <w:rFonts w:ascii="Aptos" w:hAnsi="Aptos"/>
        </w:rPr>
        <w:t>Chouliara</w:t>
      </w:r>
      <w:bookmarkEnd w:id="0"/>
      <w:r w:rsidRPr="24B037FF">
        <w:rPr>
          <w:rFonts w:ascii="Aptos" w:hAnsi="Aptos"/>
        </w:rPr>
        <w:t xml:space="preserve">, Z., MacArthur, J., Truesdale, M., and Higgins, A., ‘Transition from child to adult health services for people with complex learning disabilities: learning from families and nurses (Final report)’ (2020). Available from: </w:t>
      </w:r>
      <w:r>
        <w:fldChar w:fldCharType="begin"/>
      </w:r>
      <w:r>
        <w:instrText xml:space="preserve"> HYPERLINK "https://pureadmin.qub.ac.uk/ws/portalfiles/portal/230518757/Health_Transitions_Full_Report_2020.pdf" </w:instrText>
      </w:r>
      <w:r>
        <w:fldChar w:fldCharType="separate"/>
      </w:r>
      <w:r w:rsidRPr="24B037FF">
        <w:rPr>
          <w:rStyle w:val="Hyperlink"/>
          <w:rFonts w:ascii="Aptos" w:hAnsi="Aptos"/>
        </w:rPr>
        <w:t>https://pureadmin.qub.ac.uk/ws/portalfiles/portal/230518757/Health_Transitions_Full_Report_2020.pdf</w:t>
      </w:r>
      <w:r>
        <w:fldChar w:fldCharType="end"/>
      </w:r>
    </w:p>
  </w:footnote>
  <w:footnote w:id="30">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Care Quality Commission, ‘Out of sight – who cares? A review of restraint, seclusion and segregation for autistic people, and people with a learning disability and/or mental health condition’ (2020). Available from: </w:t>
      </w:r>
      <w:r>
        <w:fldChar w:fldCharType="begin"/>
      </w:r>
      <w:r>
        <w:instrText xml:space="preserve"> HYPERLINK "https://www.cqc.org.uk/sites/default/files/20201218_rssreview_report.pdf" </w:instrText>
      </w:r>
      <w:r>
        <w:fldChar w:fldCharType="separate"/>
      </w:r>
      <w:r w:rsidRPr="24B037FF">
        <w:rPr>
          <w:rStyle w:val="Hyperlink"/>
          <w:rFonts w:ascii="Aptos" w:hAnsi="Aptos"/>
        </w:rPr>
        <w:t>https://www.cqc.org.uk/sites/default/files/20201218_rssreview_report.pdf</w:t>
      </w:r>
      <w:r>
        <w:fldChar w:fldCharType="end"/>
      </w:r>
    </w:p>
  </w:footnote>
  <w:footnote w:id="31">
    <w:p w:rsidR="00B6724D" w:rsidP="24B037FF">
      <w:pPr>
        <w:pStyle w:val="FootnoteText"/>
      </w:pPr>
      <w:r w:rsidRPr="24B037FF">
        <w:rPr>
          <w:rStyle w:val="FootnoteReference"/>
        </w:rPr>
        <w:footnoteRef/>
      </w:r>
      <w:r>
        <w:t xml:space="preserve"> The same finding was made by the Health and Social Care Committee in 2021 </w:t>
      </w:r>
      <w:r>
        <w:fldChar w:fldCharType="begin"/>
      </w:r>
      <w:r>
        <w:instrText xml:space="preserve"> HYPERLINK "https://committees.parliament.uk/publications/6669/documents/71689/default/" </w:instrText>
      </w:r>
      <w:r>
        <w:fldChar w:fldCharType="separate"/>
      </w:r>
      <w:r w:rsidRPr="24B037FF">
        <w:rPr>
          <w:rStyle w:val="Hyperlink"/>
        </w:rPr>
        <w:t>https://committees.parliament.uk/publications/6669/documents/71689/default/</w:t>
      </w:r>
      <w:r>
        <w:fldChar w:fldCharType="end"/>
      </w:r>
    </w:p>
  </w:footnote>
  <w:footnote w:id="32">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National Institute for Health and Care Excellence, ‘NG11: Challenging behaviour and learning disabilities: prevention and interventions for people with learning disabilities whose behaviour challenges’ (2015). Available from: </w:t>
      </w:r>
      <w:r>
        <w:fldChar w:fldCharType="begin"/>
      </w:r>
      <w:r>
        <w:instrText xml:space="preserve"> HYPERLINK "https://www.nice.org.uk/guidance/ng11" </w:instrText>
      </w:r>
      <w:r>
        <w:fldChar w:fldCharType="separate"/>
      </w:r>
      <w:r w:rsidRPr="24B037FF">
        <w:rPr>
          <w:rStyle w:val="Hyperlink"/>
          <w:rFonts w:ascii="Aptos" w:hAnsi="Aptos"/>
        </w:rPr>
        <w:t>https://www.nice.org.uk/guidance/ng11</w:t>
      </w:r>
      <w:r>
        <w:fldChar w:fldCharType="end"/>
      </w:r>
    </w:p>
  </w:footnote>
  <w:footnote w:id="33">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NHS Digital, ‘Statistics on people with a learning disability and autistic people in mental health hospitals, AT: March 2026, MHSDS: February 2026’ (2026). Available from: </w:t>
      </w:r>
      <w:r>
        <w:fldChar w:fldCharType="begin"/>
      </w:r>
      <w:r>
        <w:instrText xml:space="preserve"> HYPERLINK "https://digital.nhs.uk/data-and-information/publications/statistical/learning-disability-services-statistics/at-march-2026-mhsds-february-2026" </w:instrText>
      </w:r>
      <w:r>
        <w:fldChar w:fldCharType="separate"/>
      </w:r>
      <w:r w:rsidRPr="24B037FF">
        <w:rPr>
          <w:rStyle w:val="Hyperlink"/>
          <w:rFonts w:ascii="Aptos" w:hAnsi="Aptos"/>
        </w:rPr>
        <w:t>https://digital.nhs.uk/data-and-information/publications/statistical/learning-disability-services-statistics/at-march-2026-mhsds-february-2026</w:t>
      </w:r>
      <w:r>
        <w:fldChar w:fldCharType="end"/>
      </w:r>
      <w:r w:rsidRPr="24B037FF">
        <w:rPr>
          <w:rFonts w:ascii="Aptos" w:hAnsi="Aptos"/>
        </w:rPr>
        <w:t xml:space="preserve"> </w:t>
      </w:r>
    </w:p>
  </w:footnote>
  <w:footnote w:id="34">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Shanahan, P., Ollis, L., Balla, K., Patel, R., and Long, K., ‘Experiences of transition from children’s to adult’s healthcare services for young people with a neurodevelopmental condition’, </w:t>
      </w:r>
      <w:r w:rsidRPr="24B037FF">
        <w:rPr>
          <w:rFonts w:ascii="Aptos" w:hAnsi="Aptos"/>
          <w:i/>
          <w:iCs/>
        </w:rPr>
        <w:t>Health and Social Care in the Community</w:t>
      </w:r>
      <w:r w:rsidRPr="24B037FF">
        <w:rPr>
          <w:rFonts w:ascii="Aptos" w:hAnsi="Aptos"/>
        </w:rPr>
        <w:t xml:space="preserve">, </w:t>
      </w:r>
      <w:r w:rsidRPr="24B037FF">
        <w:rPr>
          <w:rFonts w:ascii="Aptos" w:hAnsi="Aptos"/>
          <w:b/>
          <w:bCs/>
        </w:rPr>
        <w:t>29</w:t>
      </w:r>
      <w:r w:rsidRPr="24B037FF">
        <w:rPr>
          <w:rFonts w:ascii="Aptos" w:hAnsi="Aptos"/>
        </w:rPr>
        <w:t>, 5 (2020)</w:t>
      </w:r>
    </w:p>
  </w:footnote>
  <w:footnote w:id="35">
    <w:p w:rsidR="00B6724D" w:rsidP="24B037FF">
      <w:pPr>
        <w:pStyle w:val="FootnoteText"/>
        <w:rPr>
          <w:rFonts w:ascii="Aptos" w:hAnsi="Aptos"/>
        </w:rPr>
      </w:pPr>
      <w:r w:rsidRPr="24B037FF">
        <w:rPr>
          <w:rStyle w:val="FootnoteReference"/>
        </w:rPr>
        <w:footnoteRef/>
      </w:r>
      <w:r>
        <w:t xml:space="preserve"> Child Safeguarding Practice Review Panel, </w:t>
      </w:r>
      <w:r w:rsidRPr="24B037FF">
        <w:rPr>
          <w:rFonts w:ascii="Aptos" w:hAnsi="Aptos"/>
        </w:rPr>
        <w:t xml:space="preserve">‘Safeguarding children with disabilities and complex health needs in residential settings: Phase 2 report’ (2023). Available from: </w:t>
      </w:r>
      <w:r>
        <w:fldChar w:fldCharType="begin"/>
      </w:r>
      <w:r>
        <w:instrText xml:space="preserve"> HYPERLINK "https://assets.publishing.service.gov.uk/media/643e82136dda69000c11df6a/Safeguarding_children_with_disabilities_in_residential_care_homes_phase_2_report.pdf" </w:instrText>
      </w:r>
      <w:r>
        <w:fldChar w:fldCharType="separate"/>
      </w:r>
      <w:r w:rsidRPr="24B037FF">
        <w:rPr>
          <w:rStyle w:val="Hyperlink"/>
          <w:rFonts w:ascii="Aptos" w:hAnsi="Aptos"/>
        </w:rPr>
        <w:t>https://assets.publishing.service.gov.uk/media/643e82136dda69000c11df6a/Safeguarding_children_with_disabilities_in_residential_care_homes_phase_2_report.pdf</w:t>
      </w:r>
      <w:r>
        <w:fldChar w:fldCharType="end"/>
      </w:r>
      <w:r w:rsidRPr="24B037FF">
        <w:rPr>
          <w:rFonts w:ascii="Aptos" w:hAnsi="Aptos"/>
        </w:rPr>
        <w:t xml:space="preserve"> </w:t>
      </w:r>
    </w:p>
  </w:footnote>
  <w:footnote w:id="36">
    <w:p w:rsidR="00B6724D" w:rsidP="24B037FF">
      <w:pPr>
        <w:pStyle w:val="FootnoteText"/>
        <w:rPr>
          <w:rFonts w:ascii="Aptos" w:hAnsi="Aptos"/>
        </w:rPr>
      </w:pPr>
      <w:r w:rsidRPr="24B037FF">
        <w:rPr>
          <w:rStyle w:val="FootnoteReference"/>
        </w:rPr>
        <w:footnoteRef/>
      </w:r>
      <w:r>
        <w:t xml:space="preserve"> Children’s Commissioner, </w:t>
      </w:r>
      <w:r w:rsidRPr="24B037FF">
        <w:rPr>
          <w:rFonts w:ascii="Aptos" w:hAnsi="Aptos"/>
        </w:rPr>
        <w:t xml:space="preserve">‘The state of children and young people’s advocacy services in England’ (2023). Available from: </w:t>
      </w:r>
      <w:r>
        <w:fldChar w:fldCharType="begin"/>
      </w:r>
      <w:r>
        <w:instrText xml:space="preserve"> HYPERLINK "https://assets.childrenscommissioner.gov.uk/wpuploads/2023/12/Audit-FINAL.pdf" </w:instrText>
      </w:r>
      <w:r>
        <w:fldChar w:fldCharType="separate"/>
      </w:r>
      <w:r w:rsidRPr="24B037FF">
        <w:rPr>
          <w:rStyle w:val="Hyperlink"/>
          <w:rFonts w:ascii="Aptos" w:hAnsi="Aptos"/>
        </w:rPr>
        <w:t>https://assets.childrenscommissioner.gov.uk/wpuploads/2023/12/Audit-FINAL.pdf</w:t>
      </w:r>
      <w:r>
        <w:fldChar w:fldCharType="end"/>
      </w:r>
      <w:r w:rsidRPr="24B037FF">
        <w:rPr>
          <w:rFonts w:ascii="Aptos" w:hAnsi="Aptos"/>
        </w:rPr>
        <w:t xml:space="preserve"> </w:t>
      </w:r>
    </w:p>
  </w:footnote>
  <w:footnote w:id="37">
    <w:p w:rsidR="00B6724D" w:rsidP="24B037FF">
      <w:pPr>
        <w:pStyle w:val="FootnoteText"/>
        <w:rPr>
          <w:rFonts w:ascii="Aptos" w:hAnsi="Aptos"/>
        </w:rPr>
      </w:pPr>
      <w:r w:rsidRPr="24B037FF">
        <w:rPr>
          <w:rStyle w:val="FootnoteReference"/>
        </w:rPr>
        <w:footnoteRef/>
      </w:r>
      <w:r>
        <w:t xml:space="preserve"> Social Finance, Speakup Self Advocacy and The Henry Smith Charity, </w:t>
      </w:r>
      <w:r w:rsidRPr="24B037FF">
        <w:rPr>
          <w:rFonts w:ascii="Aptos" w:hAnsi="Aptos"/>
        </w:rPr>
        <w:t xml:space="preserve">‘Independent advocacy for independent lives’ (2025). Available from: </w:t>
      </w:r>
      <w:r>
        <w:fldChar w:fldCharType="begin"/>
      </w:r>
      <w:r>
        <w:instrText xml:space="preserve"> HYPERLINK "https://www.socialfinance.org.uk/evidence/independent-advocacy-for-independent-lives" </w:instrText>
      </w:r>
      <w:r>
        <w:fldChar w:fldCharType="separate"/>
      </w:r>
      <w:r w:rsidRPr="24B037FF">
        <w:rPr>
          <w:rStyle w:val="Hyperlink"/>
          <w:rFonts w:ascii="Aptos" w:hAnsi="Aptos"/>
        </w:rPr>
        <w:t>https://www.socialfinance.org.uk/evidence/independent-advocacy-for-independent-lives</w:t>
      </w:r>
      <w:r>
        <w:fldChar w:fldCharType="end"/>
      </w:r>
      <w:r w:rsidRPr="24B037FF">
        <w:rPr>
          <w:rFonts w:ascii="Aptos" w:hAnsi="Aptos"/>
        </w:rPr>
        <w:t xml:space="preserve"> </w:t>
      </w:r>
    </w:p>
  </w:footnote>
  <w:footnote w:id="38">
    <w:p w:rsidR="00B6724D" w:rsidP="24B037FF">
      <w:pPr>
        <w:pStyle w:val="FootnoteText"/>
      </w:pPr>
      <w:r w:rsidRPr="24B037FF">
        <w:rPr>
          <w:rStyle w:val="FootnoteReference"/>
        </w:rPr>
        <w:footnoteRef/>
      </w:r>
      <w:r>
        <w:t xml:space="preserve"> MacDonald, A., ‘Coming Home: A Report on Out-of-Area Placements and Delayed Discharge for People with Learning Disabilities and Complex Needs’, Scottish Government (2018). Available from: </w:t>
      </w:r>
      <w:r>
        <w:fldChar w:fldCharType="begin"/>
      </w:r>
      <w:r>
        <w:instrText xml:space="preserve"> HYPERLINK "https://www.gov.scot/binaries/content/documents/govscot/publications/research-and-analysis/2018/11/coming-home-complex-care-needs-out-area-placements-report-2018/documents/00543272-pdf/00543272-pdf/govscot%3Adocument/00543272.pdf" </w:instrText>
      </w:r>
      <w:r>
        <w:fldChar w:fldCharType="separate"/>
      </w:r>
      <w:r w:rsidRPr="24B037FF">
        <w:rPr>
          <w:rStyle w:val="Hyperlink"/>
        </w:rPr>
        <w:t>https://www.gov.scot/binaries/content/documents/govscot/publications/research-and-analysis/2018/11/coming-home-complex-care-needs-out-area-placements-report-2018/documents/00543272-pdf/00543272-pdf/govscot%3Adocument/00543272.pdf</w:t>
      </w:r>
      <w:r>
        <w:fldChar w:fldCharType="end"/>
      </w:r>
      <w:r>
        <w:t xml:space="preserve"> </w:t>
      </w:r>
    </w:p>
  </w:footnote>
  <w:footnote w:id="39">
    <w:p w:rsidR="00B6724D" w:rsidP="24B037FF">
      <w:pPr>
        <w:pStyle w:val="FootnoteText"/>
      </w:pPr>
      <w:r w:rsidRPr="24B037FF">
        <w:rPr>
          <w:rStyle w:val="FootnoteReference"/>
        </w:rPr>
        <w:footnoteRef/>
      </w:r>
      <w:r>
        <w:t xml:space="preserve"> Beresford, B., and Cavet, J., ‘Transitions to Adult Services by Disabled Young People Leaving Out Authority Residential Schools’ (2009). Available from: </w:t>
      </w:r>
      <w:r>
        <w:fldChar w:fldCharType="begin"/>
      </w:r>
      <w:r>
        <w:instrText xml:space="preserve"> HYPERLINK "https://www.york.ac.uk/inst/spru/pubs/pdf/resident.pdf" </w:instrText>
      </w:r>
      <w:r>
        <w:fldChar w:fldCharType="separate"/>
      </w:r>
      <w:r w:rsidRPr="24B037FF">
        <w:rPr>
          <w:rStyle w:val="Hyperlink"/>
        </w:rPr>
        <w:t>https://www.york.ac.uk/inst/spru/pubs/pdf/resident.pdf</w:t>
      </w:r>
      <w:r>
        <w:fldChar w:fldCharType="end"/>
      </w:r>
      <w:r>
        <w:t xml:space="preserve"> </w:t>
      </w:r>
    </w:p>
  </w:footnote>
  <w:footnote w:id="40">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Heslop, P., and Abbott, D., ‘Help to move on – but to what? Young people with learning difficulties moving on from out-of-area residential schools or colleges’, </w:t>
      </w:r>
      <w:r w:rsidRPr="24B037FF">
        <w:rPr>
          <w:rFonts w:ascii="Aptos" w:hAnsi="Aptos"/>
          <w:i/>
          <w:iCs/>
        </w:rPr>
        <w:t>British Journal of Learning Disabilities</w:t>
      </w:r>
      <w:r w:rsidRPr="24B037FF">
        <w:rPr>
          <w:rFonts w:ascii="Aptos" w:hAnsi="Aptos"/>
        </w:rPr>
        <w:t xml:space="preserve">, </w:t>
      </w:r>
      <w:r w:rsidRPr="24B037FF">
        <w:rPr>
          <w:rFonts w:ascii="Aptos" w:hAnsi="Aptos"/>
          <w:b/>
          <w:bCs/>
        </w:rPr>
        <w:t>37</w:t>
      </w:r>
      <w:r w:rsidRPr="24B037FF">
        <w:rPr>
          <w:rFonts w:ascii="Aptos" w:hAnsi="Aptos"/>
        </w:rPr>
        <w:t>, 1 (2008)</w:t>
      </w:r>
    </w:p>
  </w:footnote>
  <w:footnote w:id="41">
    <w:p w:rsidR="00B6724D" w:rsidP="24B037FF">
      <w:pPr>
        <w:pStyle w:val="FootnoteText"/>
      </w:pPr>
      <w:r w:rsidRPr="24B037FF">
        <w:rPr>
          <w:rStyle w:val="FootnoteReference"/>
        </w:rPr>
        <w:footnoteRef/>
      </w:r>
      <w:r>
        <w:t xml:space="preserve"> Children’s Commissioner for Wales, ‘‘Don’t Hold Back’: Transitions to adulthood for young people with learning disabilities’ (2018). Available from: </w:t>
      </w:r>
      <w:r>
        <w:fldChar w:fldCharType="begin"/>
      </w:r>
      <w:r>
        <w:instrText xml:space="preserve"> HYPERLINK "https://www.childcomwales.org.uk/wp-content/uploads/2019/10/Dont-Hold-Back.pdf" </w:instrText>
      </w:r>
      <w:r>
        <w:fldChar w:fldCharType="separate"/>
      </w:r>
      <w:r w:rsidRPr="24B037FF">
        <w:rPr>
          <w:rStyle w:val="Hyperlink"/>
        </w:rPr>
        <w:t>https://www.childcomwales.org.uk/wp-content/uploads/2019/10/Dont-Hold-Back.pdf</w:t>
      </w:r>
      <w:r>
        <w:fldChar w:fldCharType="end"/>
      </w:r>
      <w:r>
        <w:t xml:space="preserve"> </w:t>
      </w:r>
    </w:p>
  </w:footnote>
  <w:footnote w:id="42">
    <w:p w:rsidR="00B6724D" w:rsidP="24B037FF">
      <w:pPr>
        <w:pStyle w:val="FootnoteText"/>
      </w:pPr>
      <w:r w:rsidRPr="24B037FF">
        <w:rPr>
          <w:rStyle w:val="FootnoteReference"/>
        </w:rPr>
        <w:footnoteRef/>
      </w:r>
      <w:r>
        <w:t xml:space="preserve"> Gore, N., Brady, S., Cormack, M., McGill, P., Shurlock, J., Jackson-Brown, F., Reid, C., Singh, R., Legge, A., Saville, M., and Wedge, S., ‘Residential school placements for children and young people with intellectual disabilities: Their use and implications for Adult Social Care (Scoping Review)’, NIHR School for Social Care Research (2015). Available from: </w:t>
      </w:r>
      <w:r>
        <w:fldChar w:fldCharType="begin"/>
      </w:r>
      <w:r>
        <w:instrText xml:space="preserve"> HYPERLINK "https://sscr.nihr.ac.uk/wp-content/uploads/2025/04/SR010-SSCR-scoping-review_SR010.pdf" </w:instrText>
      </w:r>
      <w:r>
        <w:fldChar w:fldCharType="separate"/>
      </w:r>
      <w:r w:rsidRPr="24B037FF">
        <w:rPr>
          <w:rStyle w:val="Hyperlink"/>
        </w:rPr>
        <w:t>https://sscr.nihr.ac.uk/wp-content/uploads/2025/04/SR010-SSCR-scoping-review_SR010.pdf</w:t>
      </w:r>
      <w:r>
        <w:fldChar w:fldCharType="end"/>
      </w:r>
      <w:r>
        <w:t xml:space="preserve"> </w:t>
      </w:r>
    </w:p>
  </w:footnote>
  <w:footnote w:id="43">
    <w:p w:rsidR="00B6724D" w:rsidP="24B037FF">
      <w:pPr>
        <w:pStyle w:val="FootnoteText"/>
      </w:pPr>
      <w:r w:rsidRPr="24B037FF">
        <w:rPr>
          <w:rStyle w:val="FootnoteReference"/>
        </w:rPr>
        <w:footnoteRef/>
      </w:r>
      <w:r>
        <w:t xml:space="preserve"> Lenehan, C., and Geraghty, M., ‘Good intentions, good enough? A review of the experiences and outcomes of children and young people in residential special schools and colleges’ (2017). Available from: </w:t>
      </w:r>
      <w:r>
        <w:fldChar w:fldCharType="begin"/>
      </w:r>
      <w:r>
        <w:instrText xml:space="preserve"> HYPERLINK "https://councilfordisabledchildren.org.uk/sites/default/files/uploads/files/Good_intentions_good_enough_-_a_review_of_residential_special_schools_and_colleges.pdf" </w:instrText>
      </w:r>
      <w:r>
        <w:fldChar w:fldCharType="separate"/>
      </w:r>
      <w:r w:rsidRPr="24B037FF">
        <w:rPr>
          <w:rStyle w:val="Hyperlink"/>
        </w:rPr>
        <w:t>https://councilfordisabledchildren.org.uk/sites/default/files/uploads/files/Good_intentions_good_enough_-_a_review_of_residential_special_schools_and_colleges.pdf</w:t>
      </w:r>
      <w:r>
        <w:fldChar w:fldCharType="end"/>
      </w:r>
      <w:r>
        <w:t xml:space="preserve"> </w:t>
      </w:r>
    </w:p>
  </w:footnote>
  <w:footnote w:id="44">
    <w:p w:rsidR="00B6724D" w:rsidP="24B037FF">
      <w:pPr>
        <w:pStyle w:val="FootnoteText"/>
        <w:rPr>
          <w:rFonts w:ascii="Aptos" w:hAnsi="Aptos"/>
        </w:rPr>
      </w:pPr>
      <w:r w:rsidRPr="24B037FF">
        <w:rPr>
          <w:rStyle w:val="FootnoteReference"/>
        </w:rPr>
        <w:footnoteRef/>
      </w:r>
      <w:r>
        <w:t xml:space="preserve"> </w:t>
      </w:r>
      <w:r w:rsidRPr="24B037FF">
        <w:rPr>
          <w:rFonts w:ascii="Aptos" w:hAnsi="Aptos"/>
        </w:rPr>
        <w:t xml:space="preserve">NDTi, ‘A long way from home: What the research and evidence tell us about why young people with learning disabilities and/or autistic young people are in residential placements and what can be done to address this’ (2024). Available from: </w:t>
      </w:r>
      <w:r>
        <w:fldChar w:fldCharType="begin"/>
      </w:r>
      <w:r>
        <w:instrText xml:space="preserve"> HYPERLINK "https://www.ndti.org.uk/wp-content/uploads/2025/07/A-long-way-from-home.pdf" </w:instrText>
      </w:r>
      <w:r>
        <w:fldChar w:fldCharType="separate"/>
      </w:r>
      <w:r w:rsidRPr="24B037FF">
        <w:rPr>
          <w:rStyle w:val="Hyperlink"/>
          <w:rFonts w:ascii="Aptos" w:hAnsi="Aptos"/>
        </w:rPr>
        <w:t>https://www.ndti.org.uk/wp-content/uploads/2025/07/A-long-way-from-home.pdf</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9447FA"/>
    <w:multiLevelType w:val="hybridMultilevel"/>
    <w:tmpl w:val="A9C8F06A"/>
    <w:lvl w:ilvl="0">
      <w:start w:val="2"/>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91BD8CD"/>
    <w:multiLevelType w:val="hybridMultilevel"/>
    <w:tmpl w:val="A218F7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A326436"/>
    <w:multiLevelType w:val="hybridMultilevel"/>
    <w:tmpl w:val="92E6F69A"/>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C8F024F"/>
    <w:multiLevelType w:val="hybridMultilevel"/>
    <w:tmpl w:val="5FF25752"/>
    <w:lvl w:ilvl="0">
      <w:start w:val="1"/>
      <w:numFmt w:val="lowerRoman"/>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0D6FE1BA"/>
    <w:multiLevelType w:val="hybridMultilevel"/>
    <w:tmpl w:val="714855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022DE5D"/>
    <w:multiLevelType w:val="hybridMultilevel"/>
    <w:tmpl w:val="4F2819DE"/>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FD24CDC"/>
    <w:multiLevelType w:val="hybridMultilevel"/>
    <w:tmpl w:val="664CF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0B030F8"/>
    <w:multiLevelType w:val="hybridMultilevel"/>
    <w:tmpl w:val="82161F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1EE6F81"/>
    <w:multiLevelType w:val="hybridMultilevel"/>
    <w:tmpl w:val="00F4FECA"/>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3F93DF"/>
    <w:multiLevelType w:val="hybridMultilevel"/>
    <w:tmpl w:val="D9064A08"/>
    <w:lvl w:ilvl="0">
      <w:start w:val="4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0D7CB1"/>
    <w:multiLevelType w:val="hybridMultilevel"/>
    <w:tmpl w:val="6018EE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333B3F70"/>
    <w:multiLevelType w:val="hybridMultilevel"/>
    <w:tmpl w:val="D0DAEA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3D71F934"/>
    <w:multiLevelType w:val="hybridMultilevel"/>
    <w:tmpl w:val="DE32B9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6466706"/>
    <w:multiLevelType w:val="hybridMultilevel"/>
    <w:tmpl w:val="3E78D3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C6756ED"/>
    <w:multiLevelType w:val="hybridMultilevel"/>
    <w:tmpl w:val="47EE0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D1BF7C8"/>
    <w:multiLevelType w:val="hybridMultilevel"/>
    <w:tmpl w:val="22A43F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5135A63A"/>
    <w:multiLevelType w:val="hybridMultilevel"/>
    <w:tmpl w:val="C8EEEAD0"/>
    <w:lvl w:ilvl="0">
      <w:start w:val="4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40D1DBA"/>
    <w:multiLevelType w:val="hybridMultilevel"/>
    <w:tmpl w:val="D52ED3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820FFB4"/>
    <w:multiLevelType w:val="hybridMultilevel"/>
    <w:tmpl w:val="BF26A6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6919232E"/>
    <w:multiLevelType w:val="hybridMultilevel"/>
    <w:tmpl w:val="2E549C56"/>
    <w:lvl w:ilvl="0">
      <w:start w:val="1"/>
      <w:numFmt w:val="decimal"/>
      <w:lvlText w:val="%1."/>
      <w:lvlJc w:val="left"/>
      <w:pPr>
        <w:ind w:left="720" w:hanging="360"/>
      </w:p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D847D61"/>
    <w:multiLevelType w:val="hybridMultilevel"/>
    <w:tmpl w:val="EAD22E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FAD204C"/>
    <w:multiLevelType w:val="hybridMultilevel"/>
    <w:tmpl w:val="8FFEAB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1B4B424"/>
    <w:multiLevelType w:val="hybridMultilevel"/>
    <w:tmpl w:val="DFA0A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72F4BEDC"/>
    <w:multiLevelType w:val="hybridMultilevel"/>
    <w:tmpl w:val="6706AC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7436382B"/>
    <w:multiLevelType w:val="hybridMultilevel"/>
    <w:tmpl w:val="65FCDFCE"/>
    <w:lvl w:ilvl="0">
      <w:start w:val="4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6F71B49"/>
    <w:multiLevelType w:val="hybridMultilevel"/>
    <w:tmpl w:val="6B0AD5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8216C85"/>
    <w:multiLevelType w:val="hybridMultilevel"/>
    <w:tmpl w:val="A6AED9A2"/>
    <w:lvl w:ilvl="0">
      <w:start w:val="4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7C74701C"/>
    <w:multiLevelType w:val="hybridMultilevel"/>
    <w:tmpl w:val="2804A4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7CDF569E"/>
    <w:multiLevelType w:val="hybridMultilevel"/>
    <w:tmpl w:val="5B6A616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abstractNumId w:val="2"/>
  </w:num>
  <w:num w:numId="2">
    <w:abstractNumId w:val="5"/>
  </w:num>
  <w:num w:numId="3">
    <w:abstractNumId w:val="19"/>
  </w:num>
  <w:num w:numId="4">
    <w:abstractNumId w:val="6"/>
  </w:num>
  <w:num w:numId="5">
    <w:abstractNumId w:val="23"/>
  </w:num>
  <w:num w:numId="6">
    <w:abstractNumId w:val="1"/>
  </w:num>
  <w:num w:numId="7">
    <w:abstractNumId w:val="10"/>
  </w:num>
  <w:num w:numId="8">
    <w:abstractNumId w:val="22"/>
  </w:num>
  <w:num w:numId="9">
    <w:abstractNumId w:val="15"/>
  </w:num>
  <w:num w:numId="10">
    <w:abstractNumId w:val="7"/>
  </w:num>
  <w:num w:numId="11">
    <w:abstractNumId w:val="24"/>
  </w:num>
  <w:num w:numId="12">
    <w:abstractNumId w:val="9"/>
  </w:num>
  <w:num w:numId="13">
    <w:abstractNumId w:val="26"/>
  </w:num>
  <w:num w:numId="14">
    <w:abstractNumId w:val="16"/>
  </w:num>
  <w:num w:numId="15">
    <w:abstractNumId w:val="27"/>
  </w:num>
  <w:num w:numId="16">
    <w:abstractNumId w:val="17"/>
  </w:num>
  <w:num w:numId="17">
    <w:abstractNumId w:val="14"/>
  </w:num>
  <w:num w:numId="18">
    <w:abstractNumId w:val="11"/>
  </w:num>
  <w:num w:numId="19">
    <w:abstractNumId w:val="12"/>
  </w:num>
  <w:num w:numId="20">
    <w:abstractNumId w:val="18"/>
  </w:num>
  <w:num w:numId="21">
    <w:abstractNumId w:val="20"/>
  </w:num>
  <w:num w:numId="22">
    <w:abstractNumId w:val="4"/>
  </w:num>
  <w:num w:numId="23">
    <w:abstractNumId w:val="25"/>
  </w:num>
  <w:num w:numId="24">
    <w:abstractNumId w:val="13"/>
  </w:num>
  <w:num w:numId="25">
    <w:abstractNumId w:val="3"/>
  </w:num>
  <w:num w:numId="26">
    <w:abstractNumId w:val="28"/>
  </w:num>
  <w:num w:numId="27">
    <w:abstractNumId w:val="21"/>
  </w:num>
  <w:num w:numId="28">
    <w:abstractNumId w:val="0"/>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24B037FF"/>
    <w:rPr>
      <w:color w:val="467886"/>
      <w:u w:val="single"/>
    </w:rPr>
  </w:style>
  <w:style w:type="paragraph" w:styleId="FootnoteText">
    <w:name w:val="footnote text"/>
    <w:basedOn w:val="Normal"/>
    <w:uiPriority w:val="99"/>
    <w:semiHidden/>
    <w:unhideWhenUsed/>
    <w:rsid w:val="24B037FF"/>
    <w:pPr>
      <w:spacing w:after="0" w:line="240" w:lineRule="auto"/>
    </w:pPr>
    <w:rPr>
      <w:sz w:val="20"/>
      <w:szCs w:val="20"/>
    </w:rPr>
  </w:style>
  <w:style w:type="character" w:styleId="FootnoteReference">
    <w:name w:val="footnote reference"/>
    <w:basedOn w:val="DefaultParagraphFont"/>
    <w:uiPriority w:val="99"/>
    <w:semiHidden/>
    <w:unhideWhenUsed/>
    <w:rsid w:val="24B037FF"/>
    <w:rPr>
      <w:vertAlign w:val="superscrip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605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0599"/>
  </w:style>
  <w:style w:type="paragraph" w:styleId="Footer">
    <w:name w:val="footer"/>
    <w:basedOn w:val="Normal"/>
    <w:link w:val="FooterChar"/>
    <w:uiPriority w:val="99"/>
    <w:unhideWhenUsed/>
    <w:rsid w:val="008605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0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TRN0025</dc:title>
  <cp:revision>0</cp:revision>
</cp:coreProperties>
</file>