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4915" w:rsidRPr="00AA4915" w:rsidP="00AA4915">
      <w:pPr>
        <w:pStyle w:val="Heading1"/>
        <w:jc w:val="center"/>
        <w:rPr>
          <w:rFonts w:ascii="Calibri" w:hAnsi="Calibri" w:cs="Calibri"/>
          <w:color w:val="auto"/>
        </w:rPr>
      </w:pPr>
      <w:r w:rsidRPr="00AA4915">
        <w:rPr>
          <w:rFonts w:ascii="Calibri" w:hAnsi="Calibri" w:cs="Calibri"/>
          <w:color w:val="auto"/>
        </w:rPr>
        <w:t xml:space="preserve">Written Evidence submitted by </w:t>
      </w:r>
      <w:r w:rsidRPr="00B93698" w:rsidR="00B93698">
        <w:rPr>
          <w:rFonts w:ascii="Calibri" w:hAnsi="Calibri" w:cs="Calibri"/>
          <w:color w:val="auto"/>
        </w:rPr>
        <w:t>Jazz Pharmaceuticals</w:t>
      </w:r>
      <w:r w:rsidRPr="00AA4915">
        <w:rPr>
          <w:rFonts w:ascii="Calibri" w:hAnsi="Calibri" w:cs="Calibri"/>
          <w:color w:val="auto"/>
        </w:rPr>
        <w:t xml:space="preserve"> (TRN002</w:t>
      </w:r>
      <w:r>
        <w:rPr>
          <w:rFonts w:ascii="Calibri" w:hAnsi="Calibri" w:cs="Calibri"/>
          <w:color w:val="auto"/>
        </w:rPr>
        <w:t>4</w:t>
      </w:r>
      <w:r w:rsidRPr="00AA4915">
        <w:rPr>
          <w:rFonts w:ascii="Calibri" w:hAnsi="Calibri" w:cs="Calibri"/>
          <w:color w:val="auto"/>
        </w:rPr>
        <w:t>)</w:t>
      </w:r>
    </w:p>
    <w:p w:rsidR="00AA4915" w:rsidRPr="00AA4915" w:rsidP="00B135AF">
      <w:pPr>
        <w:spacing w:after="0" w:line="240" w:lineRule="auto"/>
        <w:jc w:val="center"/>
        <w:rPr>
          <w:rFonts w:ascii="Calibri" w:hAnsi="Calibri" w:cs="Calibri"/>
          <w:b/>
          <w:bCs/>
          <w:sz w:val="22"/>
          <w:szCs w:val="24"/>
        </w:rPr>
      </w:pPr>
    </w:p>
    <w:p w:rsidR="00AA4915" w:rsidRPr="00AA4915" w:rsidP="00B135AF">
      <w:pPr>
        <w:spacing w:after="0" w:line="240" w:lineRule="auto"/>
        <w:jc w:val="center"/>
        <w:rPr>
          <w:rFonts w:ascii="Calibri" w:hAnsi="Calibri" w:cs="Calibri"/>
          <w:b/>
          <w:bCs/>
          <w:sz w:val="22"/>
          <w:szCs w:val="24"/>
        </w:rPr>
      </w:pPr>
    </w:p>
    <w:p w:rsidR="00AA4915" w:rsidRPr="00AA4915" w:rsidP="00B135AF">
      <w:pPr>
        <w:spacing w:after="0" w:line="240" w:lineRule="auto"/>
        <w:jc w:val="center"/>
        <w:rPr>
          <w:rFonts w:ascii="Calibri" w:hAnsi="Calibri" w:cs="Calibri"/>
          <w:b/>
          <w:bCs/>
          <w:sz w:val="22"/>
          <w:szCs w:val="24"/>
        </w:rPr>
      </w:pPr>
    </w:p>
    <w:p w:rsidR="00AA4915" w:rsidRPr="00AA4915" w:rsidP="00B135AF">
      <w:pPr>
        <w:spacing w:after="0" w:line="240" w:lineRule="auto"/>
        <w:jc w:val="center"/>
        <w:rPr>
          <w:rFonts w:ascii="Calibri" w:hAnsi="Calibri" w:cs="Calibri"/>
          <w:b/>
          <w:bCs/>
          <w:sz w:val="22"/>
          <w:szCs w:val="24"/>
        </w:rPr>
      </w:pPr>
    </w:p>
    <w:p w:rsidR="00C9163E" w:rsidRPr="00AA4915" w:rsidP="00B135AF">
      <w:pPr>
        <w:spacing w:after="0" w:line="240" w:lineRule="auto"/>
        <w:jc w:val="center"/>
        <w:rPr>
          <w:rFonts w:ascii="Calibri" w:hAnsi="Calibri" w:cs="Calibri"/>
          <w:b/>
          <w:bCs/>
          <w:sz w:val="22"/>
          <w:szCs w:val="24"/>
        </w:rPr>
      </w:pPr>
      <w:r w:rsidRPr="00AA4915">
        <w:rPr>
          <w:rFonts w:ascii="Calibri" w:hAnsi="Calibri" w:cs="Calibri"/>
          <w:b/>
          <w:bCs/>
          <w:sz w:val="22"/>
          <w:szCs w:val="24"/>
        </w:rPr>
        <w:t>Jazz Pharmaceuticals submission to Health and Social Care Committee call for evidence on the transition from child to adult healthcare services</w:t>
      </w:r>
    </w:p>
    <w:p w:rsidR="00C9163E" w:rsidRPr="00AA4915" w:rsidP="00B135AF">
      <w:pPr>
        <w:spacing w:after="0" w:line="240" w:lineRule="auto"/>
        <w:jc w:val="both"/>
        <w:rPr>
          <w:rFonts w:ascii="Calibri" w:hAnsi="Calibri" w:cs="Calibri"/>
          <w:szCs w:val="20"/>
        </w:rPr>
      </w:pPr>
    </w:p>
    <w:p w:rsidR="00C9163E" w:rsidRPr="00AA4915" w:rsidP="00B135AF">
      <w:pPr>
        <w:spacing w:after="0" w:line="240" w:lineRule="auto"/>
        <w:jc w:val="both"/>
        <w:rPr>
          <w:rFonts w:ascii="Calibri" w:eastAsia="Calibri" w:hAnsi="Calibri" w:cs="Calibri"/>
          <w:szCs w:val="20"/>
        </w:rPr>
      </w:pPr>
      <w:r w:rsidRPr="00AA4915">
        <w:rPr>
          <w:rFonts w:ascii="Calibri" w:hAnsi="Calibri" w:cs="Calibri"/>
          <w:szCs w:val="20"/>
        </w:rPr>
        <w:t xml:space="preserve">Jazz Pharmaceuticals (‘Jazz’) is a global biopharmaceutical company whose purpose is to innovate to transform the lives of patients and their families. </w:t>
      </w:r>
      <w:r w:rsidRPr="00AA4915">
        <w:rPr>
          <w:rFonts w:ascii="Calibri" w:eastAsia="Calibri" w:hAnsi="Calibri" w:cs="Calibri"/>
          <w:szCs w:val="20"/>
        </w:rPr>
        <w:t>We are dedicated to developing potentially life-changing medicines for people with rare disease - often with limited or no therapeutic options. We have a diverse portfolio of medicines, including leading therapies addressing epilepsies and cancers.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This submission outlines our insights on how an effective transition can be supported for young people with epilepsy. ‘Epilepsy’ is an umbrella term for a range of seizure disorders which have different symptoms. A range of factors can cause epilepsy, including infections, autoimmune disorders, genetics, metabolism and brain structure; however, the underlying cause is in most cases unidentifiable.</w:t>
      </w:r>
      <w:r>
        <w:rPr>
          <w:rStyle w:val="EndnoteReference"/>
          <w:rFonts w:ascii="Calibri" w:hAnsi="Calibri" w:cs="Calibri"/>
        </w:rPr>
        <w:endnoteReference w:id="2"/>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Rare or less common epilepsies are particularly difficult to diagnose and often more complicated to subsequently treat.</w:t>
      </w:r>
      <w:r>
        <w:rPr>
          <w:rStyle w:val="EndnoteReference"/>
          <w:rFonts w:ascii="Calibri" w:hAnsi="Calibri" w:cs="Calibri"/>
        </w:rPr>
        <w:endnoteReference w:id="3"/>
      </w:r>
      <w:r w:rsidRPr="00AA4915">
        <w:rPr>
          <w:rFonts w:ascii="Calibri" w:hAnsi="Calibri" w:cs="Calibri"/>
        </w:rPr>
        <w:t xml:space="preserve"> One subset of rare epilepsies that is particularly susceptible to challenges in diagnosis and management is ‘development and epileptic encephalopathies (DEEs)’.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This group of severe epilepsies is typically diagnosed in childhood and characterised by developmental delays or loss of developmental skills entirely, further complicating the care for these patients.</w:t>
      </w:r>
      <w:r>
        <w:rPr>
          <w:rStyle w:val="EndnoteReference"/>
          <w:rFonts w:ascii="Calibri" w:hAnsi="Calibri" w:cs="Calibri"/>
        </w:rPr>
        <w:endnoteReference w:id="4"/>
      </w:r>
      <w:r w:rsidRPr="00AA4915">
        <w:rPr>
          <w:rFonts w:ascii="Calibri" w:hAnsi="Calibri" w:cs="Calibri"/>
        </w:rPr>
        <w:t xml:space="preserve"> The transition process for these patients can be complicated, particularly if they have learning disabilities or co-morbidities that require their own management plan. We welcome the Health and Social Care Committee’s focus on this important topic and hope that this work can improve the transition process for people living with epilepsy.</w:t>
      </w:r>
    </w:p>
    <w:p w:rsidR="00C9163E" w:rsidRPr="00AA4915" w:rsidP="00B135AF">
      <w:pPr>
        <w:spacing w:after="0" w:line="240" w:lineRule="auto"/>
        <w:rPr>
          <w:rFonts w:ascii="Calibri" w:hAnsi="Calibri" w:cs="Calibri"/>
          <w:b/>
          <w:sz w:val="22"/>
          <w:u w:val="single"/>
        </w:rPr>
      </w:pPr>
    </w:p>
    <w:p w:rsidR="00C9163E" w:rsidRPr="00AA4915" w:rsidP="00B135AF">
      <w:pPr>
        <w:spacing w:after="0" w:line="240" w:lineRule="auto"/>
        <w:rPr>
          <w:rFonts w:ascii="Calibri" w:hAnsi="Calibri" w:cs="Calibri"/>
          <w:sz w:val="22"/>
          <w:szCs w:val="24"/>
          <w:u w:val="single"/>
        </w:rPr>
      </w:pPr>
      <w:r w:rsidRPr="00AA4915">
        <w:rPr>
          <w:rFonts w:ascii="Calibri" w:hAnsi="Calibri" w:cs="Calibri"/>
          <w:b/>
          <w:bCs/>
          <w:sz w:val="22"/>
          <w:szCs w:val="24"/>
          <w:u w:val="single"/>
        </w:rPr>
        <w:t>Focus Area 1: Timeliness and pace of the transition to adult services</w:t>
      </w:r>
    </w:p>
    <w:p w:rsidR="00C9163E" w:rsidRPr="00AA4915" w:rsidP="00B135AF">
      <w:pPr>
        <w:spacing w:after="0" w:line="240" w:lineRule="auto"/>
        <w:rPr>
          <w:rFonts w:ascii="Calibri" w:hAnsi="Calibri" w:cs="Calibri"/>
          <w:b/>
          <w:bCs/>
          <w:i/>
          <w:iCs/>
        </w:rPr>
      </w:pPr>
      <w:r w:rsidRPr="00AA4915">
        <w:rPr>
          <w:rFonts w:ascii="Calibri" w:hAnsi="Calibri" w:cs="Calibri"/>
          <w:b/>
          <w:bCs/>
          <w:i/>
          <w:iCs/>
        </w:rPr>
        <w:t>Effectiveness and implementation Q2: To what extent are transfers from child to adult services managed without gaps in provision? How is this monitored?</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Transition from paediatric to adult services for young people with epilepsy is not consistently managed without gaps in provision, despite national guidance setting out expectations for continuity of care. While some areas have established structured transition pathways, evidence suggests that in many parts of England transition remains fragmented and variable, with gaps occurring at the point of transfer.</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A review by the National Confidential Enquiry into Patient Outcome and Death in 2023 found that across most conditions there was no clear pathway for the transition from healthcare services for children and young people to adult healthcare services.</w:t>
      </w:r>
      <w:r>
        <w:rPr>
          <w:rStyle w:val="EndnoteReference"/>
          <w:rFonts w:ascii="Calibri" w:hAnsi="Calibri" w:cs="Calibri"/>
        </w:rPr>
        <w:endnoteReference w:id="5"/>
      </w:r>
      <w:r w:rsidRPr="00AA4915">
        <w:rPr>
          <w:rFonts w:ascii="Calibri" w:hAnsi="Calibri" w:cs="Calibri"/>
        </w:rPr>
        <w:t xml:space="preserve"> This leaves room for inconsistent approaches to transitions and in some cases, gaps in provision.</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The Care Quality Commission has identified that, in some cases, children’s services stop providing care before adult services have formally accepted the young person, effectively creating a period where individuals are not under the care of either service.</w:t>
      </w:r>
      <w:r>
        <w:rPr>
          <w:rStyle w:val="EndnoteReference"/>
          <w:rFonts w:ascii="Calibri" w:hAnsi="Calibri" w:cs="Calibri"/>
        </w:rPr>
        <w:endnoteReference w:id="6"/>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In epilepsy management specifically, these gaps are concerning. Specialist input is essential to maintain seizure control and risk management, including discussion of issues such as sudden unexpected death in epilepsy. Any disruption in care increases the risk of deterioration in clinical outcomes, emergency admissions, and disengagement from services. This risk is compounded by the broader challenges of adolescence and the increased expectation of self-management during this period.</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 xml:space="preserve">Compounding this challenge is the limited monitoring of transitions for their quality, which reduces accountability and transparency. Current datasets do not systematically capture transition milestones, delays or drop-off points. This gap has two consequences: </w:t>
      </w:r>
    </w:p>
    <w:p w:rsidR="00C9163E" w:rsidRPr="00AA4915" w:rsidP="00B135AF">
      <w:pPr>
        <w:spacing w:after="0" w:line="240" w:lineRule="auto"/>
        <w:jc w:val="both"/>
        <w:rPr>
          <w:rFonts w:ascii="Calibri" w:hAnsi="Calibri" w:cs="Calibri"/>
        </w:rPr>
      </w:pP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b/>
          <w:bCs/>
        </w:rPr>
        <w:t>Inability to track implementation of national standards:</w:t>
      </w:r>
      <w:r w:rsidRPr="00AA4915">
        <w:rPr>
          <w:rFonts w:ascii="Calibri" w:hAnsi="Calibri" w:cs="Calibri"/>
        </w:rPr>
        <w:t xml:space="preserve"> Without a clear understanding of how ICBs and providers are performing against the NHS National Bundle of Care, it is difficult to identify where progress is stalled, or where variation persists.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b/>
          <w:bCs/>
        </w:rPr>
        <w:t>Increased risk of young people disengaging or “falling off” care pathways:</w:t>
      </w:r>
      <w:r w:rsidRPr="00AA4915">
        <w:rPr>
          <w:rFonts w:ascii="Calibri" w:hAnsi="Calibri" w:cs="Calibri"/>
        </w:rPr>
        <w:t xml:space="preserve"> Poor visibility of the system means some young people may lose contact with specialist services at the point of transfer and may not be identified for reintegration.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 xml:space="preserve">To address this and compliment the Epilepsy12 data audit, the NHS should establish a publicly available, comprehensive data dashboard, reporting against each standard of care in the National Bundle of Care. This transparency would support accountability, inform commissioning decisions, and aid early identification of system failures. </w:t>
      </w:r>
    </w:p>
    <w:p w:rsidR="00C9163E" w:rsidRPr="00AA4915" w:rsidP="00B135AF">
      <w:pPr>
        <w:spacing w:after="0" w:line="240" w:lineRule="auto"/>
        <w:jc w:val="both"/>
        <w:rPr>
          <w:rFonts w:ascii="Calibri" w:hAnsi="Calibri" w:cs="Calibri"/>
        </w:rPr>
      </w:pPr>
    </w:p>
    <w:p w:rsidR="00C9163E" w:rsidRPr="00AA4915" w:rsidP="00B135AF">
      <w:pPr>
        <w:spacing w:after="0" w:line="240" w:lineRule="auto"/>
        <w:rPr>
          <w:rFonts w:ascii="Calibri" w:hAnsi="Calibri" w:cs="Calibri"/>
          <w:sz w:val="22"/>
          <w:szCs w:val="24"/>
          <w:u w:val="single"/>
        </w:rPr>
      </w:pPr>
      <w:r w:rsidRPr="00AA4915">
        <w:rPr>
          <w:rFonts w:ascii="Calibri" w:hAnsi="Calibri" w:cs="Calibri"/>
          <w:b/>
          <w:bCs/>
          <w:sz w:val="22"/>
          <w:szCs w:val="24"/>
          <w:u w:val="single"/>
        </w:rPr>
        <w:t>Focus Area 3:</w:t>
      </w:r>
      <w:r w:rsidRPr="00AA4915">
        <w:rPr>
          <w:rFonts w:ascii="Calibri" w:hAnsi="Calibri" w:cs="Calibri"/>
          <w:sz w:val="22"/>
          <w:szCs w:val="24"/>
          <w:u w:val="single"/>
        </w:rPr>
        <w:t xml:space="preserve"> </w:t>
      </w:r>
      <w:r w:rsidRPr="00AA4915">
        <w:rPr>
          <w:rFonts w:ascii="Calibri" w:hAnsi="Calibri" w:cs="Calibri"/>
          <w:b/>
          <w:bCs/>
          <w:sz w:val="22"/>
          <w:szCs w:val="24"/>
          <w:u w:val="single"/>
        </w:rPr>
        <w:t>Meaningful involvement of children, young people and their carers</w:t>
      </w:r>
    </w:p>
    <w:p w:rsidR="00C9163E" w:rsidRPr="00AA4915" w:rsidP="00B135AF">
      <w:pPr>
        <w:spacing w:after="0" w:line="240" w:lineRule="auto"/>
        <w:rPr>
          <w:rFonts w:ascii="Calibri" w:hAnsi="Calibri" w:cs="Calibri"/>
          <w:b/>
          <w:bCs/>
          <w:i/>
          <w:iCs/>
        </w:rPr>
      </w:pPr>
      <w:r w:rsidRPr="00AA4915">
        <w:rPr>
          <w:rFonts w:ascii="Calibri" w:hAnsi="Calibri" w:cs="Calibri"/>
          <w:b/>
          <w:bCs/>
          <w:i/>
          <w:iCs/>
        </w:rPr>
        <w:t xml:space="preserve">Impact and Outcomes Q1: What are the impacts of co-producing transition policies and strategies with children and young people?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 xml:space="preserve">Co-producing transition policies and strategies with young people living with epilepsy can have a significant impact on both the quality of transition processes and longer-term treatment compliance and outcomes.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This form of collaborative working with young people ensures that the transition reflects their specific priorities and lived experiences. This includes going beyond the focus of traditional pathways to addressing psychosocial needs as well.</w:t>
      </w:r>
      <w:r>
        <w:rPr>
          <w:rStyle w:val="EndnoteReference"/>
          <w:rFonts w:ascii="Calibri" w:hAnsi="Calibri" w:cs="Calibri"/>
        </w:rPr>
        <w:endnoteReference w:id="7"/>
      </w:r>
      <w:r w:rsidRPr="00AA4915">
        <w:rPr>
          <w:rFonts w:ascii="Calibri" w:hAnsi="Calibri" w:cs="Calibri"/>
          <w:vertAlign w:val="superscript"/>
        </w:rPr>
        <w:t>,</w:t>
      </w:r>
      <w:r>
        <w:rPr>
          <w:rStyle w:val="EndnoteReference"/>
          <w:rFonts w:ascii="Calibri" w:hAnsi="Calibri" w:cs="Calibri"/>
        </w:rPr>
        <w:endnoteReference w:id="8"/>
      </w:r>
    </w:p>
    <w:p w:rsidR="00C9163E" w:rsidRPr="00AA4915" w:rsidP="00B135AF">
      <w:pPr>
        <w:spacing w:after="0" w:line="240" w:lineRule="auto"/>
        <w:rPr>
          <w:rFonts w:ascii="Calibri" w:hAnsi="Calibri" w:cs="Calibri"/>
          <w:b/>
          <w:bCs/>
          <w:i/>
          <w:iCs/>
        </w:rPr>
      </w:pPr>
    </w:p>
    <w:p w:rsidR="00C9163E" w:rsidRPr="00AA4915" w:rsidP="00B135AF">
      <w:pPr>
        <w:spacing w:after="0" w:line="240" w:lineRule="auto"/>
        <w:rPr>
          <w:rFonts w:ascii="Calibri" w:hAnsi="Calibri" w:cs="Calibri"/>
          <w:b/>
          <w:bCs/>
          <w:i/>
          <w:iCs/>
        </w:rPr>
      </w:pPr>
      <w:r w:rsidRPr="00AA4915">
        <w:rPr>
          <w:rFonts w:ascii="Calibri" w:hAnsi="Calibri" w:cs="Calibri"/>
          <w:b/>
          <w:bCs/>
          <w:i/>
          <w:iCs/>
        </w:rPr>
        <w:t>Impact and Outcomes Q2: What does a good transition service look like, and how is an effective transition defined, measured and monitored at both individual and service levels?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A good transition service for young people with epilepsy is one that is planned early, coordinated across services, and centred on the individual’s clinical and developmental needs. This is particularly important for those people living with DEEs, who have complex needs, including learning disabilities and multiple co-morbidities. The transition coincides with a period of significant physical, psychological and social change, and disruption at this stage can impact on health outcomes.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NHS England’s National Bundle of Care for Children and Young People with Epilepsy (2023)</w:t>
      </w:r>
      <w:r>
        <w:rPr>
          <w:rStyle w:val="EndnoteReference"/>
          <w:rFonts w:ascii="Calibri" w:hAnsi="Calibri" w:cs="Calibri"/>
        </w:rPr>
        <w:endnoteReference w:id="9"/>
      </w:r>
      <w:r w:rsidRPr="00AA4915">
        <w:rPr>
          <w:rFonts w:ascii="Calibri" w:hAnsi="Calibri" w:cs="Calibri"/>
        </w:rPr>
        <w:t xml:space="preserve"> includes a clear and appropriate framework for what good looks like. Key features include:</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Early identification of those requiring transition</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Access to epilepsy specialist nurses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Provision of developmentally appropriate information</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A personalised transition plan</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Access to tailored resources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And joint working between paediatric and adult services, including transition clinics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At the individual patient level, an effective transition can be defined as one where:</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The young person remains engaged with services before, during and after transfer</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There is no unplanned gap in care between paediatric and adult services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Treatment is optimised and stable, with any changes clinically led and clearly communicated</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The patient demonstrates confidence in self-management, supported by carers where appropriate</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Currently, a barrier to monitoring the effectiveness of the transition is a lack of data on transition outcomes in epilepsy. To address this, a national data dashboard should be introduced that includes: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Continuity of care (i.e., no gap between last paediatric and first adult appointment)</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Attendance and engagement with adult services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Seizure control and emergency admissions post-transition</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Availability of joint transition clinics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Variation in outcomes between regions</w:t>
      </w:r>
    </w:p>
    <w:p w:rsidR="00C9163E" w:rsidRPr="00AA4915" w:rsidP="00B135AF">
      <w:pPr>
        <w:spacing w:after="0" w:line="240" w:lineRule="auto"/>
        <w:rPr>
          <w:rFonts w:ascii="Calibri" w:hAnsi="Calibri" w:cs="Calibri"/>
          <w:b/>
          <w:bCs/>
          <w:i/>
          <w:iCs/>
        </w:rPr>
      </w:pPr>
    </w:p>
    <w:p w:rsidR="00C9163E" w:rsidRPr="00AA4915" w:rsidP="00B135AF">
      <w:pPr>
        <w:spacing w:after="0" w:line="240" w:lineRule="auto"/>
        <w:rPr>
          <w:rFonts w:ascii="Calibri" w:hAnsi="Calibri" w:cs="Calibri"/>
          <w:b/>
          <w:bCs/>
          <w:i/>
          <w:iCs/>
        </w:rPr>
      </w:pPr>
      <w:r w:rsidRPr="00AA4915">
        <w:rPr>
          <w:rFonts w:ascii="Calibri" w:hAnsi="Calibri" w:cs="Calibri"/>
          <w:b/>
          <w:bCs/>
          <w:i/>
          <w:iCs/>
        </w:rPr>
        <w:t>Appropriateness Q1: Are the current guidelines for the involvement of individuals and their carers in the transition to adult services appropriate for the needs of young people and services?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Current guidelines on involving young people and their carers in transitioning to adult services are appropriate and well-aligned with the needs of people living with epilepsy. NICE guidance and NHS England’s National Bundle of Care for Epilepsy emphasise the correct principles that are especially important in epilepsy, where safe management depends on consistent treatment adherence and co-ordinated support across health, education and social care.</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 xml:space="preserve">However, the challenge is related to its consistent implementation. Despite national guidance, many services have no formalised pathway for the transition process. As a result, there remains significant variation in continuity of care with almost half of young people finding that their treatment changed when they moved to adult services.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For example, while the National Bundle of Care for Children and Young People with Epilepsy stresses the importance of transition resource, studies have found that only 10 out of 218 (5%) of NHS providers had specific epilepsy transition resources available, with the quality of these resources varying.</w:t>
      </w:r>
      <w:r>
        <w:rPr>
          <w:rStyle w:val="EndnoteReference"/>
          <w:rFonts w:ascii="Calibri" w:hAnsi="Calibri" w:cs="Calibri"/>
        </w:rPr>
        <w:endnoteReference w:id="10"/>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b/>
          <w:i/>
        </w:rPr>
      </w:pPr>
      <w:r w:rsidRPr="00AA4915">
        <w:rPr>
          <w:rFonts w:ascii="Calibri" w:hAnsi="Calibri" w:cs="Calibri"/>
        </w:rPr>
        <w:t>After NHS organisational restructures take place in England, with the consolidation of integrated care systems from 42 to 27 systems, new organisations should review their current pathways and services to ensure that these standards remain in place. Should it be found that there is no formalised pathway for epilepsy transitions, this should be set up and developed in line with the NHS National Bundle of Care for Children and Young People with Epilepsy and NICE guidance.</w:t>
      </w:r>
    </w:p>
    <w:p w:rsidR="00C9163E" w:rsidRPr="00AA4915" w:rsidP="00B135AF">
      <w:pPr>
        <w:spacing w:after="0" w:line="240" w:lineRule="auto"/>
        <w:rPr>
          <w:rFonts w:ascii="Calibri" w:hAnsi="Calibri" w:cs="Calibri"/>
          <w:b/>
          <w:bCs/>
          <w:sz w:val="22"/>
          <w:szCs w:val="24"/>
          <w:u w:val="single"/>
        </w:rPr>
      </w:pPr>
    </w:p>
    <w:p w:rsidR="00C9163E" w:rsidRPr="00AA4915" w:rsidP="00B135AF">
      <w:pPr>
        <w:spacing w:after="0" w:line="240" w:lineRule="auto"/>
        <w:rPr>
          <w:rFonts w:ascii="Calibri" w:hAnsi="Calibri" w:cs="Calibri"/>
          <w:b/>
          <w:bCs/>
          <w:sz w:val="22"/>
          <w:szCs w:val="24"/>
          <w:u w:val="single"/>
        </w:rPr>
      </w:pPr>
      <w:r w:rsidRPr="00AA4915">
        <w:rPr>
          <w:rFonts w:ascii="Calibri" w:hAnsi="Calibri" w:cs="Calibri"/>
          <w:b/>
          <w:bCs/>
          <w:sz w:val="22"/>
          <w:szCs w:val="24"/>
          <w:u w:val="single"/>
        </w:rPr>
        <w:t>Focus Area 4: Workforce and training</w:t>
      </w:r>
    </w:p>
    <w:p w:rsidR="00C9163E" w:rsidRPr="00AA4915" w:rsidP="00B135AF">
      <w:pPr>
        <w:spacing w:after="0" w:line="240" w:lineRule="auto"/>
        <w:rPr>
          <w:rFonts w:ascii="Calibri" w:hAnsi="Calibri" w:cs="Calibri"/>
          <w:b/>
          <w:bCs/>
          <w:i/>
          <w:iCs/>
        </w:rPr>
      </w:pPr>
      <w:r w:rsidRPr="00AA4915">
        <w:rPr>
          <w:rFonts w:ascii="Calibri" w:hAnsi="Calibri" w:cs="Calibri"/>
          <w:b/>
          <w:bCs/>
          <w:i/>
          <w:iCs/>
        </w:rPr>
        <w:t>Resourcing Q1: Which healthcare professionals form the transition team for young people, and are their roles – including that of the lead healthcare professional – clearly defined? Do staff have sufficient time allocated for their specified roles?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 xml:space="preserve">Epilepsy specialist nurses (ESNs) provide vital support for individuals living with epilepsy, addressing various aspects of their condition and ensuring continuity of care. They serve as key points of contact for patients, their families, carers and other healthcare professionals involved in their treatment.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ESNs are particularly critical during the transition to adult services, where their involvement has been associated with fewer emergency visits, better treatment adherence and enhanced patient self-esteem. However, one difficulty in ensuring that ESNs are involved in the process for all patients is that access to ESNs inconsistent across the country, with some ICBs ensuring 100% of patients have access, while others fall as low as 59%.</w:t>
      </w:r>
      <w:r>
        <w:rPr>
          <w:rStyle w:val="EndnoteReference"/>
          <w:rFonts w:ascii="Calibri" w:hAnsi="Calibri" w:cs="Calibri"/>
        </w:rPr>
        <w:endnoteReference w:id="11"/>
      </w:r>
      <w:r w:rsidRPr="00AA4915">
        <w:rPr>
          <w:rFonts w:ascii="Calibri" w:hAnsi="Calibri" w:cs="Calibri"/>
        </w:rPr>
        <w:t xml:space="preserve">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All children with epilepsy should have a dedicated paediatrician responsible for explaining the specifics of the transition in advance. Adult clinical teams should jointly review transition plans with paediatric teams, in collaboration with patients and their families.</w:t>
      </w:r>
    </w:p>
    <w:p w:rsidR="00C9163E" w:rsidRPr="00AA4915" w:rsidP="00B135AF">
      <w:pPr>
        <w:spacing w:after="0" w:line="240" w:lineRule="auto"/>
        <w:rPr>
          <w:rFonts w:ascii="Calibri" w:hAnsi="Calibri" w:cs="Calibri"/>
          <w:b/>
          <w:bCs/>
          <w:i/>
          <w:iCs/>
        </w:rPr>
      </w:pPr>
    </w:p>
    <w:p w:rsidR="00C9163E" w:rsidRPr="00AA4915" w:rsidP="00B135AF">
      <w:pPr>
        <w:spacing w:after="0" w:line="240" w:lineRule="auto"/>
        <w:rPr>
          <w:rFonts w:ascii="Calibri" w:hAnsi="Calibri" w:cs="Calibri"/>
          <w:b/>
          <w:bCs/>
          <w:i/>
          <w:iCs/>
        </w:rPr>
      </w:pPr>
      <w:r w:rsidRPr="00AA4915">
        <w:rPr>
          <w:rFonts w:ascii="Calibri" w:hAnsi="Calibri" w:cs="Calibri"/>
          <w:b/>
          <w:bCs/>
          <w:i/>
          <w:iCs/>
        </w:rPr>
        <w:t>Resourcing Q2: What is the role of health and social care organisation executives in overseeing the implementation and evaluation of the transfer to adult services?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 xml:space="preserve">Health and social care executives have a central role in ensuring that the transition from paediatric to adult epilepsy services is considered within care pathways. Where there are gaps in formalised pathways - these should be identified and addressed as soon as possible to prevent variation in care and potential gaps in provision.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 xml:space="preserve">Executives also have a responsibility for resourcing of health services in their remit. Therefore, ensuring that sufficient time is protected for epilepsy specialist nurses and other practitioners to facilitate an effective transition, is something which executives should have oversight of. </w:t>
      </w:r>
    </w:p>
    <w:p w:rsidR="00C9163E" w:rsidRPr="00AA4915" w:rsidP="00B135AF">
      <w:pPr>
        <w:spacing w:after="0" w:line="240" w:lineRule="auto"/>
        <w:rPr>
          <w:rFonts w:ascii="Calibri" w:hAnsi="Calibri" w:cs="Calibri"/>
        </w:rPr>
      </w:pPr>
    </w:p>
    <w:p w:rsidR="00C9163E" w:rsidRPr="00AA4915" w:rsidP="00B135AF">
      <w:pPr>
        <w:spacing w:after="0" w:line="240" w:lineRule="auto"/>
        <w:rPr>
          <w:rFonts w:ascii="Calibri" w:hAnsi="Calibri" w:cs="Calibri"/>
          <w:b/>
          <w:bCs/>
          <w:i/>
          <w:iCs/>
        </w:rPr>
      </w:pPr>
      <w:r w:rsidRPr="00AA4915">
        <w:rPr>
          <w:rFonts w:ascii="Calibri" w:hAnsi="Calibri" w:cs="Calibri"/>
          <w:b/>
          <w:bCs/>
          <w:i/>
          <w:iCs/>
        </w:rPr>
        <w:t>Impact and Outcomes Q2: Where staff are not equipped with the right skills, what is the impact on the service, and the young people it serves?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The transition to adult care occurs against the backdrop of a workforce shortage in neurology, including access to specialist expertise. Following a transition, many young people’s first clinical contact in adult services ends up being with a GP:</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GPs may not have the depth of specialist knowledge required for complex epilepsies, especially in the case of rare DEEs.</w:t>
      </w:r>
    </w:p>
    <w:p w:rsidR="00C9163E" w:rsidRPr="00AA4915" w:rsidP="00B135AF">
      <w:pPr>
        <w:pStyle w:val="ListParagraph"/>
        <w:numPr>
          <w:ilvl w:val="0"/>
          <w:numId w:val="1"/>
        </w:numPr>
        <w:spacing w:after="0" w:line="240" w:lineRule="auto"/>
        <w:jc w:val="both"/>
        <w:rPr>
          <w:rFonts w:ascii="Calibri" w:hAnsi="Calibri" w:cs="Calibri"/>
        </w:rPr>
      </w:pPr>
      <w:r w:rsidRPr="00AA4915">
        <w:rPr>
          <w:rFonts w:ascii="Calibri" w:hAnsi="Calibri" w:cs="Calibri"/>
        </w:rPr>
        <w:t>The relationship built over years of paediatric care is abruptly lost. This relationship is central to trust, shared decision-making and nuanced understanding of an individual's epilepsy.</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This leaves young people frequently reporting that adult services feel more fragmented and less personal, compounding anxiety and reducing engagement at the very moment they are expected to assume greater independence in their self-management.</w:t>
      </w:r>
    </w:p>
    <w:p w:rsidR="00C9163E" w:rsidRPr="00AA4915" w:rsidP="00B135AF">
      <w:pPr>
        <w:spacing w:after="0" w:line="240" w:lineRule="auto"/>
        <w:rPr>
          <w:rFonts w:ascii="Calibri" w:hAnsi="Calibri" w:cs="Calibri"/>
          <w:b/>
          <w:bCs/>
          <w:sz w:val="22"/>
          <w:szCs w:val="24"/>
          <w:u w:val="single"/>
        </w:rPr>
      </w:pPr>
    </w:p>
    <w:p w:rsidR="00C9163E" w:rsidRPr="00AA4915" w:rsidP="00B135AF">
      <w:pPr>
        <w:spacing w:after="0" w:line="240" w:lineRule="auto"/>
        <w:rPr>
          <w:rFonts w:ascii="Calibri" w:hAnsi="Calibri" w:cs="Calibri"/>
          <w:sz w:val="22"/>
          <w:szCs w:val="24"/>
          <w:u w:val="single"/>
        </w:rPr>
      </w:pPr>
      <w:r w:rsidRPr="00AA4915">
        <w:rPr>
          <w:rFonts w:ascii="Calibri" w:hAnsi="Calibri" w:cs="Calibri"/>
          <w:b/>
          <w:bCs/>
          <w:sz w:val="22"/>
          <w:szCs w:val="24"/>
          <w:u w:val="single"/>
        </w:rPr>
        <w:t>Focus Area 5: Enabling developmentally appropriate independence</w:t>
      </w:r>
    </w:p>
    <w:p w:rsidR="00C9163E" w:rsidRPr="00AA4915" w:rsidP="00B135AF">
      <w:pPr>
        <w:spacing w:after="0" w:line="240" w:lineRule="auto"/>
        <w:rPr>
          <w:rFonts w:ascii="Calibri" w:hAnsi="Calibri" w:cs="Calibri"/>
          <w:b/>
          <w:bCs/>
          <w:i/>
          <w:iCs/>
        </w:rPr>
      </w:pPr>
      <w:r w:rsidRPr="00AA4915">
        <w:rPr>
          <w:rFonts w:ascii="Calibri" w:hAnsi="Calibri" w:cs="Calibri"/>
          <w:b/>
          <w:bCs/>
          <w:i/>
          <w:iCs/>
        </w:rPr>
        <w:t>Impact and Outcomes Q1: What evidence is there that developmentally appropriate transition support improves safety and independence-related outcomes after entry to adult services?</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Transitions from paediatric to adult care services should occur when developmentally appropriate, rather than at rigid age thresholds, and at a time of relative stability for a patient, as per NICE guidance.</w:t>
      </w:r>
      <w:r>
        <w:rPr>
          <w:rStyle w:val="EndnoteReference"/>
          <w:rFonts w:ascii="Calibri" w:hAnsi="Calibri" w:cs="Calibri"/>
        </w:rPr>
        <w:endnoteReference w:id="12"/>
      </w:r>
      <w:r w:rsidRPr="00AA4915">
        <w:rPr>
          <w:rFonts w:ascii="Calibri" w:hAnsi="Calibri" w:cs="Calibri"/>
        </w:rPr>
        <w:t xml:space="preserve">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Evidence reviews by NICE have found that young people with epilepsy face specific risks, including stigma, developmental delays and other co-morbidities which require structured transition planning to support safe self-management.</w:t>
      </w:r>
      <w:r>
        <w:rPr>
          <w:rStyle w:val="EndnoteReference"/>
          <w:rFonts w:ascii="Calibri" w:hAnsi="Calibri" w:cs="Calibri"/>
        </w:rPr>
        <w:endnoteReference w:id="13"/>
      </w:r>
      <w:r w:rsidRPr="00AA4915">
        <w:rPr>
          <w:rFonts w:ascii="Calibri" w:hAnsi="Calibri" w:cs="Calibri"/>
        </w:rPr>
        <w:t xml:space="preserve"> Given the developmental delays associated with DEEs, it is essential that a tailored approach is taken for when the appropriate time for a transition to take place, is. </w:t>
      </w:r>
    </w:p>
    <w:p w:rsidR="00C9163E" w:rsidRPr="00AA4915" w:rsidP="00B135AF">
      <w:pPr>
        <w:spacing w:after="0" w:line="240" w:lineRule="auto"/>
        <w:jc w:val="both"/>
        <w:rPr>
          <w:rFonts w:ascii="Calibri" w:hAnsi="Calibri" w:cs="Calibri"/>
        </w:rPr>
      </w:pPr>
    </w:p>
    <w:p w:rsidR="00C9163E" w:rsidRPr="00AA4915" w:rsidP="00B135AF">
      <w:pPr>
        <w:spacing w:after="0" w:line="240" w:lineRule="auto"/>
        <w:jc w:val="both"/>
        <w:rPr>
          <w:rFonts w:ascii="Calibri" w:hAnsi="Calibri" w:cs="Calibri"/>
        </w:rPr>
      </w:pPr>
      <w:r w:rsidRPr="00AA4915">
        <w:rPr>
          <w:rFonts w:ascii="Calibri" w:hAnsi="Calibri" w:cs="Calibri"/>
        </w:rPr>
        <w:t>NHS England guidance has reinforced that adopting developmentally appropriate models of care across services for children and young people improves continuity of care, health outcomes and young people’s experiences of services.</w:t>
      </w:r>
      <w:r>
        <w:rPr>
          <w:rStyle w:val="EndnoteReference"/>
          <w:rFonts w:ascii="Calibri" w:hAnsi="Calibri" w:cs="Calibri"/>
        </w:rPr>
        <w:endnoteReference w:id="14"/>
      </w:r>
    </w:p>
    <w:p w:rsidR="00C9163E" w:rsidRPr="00AA4915" w:rsidP="00B135AF">
      <w:pPr>
        <w:spacing w:after="0" w:line="240" w:lineRule="auto"/>
        <w:jc w:val="both"/>
        <w:rPr>
          <w:rFonts w:ascii="Calibri" w:hAnsi="Calibri" w:cs="Calibri"/>
          <w:b/>
          <w:bCs/>
          <w:sz w:val="18"/>
          <w:szCs w:val="21"/>
        </w:rPr>
      </w:pPr>
    </w:p>
    <w:p w:rsidR="00C9163E" w:rsidRPr="00AA4915" w:rsidP="00B135AF">
      <w:pPr>
        <w:spacing w:after="0" w:line="240" w:lineRule="auto"/>
        <w:jc w:val="both"/>
        <w:rPr>
          <w:rFonts w:ascii="Calibri" w:hAnsi="Calibri" w:cs="Calibri"/>
          <w:b/>
          <w:bCs/>
          <w:sz w:val="18"/>
          <w:szCs w:val="21"/>
        </w:rPr>
      </w:pPr>
      <w:r w:rsidRPr="00AA4915">
        <w:rPr>
          <w:rFonts w:ascii="Calibri" w:hAnsi="Calibri" w:cs="Calibri"/>
          <w:b/>
          <w:bCs/>
          <w:sz w:val="18"/>
          <w:szCs w:val="21"/>
        </w:rPr>
        <w:t>References</w:t>
      </w:r>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5A301A" w:rsidP="00C058F5">
      <w:pPr>
        <w:spacing w:after="0" w:line="240" w:lineRule="auto"/>
      </w:pPr>
      <w:r>
        <w:separator/>
      </w:r>
    </w:p>
  </w:endnote>
  <w:endnote w:type="continuationSeparator" w:id="1">
    <w:p w:rsidR="005A301A" w:rsidP="00C058F5">
      <w:pPr>
        <w:spacing w:after="0" w:line="240" w:lineRule="auto"/>
      </w:pPr>
      <w:r>
        <w:continuationSeparator/>
      </w:r>
    </w:p>
  </w:endnote>
  <w:endnote w:id="2">
    <w:p w:rsidR="00C9163E" w:rsidRPr="00B135AF" w:rsidP="00F514BF">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Epilepsy Foundation, Causes of epilepsy. Available</w:t>
      </w:r>
      <w:r>
        <w:rPr>
          <w:rFonts w:ascii="Arial" w:hAnsi="Arial" w:cs="Arial"/>
          <w:sz w:val="16"/>
          <w:szCs w:val="16"/>
        </w:rPr>
        <w:t xml:space="preserve"> at:</w:t>
      </w:r>
      <w:r w:rsidRPr="00B135AF">
        <w:rPr>
          <w:rFonts w:ascii="Arial" w:hAnsi="Arial" w:cs="Arial"/>
          <w:sz w:val="16"/>
          <w:szCs w:val="16"/>
        </w:rPr>
        <w:t xml:space="preserve"> </w:t>
      </w:r>
      <w:r>
        <w:fldChar w:fldCharType="begin"/>
      </w:r>
      <w:r>
        <w:instrText xml:space="preserve"> HYPERLINK "https://www.epilepsy.com/causes" </w:instrText>
      </w:r>
      <w:r>
        <w:fldChar w:fldCharType="separate"/>
      </w:r>
      <w:r w:rsidRPr="00061EAA">
        <w:rPr>
          <w:rStyle w:val="Hyperlink"/>
          <w:rFonts w:ascii="Arial" w:hAnsi="Arial" w:cs="Arial"/>
          <w:sz w:val="16"/>
          <w:szCs w:val="16"/>
        </w:rPr>
        <w:t>https://www.epilepsy.com/causes</w:t>
      </w:r>
      <w:r>
        <w:fldChar w:fldCharType="end"/>
      </w:r>
      <w:r>
        <w:rPr>
          <w:rFonts w:ascii="Arial" w:hAnsi="Arial" w:cs="Arial"/>
          <w:sz w:val="16"/>
          <w:szCs w:val="16"/>
        </w:rPr>
        <w:t xml:space="preserve">. </w:t>
      </w:r>
    </w:p>
  </w:endnote>
  <w:endnote w:id="3">
    <w:p w:rsidR="00C9163E" w:rsidRPr="00B135AF" w:rsidP="00F514BF">
      <w:pPr>
        <w:pStyle w:val="EndnoteText"/>
        <w:rPr>
          <w:rFonts w:ascii="Arial" w:hAnsi="Arial" w:cs="Arial"/>
          <w:sz w:val="16"/>
          <w:szCs w:val="16"/>
        </w:rPr>
      </w:pPr>
      <w:r w:rsidRPr="00B135AF">
        <w:rPr>
          <w:rStyle w:val="EndnoteReference"/>
          <w:sz w:val="21"/>
          <w:szCs w:val="21"/>
        </w:rPr>
        <w:endnoteRef/>
      </w:r>
      <w:r w:rsidRPr="00B135AF">
        <w:rPr>
          <w:sz w:val="21"/>
          <w:szCs w:val="21"/>
        </w:rPr>
        <w:t xml:space="preserve"> </w:t>
      </w:r>
      <w:r w:rsidRPr="00B135AF">
        <w:rPr>
          <w:rFonts w:ascii="Arial" w:hAnsi="Arial" w:cs="Arial"/>
          <w:sz w:val="16"/>
          <w:szCs w:val="16"/>
        </w:rPr>
        <w:t>Rare Epilepsy Network, About the Rare Epilepsies. Availabl</w:t>
      </w:r>
      <w:r>
        <w:rPr>
          <w:rFonts w:ascii="Arial" w:hAnsi="Arial" w:cs="Arial"/>
          <w:sz w:val="16"/>
          <w:szCs w:val="16"/>
        </w:rPr>
        <w:t>e at:</w:t>
      </w:r>
      <w:r w:rsidRPr="00B135AF">
        <w:rPr>
          <w:rFonts w:ascii="Arial" w:hAnsi="Arial" w:cs="Arial"/>
          <w:sz w:val="16"/>
          <w:szCs w:val="16"/>
        </w:rPr>
        <w:t xml:space="preserve"> </w:t>
      </w:r>
      <w:r>
        <w:fldChar w:fldCharType="begin"/>
      </w:r>
      <w:r>
        <w:instrText xml:space="preserve"> HYPERLINK "https://www.rareepilepsynetwork.org/rareepilepsies" </w:instrText>
      </w:r>
      <w:r>
        <w:fldChar w:fldCharType="separate"/>
      </w:r>
      <w:r w:rsidRPr="00061EAA">
        <w:rPr>
          <w:rStyle w:val="Hyperlink"/>
          <w:rFonts w:ascii="Arial" w:hAnsi="Arial" w:cs="Arial"/>
          <w:sz w:val="16"/>
          <w:szCs w:val="16"/>
        </w:rPr>
        <w:t>https://www.rareepilepsynetwork.org/rareepilepsies</w:t>
      </w:r>
      <w:r>
        <w:fldChar w:fldCharType="end"/>
      </w:r>
      <w:r>
        <w:rPr>
          <w:rFonts w:ascii="Arial" w:hAnsi="Arial" w:cs="Arial"/>
          <w:sz w:val="16"/>
          <w:szCs w:val="16"/>
        </w:rPr>
        <w:t xml:space="preserve">. </w:t>
      </w:r>
    </w:p>
  </w:endnote>
  <w:endnote w:id="4">
    <w:p w:rsidR="00C9163E" w:rsidRPr="00B135AF">
      <w:pPr>
        <w:pStyle w:val="EndnoteText"/>
        <w:rPr>
          <w:rFonts w:ascii="Arial" w:hAnsi="Arial" w:cs="Arial"/>
          <w:b/>
          <w:bCs/>
          <w:sz w:val="16"/>
          <w:szCs w:val="16"/>
          <w:lang w:val="en-US"/>
        </w:rPr>
      </w:pPr>
      <w:r w:rsidRPr="00B135AF">
        <w:rPr>
          <w:rStyle w:val="EndnoteReference"/>
          <w:sz w:val="21"/>
          <w:szCs w:val="21"/>
        </w:rPr>
        <w:endnoteRef/>
      </w:r>
      <w:r w:rsidRPr="00B135AF">
        <w:rPr>
          <w:sz w:val="21"/>
          <w:szCs w:val="21"/>
        </w:rPr>
        <w:t xml:space="preserve"> </w:t>
      </w:r>
      <w:r w:rsidRPr="00B135AF">
        <w:rPr>
          <w:rFonts w:ascii="Arial" w:hAnsi="Arial" w:cs="Arial"/>
          <w:sz w:val="16"/>
          <w:szCs w:val="16"/>
        </w:rPr>
        <w:t xml:space="preserve">Epilepsy Foundation, </w:t>
      </w:r>
      <w:r w:rsidRPr="00B135AF">
        <w:rPr>
          <w:rFonts w:ascii="Arial" w:hAnsi="Arial" w:cs="Arial"/>
          <w:sz w:val="16"/>
          <w:szCs w:val="16"/>
          <w:lang w:val="en-US"/>
        </w:rPr>
        <w:t>Developmental and Epileptic Encephalopathy (DEE)</w:t>
      </w:r>
      <w:r w:rsidRPr="00B135AF">
        <w:rPr>
          <w:rFonts w:ascii="Arial" w:hAnsi="Arial" w:cs="Arial"/>
          <w:sz w:val="16"/>
          <w:szCs w:val="16"/>
        </w:rPr>
        <w:t>. Availabl</w:t>
      </w:r>
      <w:r>
        <w:rPr>
          <w:rFonts w:ascii="Arial" w:hAnsi="Arial" w:cs="Arial"/>
          <w:sz w:val="16"/>
          <w:szCs w:val="16"/>
        </w:rPr>
        <w:t>e at:</w:t>
      </w:r>
      <w:r w:rsidRPr="00B135AF">
        <w:rPr>
          <w:rFonts w:ascii="Arial" w:hAnsi="Arial" w:cs="Arial"/>
          <w:sz w:val="16"/>
          <w:szCs w:val="16"/>
        </w:rPr>
        <w:t xml:space="preserve"> </w:t>
      </w:r>
      <w:r>
        <w:fldChar w:fldCharType="begin"/>
      </w:r>
      <w:r>
        <w:instrText xml:space="preserve"> HYPERLINK "https://www.epilepsy.com/what-is-epilepsy/rare-epilepsies/developmental-and-epileptic-encephalopathy" </w:instrText>
      </w:r>
      <w:r>
        <w:fldChar w:fldCharType="separate"/>
      </w:r>
      <w:r w:rsidRPr="00061EAA">
        <w:rPr>
          <w:rStyle w:val="Hyperlink"/>
          <w:rFonts w:ascii="Arial" w:hAnsi="Arial" w:cs="Arial"/>
          <w:sz w:val="16"/>
          <w:szCs w:val="16"/>
        </w:rPr>
        <w:t>https://www.epilepsy.com/what-is-epilepsy/rare-epilepsies/developmental-and-epileptic-encephalopathy</w:t>
      </w:r>
      <w:r>
        <w:fldChar w:fldCharType="end"/>
      </w:r>
      <w:r>
        <w:rPr>
          <w:rFonts w:ascii="Arial" w:hAnsi="Arial" w:cs="Arial"/>
          <w:sz w:val="16"/>
          <w:szCs w:val="16"/>
        </w:rPr>
        <w:t xml:space="preserve">. </w:t>
      </w:r>
    </w:p>
  </w:endnote>
  <w:endnote w:id="5">
    <w:p w:rsidR="00C9163E" w:rsidRPr="00B135AF" w:rsidP="00236F89">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NCEPOD, The inbetweeners: A review of the barriers and facilitators in the process of the transition of children and young people with complex chronic health conditions moving into adult health services. Available</w:t>
      </w:r>
      <w:r>
        <w:rPr>
          <w:rFonts w:ascii="Arial" w:hAnsi="Arial" w:cs="Arial"/>
          <w:sz w:val="16"/>
          <w:szCs w:val="16"/>
        </w:rPr>
        <w:t xml:space="preserve"> at: </w:t>
      </w:r>
      <w:r w:rsidRPr="006807F0">
        <w:rPr>
          <w:rFonts w:ascii="Arial" w:hAnsi="Arial" w:cs="Arial"/>
          <w:sz w:val="16"/>
          <w:szCs w:val="16"/>
        </w:rPr>
        <w:t>https://www.ncepod.org.uk/2023transition/The Inbetweeners_full report.pdf</w:t>
      </w:r>
      <w:r>
        <w:rPr>
          <w:rFonts w:ascii="Arial" w:hAnsi="Arial" w:cs="Arial"/>
          <w:sz w:val="16"/>
          <w:szCs w:val="16"/>
        </w:rPr>
        <w:t xml:space="preserve">. </w:t>
      </w:r>
    </w:p>
  </w:endnote>
  <w:endnote w:id="6">
    <w:p w:rsidR="00C9163E" w:rsidRPr="00B135AF" w:rsidP="00236F89">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Care Quality Commission, Transition arrangements for young people with complex health needs from children’s to adult services. Availabl</w:t>
      </w:r>
      <w:r>
        <w:rPr>
          <w:rFonts w:ascii="Arial" w:hAnsi="Arial" w:cs="Arial"/>
          <w:sz w:val="16"/>
          <w:szCs w:val="16"/>
        </w:rPr>
        <w:t xml:space="preserve">e at: </w:t>
      </w:r>
      <w:r>
        <w:fldChar w:fldCharType="begin"/>
      </w:r>
      <w:r>
        <w:instrText xml:space="preserve"> HYPERLINK "https://www.cqc.org.uk/publications/themes-care/transition-arrangements-young-people-complex-health-needs-children%E2%80%99s-adult" </w:instrText>
      </w:r>
      <w:r>
        <w:fldChar w:fldCharType="separate"/>
      </w:r>
      <w:r w:rsidRPr="00061EAA">
        <w:rPr>
          <w:rStyle w:val="Hyperlink"/>
          <w:rFonts w:ascii="Arial" w:hAnsi="Arial" w:cs="Arial"/>
          <w:sz w:val="16"/>
          <w:szCs w:val="16"/>
        </w:rPr>
        <w:t>https://www.cqc.org.uk/publications/themes-care/transition-arrangements-young-people-complex-health-needs-children%E2%80%99s-adult</w:t>
      </w:r>
      <w:r>
        <w:fldChar w:fldCharType="end"/>
      </w:r>
      <w:r>
        <w:rPr>
          <w:rFonts w:ascii="Arial" w:hAnsi="Arial" w:cs="Arial"/>
          <w:sz w:val="16"/>
          <w:szCs w:val="16"/>
        </w:rPr>
        <w:t xml:space="preserve">. </w:t>
      </w:r>
    </w:p>
  </w:endnote>
  <w:endnote w:id="7">
    <w:p w:rsidR="00C9163E" w:rsidRPr="00B135AF" w:rsidP="00785208">
      <w:pPr>
        <w:pStyle w:val="EndnoteText"/>
        <w:rPr>
          <w:b/>
          <w:bCs/>
          <w:sz w:val="21"/>
          <w:szCs w:val="21"/>
          <w:lang w:val="en-US"/>
        </w:rPr>
      </w:pPr>
      <w:r w:rsidRPr="00B135AF">
        <w:rPr>
          <w:rStyle w:val="EndnoteReference"/>
          <w:rFonts w:ascii="Arial" w:hAnsi="Arial" w:cs="Arial"/>
          <w:sz w:val="16"/>
          <w:szCs w:val="16"/>
        </w:rPr>
        <w:endnoteRef/>
      </w:r>
      <w:r w:rsidRPr="00B135AF">
        <w:rPr>
          <w:rFonts w:ascii="Arial" w:hAnsi="Arial" w:cs="Arial"/>
          <w:sz w:val="16"/>
          <w:szCs w:val="16"/>
        </w:rPr>
        <w:t xml:space="preserve"> NHS Northamptonshire Healthcare NHS Foundation Trust. </w:t>
      </w:r>
      <w:r w:rsidRPr="00B135AF">
        <w:rPr>
          <w:rFonts w:ascii="Arial" w:hAnsi="Arial" w:cs="Arial"/>
          <w:sz w:val="16"/>
          <w:szCs w:val="16"/>
          <w:lang w:val="en-US"/>
        </w:rPr>
        <w:t>How young people are delivering change through co-production. Available</w:t>
      </w:r>
      <w:r>
        <w:rPr>
          <w:rFonts w:ascii="Arial" w:hAnsi="Arial" w:cs="Arial"/>
          <w:sz w:val="16"/>
          <w:szCs w:val="16"/>
          <w:lang w:val="en-US"/>
        </w:rPr>
        <w:t xml:space="preserve"> at:</w:t>
      </w:r>
      <w:r w:rsidRPr="00B135AF">
        <w:rPr>
          <w:rFonts w:ascii="Arial" w:hAnsi="Arial" w:cs="Arial"/>
          <w:sz w:val="16"/>
          <w:szCs w:val="16"/>
        </w:rPr>
        <w:t xml:space="preserve"> </w:t>
      </w:r>
      <w:r>
        <w:fldChar w:fldCharType="begin"/>
      </w:r>
      <w:r>
        <w:instrText xml:space="preserve"> HYPERLINK "https://www.nhft.nhs.uk/updates/how-young-people-are-delivering-change-through-coproduction-11586" </w:instrText>
      </w:r>
      <w:r>
        <w:fldChar w:fldCharType="separate"/>
      </w:r>
      <w:r w:rsidRPr="00061EAA">
        <w:rPr>
          <w:rStyle w:val="Hyperlink"/>
          <w:rFonts w:ascii="Arial" w:hAnsi="Arial" w:cs="Arial"/>
          <w:sz w:val="16"/>
          <w:szCs w:val="16"/>
        </w:rPr>
        <w:t>https://www.nhft.nhs.uk/updates/how-young-people-are-delivering-change-through-coproduction-11586</w:t>
      </w:r>
      <w:r>
        <w:fldChar w:fldCharType="end"/>
      </w:r>
      <w:r>
        <w:rPr>
          <w:rFonts w:ascii="Arial" w:hAnsi="Arial" w:cs="Arial"/>
          <w:sz w:val="16"/>
          <w:szCs w:val="16"/>
        </w:rPr>
        <w:t xml:space="preserve">. </w:t>
      </w:r>
    </w:p>
  </w:endnote>
  <w:endnote w:id="8">
    <w:p w:rsidR="00C9163E" w:rsidRPr="00B135AF" w:rsidP="00785208">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The British Psychological Society. My voice matters – co-production as a process to hear and be led by young voices. Available</w:t>
      </w:r>
      <w:r>
        <w:rPr>
          <w:rFonts w:ascii="Arial" w:hAnsi="Arial" w:cs="Arial"/>
          <w:sz w:val="16"/>
          <w:szCs w:val="16"/>
        </w:rPr>
        <w:t xml:space="preserve"> at: </w:t>
      </w:r>
      <w:r>
        <w:fldChar w:fldCharType="begin"/>
      </w:r>
      <w:r>
        <w:instrText xml:space="preserve"> HYPERLINK "https://www.bps.org.uk/blog/my-voice-matters" </w:instrText>
      </w:r>
      <w:r>
        <w:fldChar w:fldCharType="separate"/>
      </w:r>
      <w:r w:rsidRPr="00061EAA">
        <w:rPr>
          <w:rStyle w:val="Hyperlink"/>
          <w:rFonts w:ascii="Arial" w:hAnsi="Arial" w:cs="Arial"/>
          <w:sz w:val="16"/>
          <w:szCs w:val="16"/>
        </w:rPr>
        <w:t>https://www.bps.org.uk/blog/my-voice-matters</w:t>
      </w:r>
      <w:r>
        <w:fldChar w:fldCharType="end"/>
      </w:r>
      <w:r>
        <w:rPr>
          <w:rFonts w:ascii="Arial" w:hAnsi="Arial" w:cs="Arial"/>
          <w:sz w:val="16"/>
          <w:szCs w:val="16"/>
        </w:rPr>
        <w:t xml:space="preserve">. </w:t>
      </w:r>
    </w:p>
  </w:endnote>
  <w:endnote w:id="9">
    <w:p w:rsidR="00C9163E" w:rsidRPr="00B135AF" w:rsidP="00785208">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NHS England, National bundle of care for children and young people with epilepsy</w:t>
      </w:r>
      <w:r w:rsidRPr="00B135AF">
        <w:rPr>
          <w:sz w:val="21"/>
          <w:szCs w:val="21"/>
        </w:rPr>
        <w:t xml:space="preserve">. </w:t>
      </w:r>
      <w:r w:rsidRPr="00B135AF">
        <w:rPr>
          <w:rFonts w:ascii="Arial" w:hAnsi="Arial" w:cs="Arial"/>
          <w:sz w:val="16"/>
          <w:szCs w:val="16"/>
        </w:rPr>
        <w:t>Available</w:t>
      </w:r>
      <w:r>
        <w:rPr>
          <w:rFonts w:ascii="Arial" w:hAnsi="Arial" w:cs="Arial"/>
          <w:sz w:val="16"/>
          <w:szCs w:val="16"/>
        </w:rPr>
        <w:t xml:space="preserve"> at: </w:t>
      </w:r>
      <w:r>
        <w:fldChar w:fldCharType="begin"/>
      </w:r>
      <w:r>
        <w:instrText xml:space="preserve"> HYPERLINK "https://www.england.nhs.uk/long-read/national-bundle-of-care-for-children-and-young-people-with-epilepsy/" </w:instrText>
      </w:r>
      <w:r>
        <w:fldChar w:fldCharType="separate"/>
      </w:r>
      <w:r w:rsidRPr="00061EAA">
        <w:rPr>
          <w:rStyle w:val="Hyperlink"/>
          <w:rFonts w:ascii="Arial" w:hAnsi="Arial" w:cs="Arial"/>
          <w:sz w:val="16"/>
          <w:szCs w:val="16"/>
        </w:rPr>
        <w:t>https://www.england.nhs.uk/long-read/national-bundle-of-care-for-children-and-young-people-with-epilepsy/</w:t>
      </w:r>
      <w:r>
        <w:fldChar w:fldCharType="end"/>
      </w:r>
      <w:r>
        <w:rPr>
          <w:rFonts w:ascii="Arial" w:hAnsi="Arial" w:cs="Arial"/>
          <w:sz w:val="16"/>
          <w:szCs w:val="16"/>
        </w:rPr>
        <w:t xml:space="preserve">. </w:t>
      </w:r>
    </w:p>
  </w:endnote>
  <w:endnote w:id="10">
    <w:p w:rsidR="00C9163E" w:rsidRPr="00B135AF" w:rsidP="00785208">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Paternoster J, Wooldridge A, Carr L ... Transition from paediatric healthcare to adult healthcare for young people with epilepsy in the UK: A scoping review Seizure - European Journal of Epilepsy, 2025; 132, 133-144 </w:t>
      </w:r>
    </w:p>
  </w:endnote>
  <w:endnote w:id="11">
    <w:p w:rsidR="00C9163E" w:rsidRPr="00B135AF" w:rsidP="00785208">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RCPCH, Epilepsy12 audit - Frequent reporting dashboard. Available</w:t>
      </w:r>
      <w:r>
        <w:rPr>
          <w:rFonts w:ascii="Arial" w:hAnsi="Arial" w:cs="Arial"/>
          <w:sz w:val="16"/>
          <w:szCs w:val="16"/>
        </w:rPr>
        <w:t xml:space="preserve"> at: </w:t>
      </w:r>
      <w:r>
        <w:fldChar w:fldCharType="begin"/>
      </w:r>
      <w:r>
        <w:instrText xml:space="preserve"> HYPERLINK "https://www.rcpch.ac.uk/resources/epilepsy12-audit-dashboard" </w:instrText>
      </w:r>
      <w:r>
        <w:fldChar w:fldCharType="separate"/>
      </w:r>
      <w:r w:rsidRPr="00061EAA">
        <w:rPr>
          <w:rStyle w:val="Hyperlink"/>
          <w:rFonts w:ascii="Arial" w:hAnsi="Arial" w:cs="Arial"/>
          <w:sz w:val="16"/>
          <w:szCs w:val="16"/>
        </w:rPr>
        <w:t>https://www.rcpch.ac.uk/resources/epilepsy12-audit-dashboard</w:t>
      </w:r>
      <w:r>
        <w:fldChar w:fldCharType="end"/>
      </w:r>
      <w:r>
        <w:rPr>
          <w:rFonts w:ascii="Arial" w:hAnsi="Arial" w:cs="Arial"/>
          <w:sz w:val="16"/>
          <w:szCs w:val="16"/>
        </w:rPr>
        <w:t xml:space="preserve">. </w:t>
      </w:r>
    </w:p>
  </w:endnote>
  <w:endnote w:id="12">
    <w:p w:rsidR="00C9163E" w:rsidRPr="00B135AF" w:rsidP="00785208">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NICE, Epilepsies in children, young people and adult. Available</w:t>
      </w:r>
      <w:r>
        <w:rPr>
          <w:rFonts w:ascii="Arial" w:hAnsi="Arial" w:cs="Arial"/>
          <w:sz w:val="16"/>
          <w:szCs w:val="16"/>
        </w:rPr>
        <w:t xml:space="preserve"> at: </w:t>
      </w:r>
      <w:r>
        <w:fldChar w:fldCharType="begin"/>
      </w:r>
      <w:r>
        <w:instrText xml:space="preserve"> HYPERLINK "https://www.nice.org.uk/guidance/ng217/resources/epilepsies-in-children-young-people-and-adults-pdf-66143780239813" </w:instrText>
      </w:r>
      <w:r>
        <w:fldChar w:fldCharType="separate"/>
      </w:r>
      <w:r w:rsidRPr="00061EAA">
        <w:rPr>
          <w:rStyle w:val="Hyperlink"/>
          <w:rFonts w:ascii="Arial" w:hAnsi="Arial" w:cs="Arial"/>
          <w:sz w:val="16"/>
          <w:szCs w:val="16"/>
        </w:rPr>
        <w:t>https://www.nice.org.uk/guidance/ng217/resources/epilepsies-in-children-young-people-and-adults-pdf-66143780239813</w:t>
      </w:r>
      <w:r>
        <w:fldChar w:fldCharType="end"/>
      </w:r>
      <w:r>
        <w:rPr>
          <w:rFonts w:ascii="Arial" w:hAnsi="Arial" w:cs="Arial"/>
          <w:sz w:val="16"/>
          <w:szCs w:val="16"/>
        </w:rPr>
        <w:t xml:space="preserve">. </w:t>
      </w:r>
    </w:p>
  </w:endnote>
  <w:endnote w:id="13">
    <w:p w:rsidR="00C9163E" w:rsidRPr="00B135AF" w:rsidP="00785208">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National Guideline Centre (UK). Evidence review: Transition from paediatric to adult epilepsy services: Epilepsies in children, young people and adults: diagnosis and management. Available</w:t>
      </w:r>
      <w:r>
        <w:rPr>
          <w:rFonts w:ascii="Arial" w:hAnsi="Arial" w:cs="Arial"/>
          <w:sz w:val="16"/>
          <w:szCs w:val="16"/>
        </w:rPr>
        <w:t xml:space="preserve"> at: </w:t>
      </w:r>
      <w:r>
        <w:fldChar w:fldCharType="begin"/>
      </w:r>
      <w:r>
        <w:instrText xml:space="preserve"> HYPERLINK "https://www.ncbi.nlm.nih.gov/books/NBK581148/" </w:instrText>
      </w:r>
      <w:r>
        <w:fldChar w:fldCharType="separate"/>
      </w:r>
      <w:r w:rsidRPr="00061EAA">
        <w:rPr>
          <w:rStyle w:val="Hyperlink"/>
          <w:rFonts w:ascii="Arial" w:hAnsi="Arial" w:cs="Arial"/>
          <w:sz w:val="16"/>
          <w:szCs w:val="16"/>
        </w:rPr>
        <w:t>https://www.ncbi.nlm.nih.gov/books/NBK581148/</w:t>
      </w:r>
      <w:r>
        <w:fldChar w:fldCharType="end"/>
      </w:r>
      <w:r>
        <w:rPr>
          <w:rFonts w:ascii="Arial" w:hAnsi="Arial" w:cs="Arial"/>
          <w:sz w:val="16"/>
          <w:szCs w:val="16"/>
        </w:rPr>
        <w:t xml:space="preserve">. </w:t>
      </w:r>
    </w:p>
  </w:endnote>
  <w:endnote w:id="14">
    <w:p w:rsidR="00C9163E" w:rsidP="00785208">
      <w:pPr>
        <w:pStyle w:val="EndnoteText"/>
        <w:rPr>
          <w:rFonts w:ascii="Arial" w:hAnsi="Arial" w:cs="Arial"/>
          <w:sz w:val="16"/>
          <w:szCs w:val="16"/>
        </w:rPr>
      </w:pPr>
      <w:r w:rsidRPr="00B135AF">
        <w:rPr>
          <w:rStyle w:val="EndnoteReference"/>
          <w:rFonts w:ascii="Arial" w:hAnsi="Arial" w:cs="Arial"/>
          <w:sz w:val="16"/>
          <w:szCs w:val="16"/>
        </w:rPr>
        <w:endnoteRef/>
      </w:r>
      <w:r w:rsidRPr="00B135AF">
        <w:rPr>
          <w:rFonts w:ascii="Arial" w:hAnsi="Arial" w:cs="Arial"/>
          <w:sz w:val="16"/>
          <w:szCs w:val="16"/>
        </w:rPr>
        <w:t xml:space="preserve"> NHS England, Supporting young people to transition into adolescent and adult services. Available</w:t>
      </w:r>
      <w:r>
        <w:rPr>
          <w:rFonts w:ascii="Arial" w:hAnsi="Arial" w:cs="Arial"/>
          <w:sz w:val="16"/>
          <w:szCs w:val="16"/>
        </w:rPr>
        <w:t xml:space="preserve"> at: </w:t>
      </w:r>
      <w:r>
        <w:fldChar w:fldCharType="begin"/>
      </w:r>
      <w:r>
        <w:instrText xml:space="preserve"> HYPERLINK "https://www.england.nhs.uk/long-read/supporting-young-people-to-transition-into-adolescent-and-adult-services/" </w:instrText>
      </w:r>
      <w:r>
        <w:fldChar w:fldCharType="separate"/>
      </w:r>
      <w:r w:rsidRPr="00061EAA">
        <w:rPr>
          <w:rStyle w:val="Hyperlink"/>
          <w:rFonts w:ascii="Arial" w:hAnsi="Arial" w:cs="Arial"/>
          <w:sz w:val="16"/>
          <w:szCs w:val="16"/>
        </w:rPr>
        <w:t>https://www.england.nhs.uk/long-read/supporting-young-people-to-transition-into-adolescent-and-adult-services/</w:t>
      </w:r>
      <w:r>
        <w:fldChar w:fldCharType="end"/>
      </w:r>
      <w:r>
        <w:rPr>
          <w:rFonts w:ascii="Arial" w:hAnsi="Arial" w:cs="Arial"/>
          <w:sz w:val="16"/>
          <w:szCs w:val="16"/>
        </w:rPr>
        <w:t xml:space="preserve">. </w:t>
      </w:r>
    </w:p>
    <w:p w:rsidR="00AA4915" w:rsidP="00785208">
      <w:pPr>
        <w:pStyle w:val="EndnoteText"/>
        <w:rPr>
          <w:rFonts w:ascii="Arial" w:hAnsi="Arial" w:cs="Arial"/>
          <w:sz w:val="16"/>
          <w:szCs w:val="16"/>
        </w:rPr>
      </w:pPr>
    </w:p>
    <w:p w:rsidR="00AA4915" w:rsidP="00785208">
      <w:pPr>
        <w:pStyle w:val="EndnoteText"/>
        <w:rPr>
          <w:rFonts w:ascii="Arial" w:hAnsi="Arial" w:cs="Arial"/>
          <w:sz w:val="16"/>
          <w:szCs w:val="16"/>
        </w:rPr>
      </w:pPr>
    </w:p>
    <w:p w:rsidR="00AA4915" w:rsidRPr="00AA4915" w:rsidP="00785208">
      <w:pPr>
        <w:pStyle w:val="EndnoteText"/>
        <w:rPr>
          <w:i/>
          <w:iCs/>
        </w:rPr>
      </w:pPr>
      <w:r w:rsidRPr="00AA4915">
        <w:rPr>
          <w:rFonts w:ascii="Arial" w:hAnsi="Arial" w:cs="Arial"/>
          <w:i/>
          <w:iCs/>
        </w:rPr>
        <w:t>May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E732F2"/>
    <w:multiLevelType w:val="hybridMultilevel"/>
    <w:tmpl w:val="28C8DCC4"/>
    <w:lvl w:ilvl="0">
      <w:start w:val="0"/>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3291021"/>
    <w:multiLevelType w:val="hybridMultilevel"/>
    <w:tmpl w:val="00B47BF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
    <w:nsid w:val="28D11097"/>
    <w:multiLevelType w:val="hybridMultilevel"/>
    <w:tmpl w:val="6740A2F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37847EC8"/>
    <w:multiLevelType w:val="hybridMultilevel"/>
    <w:tmpl w:val="2BBAD9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97D7E56"/>
    <w:multiLevelType w:val="hybridMultilevel"/>
    <w:tmpl w:val="389ABA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F465F5"/>
    <w:multiLevelType w:val="hybridMultilevel"/>
    <w:tmpl w:val="240893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7FA5F9D"/>
    <w:multiLevelType w:val="hybridMultilevel"/>
    <w:tmpl w:val="3E9070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kern w:val="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C05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8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8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058F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058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058F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058F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058F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8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8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8F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8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58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58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58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58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58F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58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8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8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8F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58F5"/>
    <w:pPr>
      <w:spacing w:before="160"/>
      <w:jc w:val="center"/>
    </w:pPr>
    <w:rPr>
      <w:i/>
      <w:iCs/>
      <w:color w:val="404040" w:themeColor="text1" w:themeTint="BF"/>
    </w:rPr>
  </w:style>
  <w:style w:type="character" w:customStyle="1" w:styleId="QuoteChar">
    <w:name w:val="Quote Char"/>
    <w:basedOn w:val="DefaultParagraphFont"/>
    <w:link w:val="Quote"/>
    <w:uiPriority w:val="29"/>
    <w:rsid w:val="00C058F5"/>
    <w:rPr>
      <w:i/>
      <w:iCs/>
      <w:color w:val="404040" w:themeColor="text1" w:themeTint="BF"/>
    </w:rPr>
  </w:style>
  <w:style w:type="paragraph" w:styleId="ListParagraph">
    <w:name w:val="List Paragraph"/>
    <w:basedOn w:val="Normal"/>
    <w:uiPriority w:val="34"/>
    <w:qFormat/>
    <w:rsid w:val="00C058F5"/>
    <w:pPr>
      <w:ind w:left="720"/>
      <w:contextualSpacing/>
    </w:pPr>
  </w:style>
  <w:style w:type="character" w:styleId="IntenseEmphasis">
    <w:name w:val="Intense Emphasis"/>
    <w:basedOn w:val="DefaultParagraphFont"/>
    <w:uiPriority w:val="21"/>
    <w:qFormat/>
    <w:rsid w:val="00C058F5"/>
    <w:rPr>
      <w:i/>
      <w:iCs/>
      <w:color w:val="0F4761" w:themeColor="accent1" w:themeShade="BF"/>
    </w:rPr>
  </w:style>
  <w:style w:type="paragraph" w:styleId="IntenseQuote">
    <w:name w:val="Intense Quote"/>
    <w:basedOn w:val="Normal"/>
    <w:next w:val="Normal"/>
    <w:link w:val="IntenseQuoteChar"/>
    <w:uiPriority w:val="30"/>
    <w:qFormat/>
    <w:rsid w:val="00C05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8F5"/>
    <w:rPr>
      <w:i/>
      <w:iCs/>
      <w:color w:val="0F4761" w:themeColor="accent1" w:themeShade="BF"/>
    </w:rPr>
  </w:style>
  <w:style w:type="character" w:styleId="IntenseReference">
    <w:name w:val="Intense Reference"/>
    <w:basedOn w:val="DefaultParagraphFont"/>
    <w:uiPriority w:val="32"/>
    <w:qFormat/>
    <w:rsid w:val="00C058F5"/>
    <w:rPr>
      <w:b/>
      <w:bCs/>
      <w:smallCaps/>
      <w:color w:val="0F4761" w:themeColor="accent1" w:themeShade="BF"/>
      <w:spacing w:val="5"/>
    </w:rPr>
  </w:style>
  <w:style w:type="paragraph" w:styleId="Header">
    <w:name w:val="header"/>
    <w:basedOn w:val="Normal"/>
    <w:link w:val="HeaderChar"/>
    <w:uiPriority w:val="99"/>
    <w:unhideWhenUsed/>
    <w:rsid w:val="00C058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8F5"/>
  </w:style>
  <w:style w:type="paragraph" w:styleId="Footer">
    <w:name w:val="footer"/>
    <w:basedOn w:val="Normal"/>
    <w:link w:val="FooterChar"/>
    <w:uiPriority w:val="99"/>
    <w:unhideWhenUsed/>
    <w:rsid w:val="00C058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8F5"/>
  </w:style>
  <w:style w:type="character" w:styleId="Hyperlink">
    <w:name w:val="Hyperlink"/>
    <w:basedOn w:val="DefaultParagraphFont"/>
    <w:uiPriority w:val="99"/>
    <w:unhideWhenUsed/>
    <w:rsid w:val="000E66C8"/>
    <w:rPr>
      <w:color w:val="467886" w:themeColor="hyperlink"/>
      <w:u w:val="single"/>
    </w:rPr>
  </w:style>
  <w:style w:type="character" w:customStyle="1" w:styleId="UnresolvedMention1">
    <w:name w:val="Unresolved Mention1"/>
    <w:basedOn w:val="DefaultParagraphFont"/>
    <w:uiPriority w:val="99"/>
    <w:semiHidden/>
    <w:unhideWhenUsed/>
    <w:rsid w:val="000E66C8"/>
    <w:rPr>
      <w:color w:val="605E5C"/>
      <w:shd w:val="clear" w:color="auto" w:fill="E1DFDD"/>
    </w:rPr>
  </w:style>
  <w:style w:type="paragraph" w:styleId="EndnoteText">
    <w:name w:val="endnote text"/>
    <w:basedOn w:val="Normal"/>
    <w:link w:val="EndnoteTextChar"/>
    <w:uiPriority w:val="99"/>
    <w:unhideWhenUsed/>
    <w:rsid w:val="000E66C8"/>
    <w:pPr>
      <w:spacing w:after="0" w:line="240" w:lineRule="auto"/>
    </w:pPr>
    <w:rPr>
      <w:rFonts w:asciiTheme="minorHAnsi" w:hAnsiTheme="minorHAnsi"/>
      <w:kern w:val="0"/>
      <w:szCs w:val="20"/>
    </w:rPr>
  </w:style>
  <w:style w:type="character" w:customStyle="1" w:styleId="EndnoteTextChar">
    <w:name w:val="Endnote Text Char"/>
    <w:basedOn w:val="DefaultParagraphFont"/>
    <w:link w:val="EndnoteText"/>
    <w:uiPriority w:val="99"/>
    <w:rsid w:val="000E66C8"/>
    <w:rPr>
      <w:rFonts w:asciiTheme="minorHAnsi" w:hAnsiTheme="minorHAnsi"/>
      <w:kern w:val="0"/>
      <w:szCs w:val="20"/>
    </w:rPr>
  </w:style>
  <w:style w:type="character" w:styleId="EndnoteReference">
    <w:name w:val="endnote reference"/>
    <w:basedOn w:val="DefaultParagraphFont"/>
    <w:uiPriority w:val="99"/>
    <w:unhideWhenUsed/>
    <w:rsid w:val="000E66C8"/>
    <w:rPr>
      <w:vertAlign w:val="superscript"/>
    </w:rPr>
  </w:style>
  <w:style w:type="table" w:styleId="TableGrid">
    <w:name w:val="Table Grid"/>
    <w:basedOn w:val="TableNormal"/>
    <w:uiPriority w:val="39"/>
    <w:rsid w:val="0099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49C9"/>
    <w:pPr>
      <w:spacing w:after="0" w:line="240" w:lineRule="auto"/>
    </w:pPr>
  </w:style>
  <w:style w:type="character" w:styleId="FollowedHyperlink">
    <w:name w:val="FollowedHyperlink"/>
    <w:basedOn w:val="DefaultParagraphFont"/>
    <w:uiPriority w:val="99"/>
    <w:semiHidden/>
    <w:unhideWhenUsed/>
    <w:rsid w:val="00F274D2"/>
    <w:rPr>
      <w:color w:val="96607D" w:themeColor="followedHyperlink"/>
      <w:u w:val="single"/>
    </w:rPr>
  </w:style>
  <w:style w:type="character" w:styleId="CommentReference">
    <w:name w:val="annotation reference"/>
    <w:basedOn w:val="DefaultParagraphFont"/>
    <w:uiPriority w:val="99"/>
    <w:semiHidden/>
    <w:unhideWhenUsed/>
    <w:rsid w:val="00AB7BFB"/>
    <w:rPr>
      <w:sz w:val="16"/>
      <w:szCs w:val="16"/>
    </w:rPr>
  </w:style>
  <w:style w:type="paragraph" w:styleId="CommentText">
    <w:name w:val="annotation text"/>
    <w:basedOn w:val="Normal"/>
    <w:link w:val="CommentTextChar"/>
    <w:uiPriority w:val="99"/>
    <w:unhideWhenUsed/>
    <w:rsid w:val="00AB7BFB"/>
    <w:pPr>
      <w:spacing w:line="240" w:lineRule="auto"/>
    </w:pPr>
    <w:rPr>
      <w:szCs w:val="20"/>
    </w:rPr>
  </w:style>
  <w:style w:type="character" w:customStyle="1" w:styleId="CommentTextChar">
    <w:name w:val="Comment Text Char"/>
    <w:basedOn w:val="DefaultParagraphFont"/>
    <w:link w:val="CommentText"/>
    <w:uiPriority w:val="99"/>
    <w:rsid w:val="00AB7BFB"/>
    <w:rPr>
      <w:szCs w:val="20"/>
    </w:rPr>
  </w:style>
  <w:style w:type="paragraph" w:styleId="CommentSubject">
    <w:name w:val="annotation subject"/>
    <w:basedOn w:val="CommentText"/>
    <w:next w:val="CommentText"/>
    <w:link w:val="CommentSubjectChar"/>
    <w:uiPriority w:val="99"/>
    <w:semiHidden/>
    <w:unhideWhenUsed/>
    <w:rsid w:val="00AB7BFB"/>
    <w:rPr>
      <w:b/>
      <w:bCs/>
    </w:rPr>
  </w:style>
  <w:style w:type="character" w:customStyle="1" w:styleId="CommentSubjectChar">
    <w:name w:val="Comment Subject Char"/>
    <w:basedOn w:val="CommentTextChar"/>
    <w:link w:val="CommentSubject"/>
    <w:uiPriority w:val="99"/>
    <w:semiHidden/>
    <w:rsid w:val="00AB7BFB"/>
    <w:rPr>
      <w:b/>
      <w:bCs/>
      <w:szCs w:val="20"/>
    </w:rPr>
  </w:style>
  <w:style w:type="paragraph" w:styleId="Revision">
    <w:name w:val="Revision"/>
    <w:hidden/>
    <w:uiPriority w:val="99"/>
    <w:semiHidden/>
    <w:rsid w:val="00804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TRN0024</dc:title>
  <cp:revision>0</cp:revision>
</cp:coreProperties>
</file>