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0A1666" w:rsidP="000A1666">
      <w:pPr>
        <w:pStyle w:val="Heading1"/>
        <w:spacing w:before="120" w:after="120" w:line="275" w:lineRule="auto"/>
        <w:jc w:val="center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 xml:space="preserve">Written evidence submitted by </w:t>
      </w:r>
      <w:r w:rsidRPr="000A1666">
        <w:rPr>
          <w:rFonts w:ascii="Google Sans" w:eastAsia="Google Sans" w:hAnsi="Google Sans" w:cs="Google Sans"/>
          <w:color w:val="1F1F1F"/>
        </w:rPr>
        <w:t>Mr James briggs</w:t>
      </w:r>
      <w:r>
        <w:rPr>
          <w:rFonts w:ascii="Google Sans" w:eastAsia="Google Sans" w:hAnsi="Google Sans" w:cs="Google Sans"/>
          <w:color w:val="1F1F1F"/>
        </w:rPr>
        <w:t xml:space="preserve"> (CWR0075)</w:t>
      </w:r>
    </w:p>
    <w:p w:rsidR="00000000">
      <w:pPr>
        <w:pStyle w:val="Heading1"/>
        <w:spacing w:before="12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STRATEGIC POLICY PAPER: THE CASE FOR REPEALING DEPTH-BASED PEATLAND BURNING RESTRICTIONS</w:t>
      </w:r>
    </w:p>
    <w:p w:rsidR="00000000">
      <w:pPr>
        <w:pBdr>
          <w:top w:val="nil"/>
          <w:left w:val="nil"/>
          <w:bottom w:val="nil"/>
          <w:right w:val="nil"/>
          <w:between w:val="nil"/>
        </w:pBdr>
        <w:spacing w:after="15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b/>
          <w:bCs/>
          <w:color w:val="1F1F1F"/>
        </w:rPr>
        <w:t>TO:</w:t>
      </w:r>
      <w:r>
        <w:rPr>
          <w:rFonts w:ascii="Google Sans" w:eastAsia="Google Sans" w:hAnsi="Google Sans" w:cs="Google Sans"/>
          <w:color w:val="1F1F1F"/>
        </w:rPr>
        <w:t xml:space="preserve"> The Environment, Food and Rural Affairs (EFRA) Committee</w:t>
      </w:r>
    </w:p>
    <w:p w:rsidR="00000000">
      <w:pPr>
        <w:pBdr>
          <w:top w:val="nil"/>
          <w:left w:val="nil"/>
          <w:bottom w:val="nil"/>
          <w:right w:val="nil"/>
          <w:between w:val="nil"/>
        </w:pBdr>
        <w:spacing w:after="15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b/>
          <w:bCs/>
          <w:color w:val="1F1F1F"/>
        </w:rPr>
        <w:t>DATE:</w:t>
      </w:r>
      <w:r>
        <w:rPr>
          <w:rFonts w:ascii="Google Sans" w:eastAsia="Google Sans" w:hAnsi="Google Sans" w:cs="Google Sans"/>
          <w:color w:val="1F1F1F"/>
        </w:rPr>
        <w:t xml:space="preserve"> May 2026</w:t>
      </w:r>
    </w:p>
    <w:p w:rsidR="00000000">
      <w:pPr>
        <w:pBdr>
          <w:top w:val="nil"/>
          <w:left w:val="nil"/>
          <w:bottom w:val="nil"/>
          <w:right w:val="nil"/>
          <w:between w:val="nil"/>
        </w:pBdr>
        <w:spacing w:after="15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b/>
          <w:bCs/>
          <w:color w:val="1F1F1F"/>
        </w:rPr>
        <w:t>SUBJECT:</w:t>
      </w:r>
      <w:r>
        <w:rPr>
          <w:rFonts w:ascii="Google Sans" w:eastAsia="Google Sans" w:hAnsi="Google Sans" w:cs="Google Sans"/>
          <w:color w:val="1F1F1F"/>
        </w:rPr>
        <w:t xml:space="preserve"> National Carbon Security &amp; Wildfire Resilience (2026–2076)</w:t>
      </w:r>
    </w:p>
    <w:p w:rsidR="00000000">
      <w:pPr>
        <w:pBdr>
          <w:top w:val="nil"/>
          <w:left w:val="nil"/>
          <w:bottom w:val="nil"/>
          <w:right w:val="nil"/>
          <w:between w:val="nil"/>
        </w:pBdr>
        <w:spacing w:after="15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b/>
          <w:bCs/>
          <w:color w:val="1F1F1F"/>
        </w:rPr>
        <w:t>LEAD EVIDENCE:</w:t>
      </w:r>
      <w:r>
        <w:rPr>
          <w:rFonts w:ascii="Google Sans" w:eastAsia="Google Sans" w:hAnsi="Google Sans" w:cs="Google Sans"/>
          <w:color w:val="1F1F1F"/>
        </w:rPr>
        <w:t xml:space="preserve"> 10-Year Longitudinal Analysis (Project BD5104)</w:t>
      </w:r>
    </w:p>
    <w:p w:rsidR="00000000">
      <w:pPr>
        <w:pBdr>
          <w:top w:val="nil"/>
          <w:left w:val="nil"/>
          <w:bottom w:val="nil"/>
          <w:right w:val="nil"/>
          <w:between w:val="nil"/>
        </w:pBdr>
        <w:spacing w:after="15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b/>
          <w:bCs/>
          <w:color w:val="1F1F1F"/>
        </w:rPr>
        <w:t>FISCAL IMPACT:</w:t>
      </w:r>
      <w:r>
        <w:rPr>
          <w:rFonts w:ascii="Google Sans" w:eastAsia="Google Sans" w:hAnsi="Google Sans" w:cs="Google Sans"/>
          <w:color w:val="1F1F1F"/>
        </w:rPr>
        <w:t xml:space="preserve"> £16.52 Billion National Asset Recovery</w:t>
      </w:r>
    </w:p>
    <w:p w:rsidR="00000000">
      <w:pPr>
        <w:pStyle w:val="Heading2"/>
        <w:spacing w:before="120" w:after="120" w:line="275" w:lineRule="auto"/>
        <w:rPr>
          <w:rFonts w:ascii="Google Sans" w:eastAsia="Google Sans" w:hAnsi="Google Sans" w:cs="Google Sans"/>
          <w:color w:val="1F1F1F"/>
        </w:rPr>
      </w:pPr>
      <w:r>
        <w:pict>
          <v:rect id="_x0000_i1025" style="height:1.5pt;width:0" o:hralign="center" o:hrstd="t" o:hr="t" fillcolor="#a0a0a0" stroked="f"/>
        </w:pict>
      </w:r>
      <w:r>
        <w:rPr>
          <w:rFonts w:ascii="Google Sans" w:eastAsia="Google Sans" w:hAnsi="Google Sans" w:cs="Google Sans"/>
          <w:color w:val="1F1F1F"/>
        </w:rPr>
        <w:t>1. EXECUTIVE SUMMARY</w:t>
      </w:r>
    </w:p>
    <w:p w:rsidR="00000000">
      <w:pPr>
        <w:pBdr>
          <w:top w:val="nil"/>
          <w:left w:val="nil"/>
          <w:bottom w:val="nil"/>
          <w:right w:val="nil"/>
          <w:between w:val="nil"/>
        </w:pBdr>
        <w:spacing w:after="15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 xml:space="preserve">Current UK peatland legislation, specifically the </w:t>
      </w:r>
      <w:r>
        <w:rPr>
          <w:rFonts w:ascii="Google Sans" w:eastAsia="Google Sans" w:hAnsi="Google Sans" w:cs="Google Sans"/>
          <w:b/>
          <w:bCs/>
          <w:color w:val="1F1F1F"/>
        </w:rPr>
        <w:t>30cm and 40cm depth-based burning bans (SI 2025/1000)</w:t>
      </w:r>
      <w:r>
        <w:rPr>
          <w:rFonts w:ascii="Google Sans" w:eastAsia="Google Sans" w:hAnsi="Google Sans" w:cs="Google Sans"/>
          <w:color w:val="1F1F1F"/>
        </w:rPr>
        <w:t>, creates a systemic carbon liability. By mandating "passive neglect," the government allows for the accumulation of over-mature fuel loads that inevitably result in high-intensity wildfires. Proper longitudinal analysis proves that repealing these bans in favo</w:t>
      </w:r>
      <w:r>
        <w:rPr>
          <w:rFonts w:ascii="Google Sans" w:eastAsia="Google Sans" w:hAnsi="Google Sans" w:cs="Google Sans"/>
          <w:color w:val="1F1F1F"/>
        </w:rPr>
        <w:t xml:space="preserve">ur of </w:t>
      </w:r>
      <w:r>
        <w:rPr>
          <w:rFonts w:ascii="Google Sans" w:eastAsia="Google Sans" w:hAnsi="Google Sans" w:cs="Google Sans"/>
          <w:b/>
          <w:bCs/>
          <w:color w:val="1F1F1F"/>
        </w:rPr>
        <w:t>Active Management</w:t>
      </w:r>
      <w:r>
        <w:rPr>
          <w:rFonts w:ascii="Google Sans" w:eastAsia="Google Sans" w:hAnsi="Google Sans" w:cs="Google Sans"/>
          <w:color w:val="1F1F1F"/>
        </w:rPr>
        <w:t xml:space="preserve"> (rotational "cool" burning) secures a </w:t>
      </w:r>
      <w:r>
        <w:rPr>
          <w:rFonts w:ascii="Google Sans" w:eastAsia="Google Sans" w:hAnsi="Google Sans" w:cs="Google Sans"/>
          <w:b/>
          <w:bCs/>
          <w:color w:val="1F1F1F"/>
        </w:rPr>
        <w:t>328.2 Million Tonne CO2 saving</w:t>
      </w:r>
      <w:r>
        <w:rPr>
          <w:rFonts w:ascii="Google Sans" w:eastAsia="Google Sans" w:hAnsi="Google Sans" w:cs="Google Sans"/>
          <w:color w:val="1F1F1F"/>
        </w:rPr>
        <w:t xml:space="preserve"> over 50 years. At current market rates, this represents a </w:t>
      </w:r>
      <w:r>
        <w:rPr>
          <w:rFonts w:ascii="Google Sans" w:eastAsia="Google Sans" w:hAnsi="Google Sans" w:cs="Google Sans"/>
          <w:b/>
          <w:bCs/>
          <w:color w:val="1F1F1F"/>
        </w:rPr>
        <w:t>£16.52 Billion climate dividend</w:t>
      </w:r>
      <w:r>
        <w:rPr>
          <w:rFonts w:ascii="Google Sans" w:eastAsia="Google Sans" w:hAnsi="Google Sans" w:cs="Google Sans"/>
          <w:color w:val="1F1F1F"/>
        </w:rPr>
        <w:t xml:space="preserve"> delivered at zero cost to the taxpayer via existing private management infrastructure.</w:t>
      </w:r>
    </w:p>
    <w:p w:rsidR="00000000">
      <w:pPr>
        <w:pStyle w:val="Heading2"/>
        <w:spacing w:before="120" w:after="120" w:line="275" w:lineRule="auto"/>
        <w:rPr>
          <w:rFonts w:ascii="Google Sans" w:eastAsia="Google Sans" w:hAnsi="Google Sans" w:cs="Google Sans"/>
          <w:color w:val="1F1F1F"/>
        </w:rPr>
      </w:pPr>
      <w:r>
        <w:pict>
          <v:rect id="_x0000_i1026" style="height:1.5pt;width:0" o:hralign="center" o:hrstd="t" o:hr="t" fillcolor="#a0a0a0" stroked="f"/>
        </w:pict>
      </w:r>
      <w:r>
        <w:rPr>
          <w:rFonts w:ascii="Google Sans" w:eastAsia="Google Sans" w:hAnsi="Google Sans" w:cs="Google Sans"/>
          <w:color w:val="1F1F1F"/>
        </w:rPr>
        <w:t>2. SCIENTIFIC MECHANICS: THE "COOL BURN" MODEL</w:t>
      </w:r>
    </w:p>
    <w:p w:rsidR="00000000">
      <w:pPr>
        <w:pBdr>
          <w:top w:val="nil"/>
          <w:left w:val="nil"/>
          <w:bottom w:val="nil"/>
          <w:right w:val="nil"/>
          <w:between w:val="nil"/>
        </w:pBdr>
        <w:spacing w:after="15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 xml:space="preserve">The 10-year </w:t>
      </w:r>
      <w:r>
        <w:rPr>
          <w:rFonts w:ascii="Google Sans" w:eastAsia="Google Sans" w:hAnsi="Google Sans" w:cs="Google Sans"/>
          <w:b/>
          <w:bCs/>
          <w:color w:val="1F1F1F"/>
        </w:rPr>
        <w:t>Peatland-ES-UK project (Defra BD5104)</w:t>
      </w:r>
      <w:r>
        <w:rPr>
          <w:rFonts w:ascii="Google Sans" w:eastAsia="Google Sans" w:hAnsi="Google Sans" w:cs="Google Sans"/>
          <w:color w:val="1F1F1F"/>
        </w:rPr>
        <w:t xml:space="preserve"> conducted by the University of York proves that managed fire is a catalyst for carbon sequestration rather than a source of permanent loss.</w:t>
      </w:r>
    </w:p>
    <w:p w:rsidR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Surface Preservation:</w:t>
      </w:r>
      <w:r>
        <w:rPr>
          <w:rFonts w:ascii="Google Sans" w:eastAsia="Google Sans" w:hAnsi="Google Sans" w:cs="Google Sans"/>
          <w:color w:val="1F1F1F"/>
        </w:rPr>
        <w:t xml:space="preserve"> Managed burns occur at temperatures below </w:t>
      </w:r>
      <w:r>
        <w:rPr>
          <w:rFonts w:ascii="Google Sans" w:eastAsia="Google Sans" w:hAnsi="Google Sans" w:cs="Google Sans"/>
          <w:b/>
          <w:bCs/>
          <w:color w:val="1F1F1F"/>
        </w:rPr>
        <w:t>200°C</w:t>
      </w:r>
      <w:r>
        <w:rPr>
          <w:rFonts w:ascii="Google Sans" w:eastAsia="Google Sans" w:hAnsi="Google Sans" w:cs="Google Sans"/>
          <w:color w:val="1F1F1F"/>
        </w:rPr>
        <w:t>, targeting only woody surface biomass. This keeps the underlying peat and damp mosses intact.</w:t>
      </w:r>
    </w:p>
    <w:p w:rsidR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 xml:space="preserve">The </w:t>
      </w:r>
      <w:r>
        <w:rPr>
          <w:rFonts w:ascii="Google Sans" w:eastAsia="Google Sans" w:hAnsi="Google Sans" w:cs="Google Sans"/>
          <w:b/>
          <w:bCs/>
          <w:i/>
          <w:iCs/>
          <w:color w:val="1F1F1F"/>
        </w:rPr>
        <w:t>Sphagnum</w:t>
      </w:r>
      <w:r>
        <w:rPr>
          <w:rFonts w:ascii="Google Sans" w:eastAsia="Google Sans" w:hAnsi="Google Sans" w:cs="Google Sans"/>
          <w:b/>
          <w:bCs/>
          <w:color w:val="1F1F1F"/>
        </w:rPr>
        <w:t xml:space="preserve"> Engine:</w:t>
      </w:r>
      <w:r>
        <w:rPr>
          <w:rFonts w:ascii="Google Sans" w:eastAsia="Google Sans" w:hAnsi="Google Sans" w:cs="Google Sans"/>
          <w:color w:val="1F1F1F"/>
        </w:rPr>
        <w:t xml:space="preserve"> Removing the dominant heather canopy allows light to reach </w:t>
      </w:r>
      <w:r>
        <w:rPr>
          <w:rFonts w:ascii="Google Sans" w:eastAsia="Google Sans" w:hAnsi="Google Sans" w:cs="Google Sans"/>
          <w:color w:val="1F1F1F"/>
        </w:rPr>
        <w:t xml:space="preserve">the ground layer, triggering rapid expansion of </w:t>
      </w:r>
      <w:r>
        <w:rPr>
          <w:rFonts w:ascii="Google Sans" w:eastAsia="Google Sans" w:hAnsi="Google Sans" w:cs="Google Sans"/>
          <w:i/>
          <w:iCs/>
          <w:color w:val="1F1F1F"/>
        </w:rPr>
        <w:t>Sphagnum</w:t>
      </w:r>
      <w:r>
        <w:rPr>
          <w:rFonts w:ascii="Google Sans" w:eastAsia="Google Sans" w:hAnsi="Google Sans" w:cs="Google Sans"/>
          <w:color w:val="1F1F1F"/>
        </w:rPr>
        <w:t xml:space="preserve"> moss. This moss is the primary agent for peat building and carbon absorption.</w:t>
      </w:r>
    </w:p>
    <w:p w:rsidR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Carbon Reset:</w:t>
      </w:r>
      <w:r>
        <w:rPr>
          <w:rFonts w:ascii="Google Sans" w:eastAsia="Google Sans" w:hAnsi="Google Sans" w:cs="Google Sans"/>
          <w:color w:val="1F1F1F"/>
        </w:rPr>
        <w:t xml:space="preserve"> The York study confirms that sequestration from new moss growth offsets the carbon released during the initial burn within </w:t>
      </w:r>
      <w:r>
        <w:rPr>
          <w:rFonts w:ascii="Google Sans" w:eastAsia="Google Sans" w:hAnsi="Google Sans" w:cs="Google Sans"/>
          <w:b/>
          <w:bCs/>
          <w:color w:val="1F1F1F"/>
        </w:rPr>
        <w:t>2–4 growing seasons</w:t>
      </w:r>
      <w:r>
        <w:rPr>
          <w:rFonts w:ascii="Google Sans" w:eastAsia="Google Sans" w:hAnsi="Google Sans" w:cs="Google Sans"/>
          <w:color w:val="1F1F1F"/>
        </w:rPr>
        <w:t>.</w:t>
      </w:r>
    </w:p>
    <w:p w:rsidR="00000000">
      <w:pPr>
        <w:pStyle w:val="Heading2"/>
        <w:spacing w:before="120" w:after="120" w:line="275" w:lineRule="auto"/>
        <w:rPr>
          <w:rFonts w:ascii="Google Sans" w:eastAsia="Google Sans" w:hAnsi="Google Sans" w:cs="Google Sans"/>
          <w:color w:val="1F1F1F"/>
        </w:rPr>
      </w:pPr>
      <w:r>
        <w:pict>
          <v:rect id="_x0000_i1027" style="height:1.5pt;width:0" o:hralign="center" o:hrstd="t" o:hr="t" fillcolor="#a0a0a0" stroked="f"/>
        </w:pict>
      </w:r>
      <w:r>
        <w:rPr>
          <w:rFonts w:ascii="Google Sans" w:eastAsia="Google Sans" w:hAnsi="Google Sans" w:cs="Google Sans"/>
          <w:color w:val="1F1F1F"/>
        </w:rPr>
        <w:t>3. THE 50-YEAR NATIONAL CARBON CALCULATIONS</w:t>
      </w:r>
    </w:p>
    <w:p w:rsidR="00000000">
      <w:pPr>
        <w:pBdr>
          <w:top w:val="nil"/>
          <w:left w:val="nil"/>
          <w:bottom w:val="nil"/>
          <w:right w:val="nil"/>
          <w:between w:val="nil"/>
        </w:pBdr>
        <w:spacing w:after="15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 xml:space="preserve">These figures are scaled across the </w:t>
      </w:r>
      <w:r>
        <w:rPr>
          <w:rFonts w:ascii="Google Sans" w:eastAsia="Google Sans" w:hAnsi="Google Sans" w:cs="Google Sans"/>
          <w:b/>
          <w:bCs/>
          <w:color w:val="1F1F1F"/>
        </w:rPr>
        <w:t>676,000 hectares</w:t>
      </w:r>
      <w:r>
        <w:rPr>
          <w:rFonts w:ascii="Google Sans" w:eastAsia="Google Sans" w:hAnsi="Google Sans" w:cs="Google Sans"/>
          <w:color w:val="1F1F1F"/>
        </w:rPr>
        <w:t xml:space="preserve"> of English peatland currently impacted by depth-based restrictions.</w:t>
      </w:r>
    </w:p>
    <w:p w:rsidR="00000000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3.1 Pathway A: Passive Liability (The Ban Model)</w:t>
      </w:r>
    </w:p>
    <w:p w:rsidR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Annual Wildfire Emission:</w:t>
      </w:r>
      <w:r>
        <w:rPr>
          <w:rFonts w:ascii="Google Sans" w:eastAsia="Google Sans" w:hAnsi="Google Sans" w:cs="Google Sans"/>
          <w:color w:val="1F1F1F"/>
        </w:rPr>
        <w:t xml:space="preserve"> +5.92 t/ha/yr (High-intensity peat ignition).</w:t>
      </w:r>
    </w:p>
    <w:p w:rsidR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Annual Sequestration Loss:</w:t>
      </w:r>
      <w:r>
        <w:rPr>
          <w:rFonts w:ascii="Google Sans" w:eastAsia="Google Sans" w:hAnsi="Google Sans" w:cs="Google Sans"/>
          <w:color w:val="1F1F1F"/>
        </w:rPr>
        <w:t xml:space="preserve"> +1.50 t/ha/yr (Moss suppression by heather).</w:t>
      </w:r>
    </w:p>
    <w:p w:rsidR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50-Year Total:</w:t>
      </w:r>
      <w:r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b/>
          <w:bCs/>
          <w:color w:val="1F1F1F"/>
        </w:rPr>
        <w:t>+250.8 Million Tonnes (Net Carbon Source)</w:t>
      </w:r>
      <w:r>
        <w:rPr>
          <w:rFonts w:ascii="Google Sans" w:eastAsia="Google Sans" w:hAnsi="Google Sans" w:cs="Google Sans"/>
          <w:color w:val="1F1F1F"/>
        </w:rPr>
        <w:t>.</w:t>
      </w:r>
    </w:p>
    <w:p w:rsidR="00000000">
      <w:pPr>
        <w:pStyle w:val="Heading3"/>
        <w:spacing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3.2 Pathway B: Active Asset (The Repeal Model)</w:t>
      </w:r>
    </w:p>
    <w:p w:rsidR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Annual Mitigated Wildfire:</w:t>
      </w:r>
      <w:r>
        <w:rPr>
          <w:rFonts w:ascii="Google Sans" w:eastAsia="Google Sans" w:hAnsi="Google Sans" w:cs="Google Sans"/>
          <w:color w:val="1F1F1F"/>
        </w:rPr>
        <w:t xml:space="preserve"> +0.74 t/ha/yr (Surface-only firebreaks).</w:t>
      </w:r>
    </w:p>
    <w:p w:rsidR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Annual Active Sink:</w:t>
      </w:r>
      <w:r>
        <w:rPr>
          <w:rFonts w:ascii="Google Sans" w:eastAsia="Google Sans" w:hAnsi="Google Sans" w:cs="Google Sans"/>
          <w:color w:val="1F1F1F"/>
        </w:rPr>
        <w:t xml:space="preserve"> -3.15 t/ha/yr (Active </w:t>
      </w:r>
      <w:r>
        <w:rPr>
          <w:rFonts w:ascii="Google Sans" w:eastAsia="Google Sans" w:hAnsi="Google Sans" w:cs="Google Sans"/>
          <w:i/>
          <w:iCs/>
          <w:color w:val="1F1F1F"/>
        </w:rPr>
        <w:t>Sphagnum</w:t>
      </w:r>
      <w:r>
        <w:rPr>
          <w:rFonts w:ascii="Google Sans" w:eastAsia="Google Sans" w:hAnsi="Google Sans" w:cs="Google Sans"/>
          <w:color w:val="1F1F1F"/>
        </w:rPr>
        <w:t xml:space="preserve"> sequestration).</w:t>
      </w:r>
    </w:p>
    <w:p w:rsidR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50-Year Total:</w:t>
      </w:r>
      <w:r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b/>
          <w:bCs/>
          <w:color w:val="1F1F1F"/>
        </w:rPr>
        <w:t>-77.4 Million Tonnes (Net Carbon Sink)</w:t>
      </w:r>
      <w:r>
        <w:rPr>
          <w:rFonts w:ascii="Google Sans" w:eastAsia="Google Sans" w:hAnsi="Google Sans" w:cs="Google Sans"/>
          <w:color w:val="1F1F1F"/>
        </w:rPr>
        <w:t>.</w:t>
      </w:r>
    </w:p>
    <w:p w:rsidR="00000000">
      <w:pPr>
        <w:pStyle w:val="Heading3"/>
        <w:spacing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3.3 The Comparative National Recovery</w:t>
      </w:r>
    </w:p>
    <w:p w:rsidR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The Carbon Gap:</w:t>
      </w:r>
      <w:r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b/>
          <w:bCs/>
          <w:color w:val="1F1F1F"/>
        </w:rPr>
        <w:t>328.2 Million Tonnes CO2</w:t>
      </w:r>
      <w:r>
        <w:rPr>
          <w:rFonts w:ascii="Google Sans" w:eastAsia="Google Sans" w:hAnsi="Google Sans" w:cs="Google Sans"/>
          <w:color w:val="1F1F1F"/>
        </w:rPr>
        <w:t>.</w:t>
      </w:r>
    </w:p>
    <w:p w:rsidR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Fiscal Valuation (£50.34/tonne):</w:t>
      </w:r>
      <w:r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b/>
          <w:bCs/>
          <w:color w:val="1F1F1F"/>
        </w:rPr>
        <w:t>£16.52 Billion</w:t>
      </w:r>
      <w:r>
        <w:rPr>
          <w:rFonts w:ascii="Google Sans" w:eastAsia="Google Sans" w:hAnsi="Google Sans" w:cs="Google Sans"/>
          <w:color w:val="1F1F1F"/>
        </w:rPr>
        <w:t>.</w:t>
      </w:r>
    </w:p>
    <w:p w:rsidR="00000000">
      <w:pPr>
        <w:pStyle w:val="Heading2"/>
        <w:spacing w:before="120" w:after="120" w:line="275" w:lineRule="auto"/>
        <w:rPr>
          <w:rFonts w:ascii="Google Sans" w:eastAsia="Google Sans" w:hAnsi="Google Sans" w:cs="Google Sans"/>
          <w:color w:val="1F1F1F"/>
        </w:rPr>
      </w:pPr>
      <w:r>
        <w:pict>
          <v:rect id="_x0000_i1028" style="height:1.5pt;width:0" o:hralign="center" o:hrstd="t" o:hr="t" fillcolor="#a0a0a0" stroked="f"/>
        </w:pict>
      </w:r>
      <w:r>
        <w:rPr>
          <w:rFonts w:ascii="Google Sans" w:eastAsia="Google Sans" w:hAnsi="Google Sans" w:cs="Google Sans"/>
          <w:color w:val="1F1F1F"/>
        </w:rPr>
        <w:t>4. CLIMATE SENSITIVITY: THE WARMING MULTIPLIER</w:t>
      </w:r>
    </w:p>
    <w:p w:rsidR="00000000">
      <w:pPr>
        <w:pBdr>
          <w:top w:val="nil"/>
          <w:left w:val="nil"/>
          <w:bottom w:val="nil"/>
          <w:right w:val="nil"/>
          <w:between w:val="nil"/>
        </w:pBdr>
        <w:spacing w:after="15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As temperatures rise, the "Carbon Gap" expands. Under IPCC +1.5°C to +3.0°C scenarios, unmanaged fuel loads become exponentially more volatile. Passive neglect in a warming world accelerates peat desiccation, whereas active management maintains higher water tables and provides the only viable firebreak infrastructure for the uplands.</w:t>
      </w:r>
    </w:p>
    <w:p w:rsidR="00000000">
      <w:pPr>
        <w:pStyle w:val="Heading2"/>
        <w:spacing w:before="120" w:after="120" w:line="275" w:lineRule="auto"/>
        <w:rPr>
          <w:rFonts w:ascii="Google Sans" w:eastAsia="Google Sans" w:hAnsi="Google Sans" w:cs="Google Sans"/>
          <w:color w:val="1F1F1F"/>
        </w:rPr>
      </w:pPr>
      <w:r>
        <w:pict>
          <v:rect id="_x0000_i1029" style="height:1.5pt;width:0" o:hralign="center" o:hrstd="t" o:hr="t" fillcolor="#a0a0a0" stroked="f"/>
        </w:pict>
      </w:r>
      <w:r>
        <w:rPr>
          <w:rFonts w:ascii="Google Sans" w:eastAsia="Google Sans" w:hAnsi="Google Sans" w:cs="Google Sans"/>
          <w:color w:val="1F1F1F"/>
        </w:rPr>
        <w:t>5. PUBLIC HEALTH: THE TOXICOLOGICAL SHIELD</w:t>
      </w:r>
    </w:p>
    <w:p w:rsidR="00000000">
      <w:pPr>
        <w:pBdr>
          <w:top w:val="nil"/>
          <w:left w:val="nil"/>
          <w:bottom w:val="nil"/>
          <w:right w:val="nil"/>
          <w:between w:val="nil"/>
        </w:pBdr>
        <w:spacing w:after="15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 xml:space="preserve">UK peatlands have sequestered industrial pollutants for 200 years, including </w:t>
      </w:r>
      <w:r>
        <w:rPr>
          <w:rFonts w:ascii="Google Sans" w:eastAsia="Google Sans" w:hAnsi="Google Sans" w:cs="Google Sans"/>
          <w:b/>
          <w:bCs/>
          <w:color w:val="1F1F1F"/>
        </w:rPr>
        <w:t>Lead, Arsenic, and Cadmium</w:t>
      </w:r>
      <w:r>
        <w:rPr>
          <w:rFonts w:ascii="Google Sans" w:eastAsia="Google Sans" w:hAnsi="Google Sans" w:cs="Google Sans"/>
          <w:color w:val="1F1F1F"/>
        </w:rPr>
        <w:t>.</w:t>
      </w:r>
    </w:p>
    <w:p w:rsidR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Thermal Release:</w:t>
      </w:r>
      <w:r>
        <w:rPr>
          <w:rFonts w:ascii="Google Sans" w:eastAsia="Google Sans" w:hAnsi="Google Sans" w:cs="Google Sans"/>
          <w:color w:val="1F1F1F"/>
        </w:rPr>
        <w:t xml:space="preserve"> High-intensity wildfires on unmanaged deep peat (&gt;600°C) ignite the </w:t>
      </w:r>
      <w:r>
        <w:rPr>
          <w:rFonts w:ascii="Google Sans" w:eastAsia="Google Sans" w:hAnsi="Google Sans" w:cs="Google Sans"/>
          <w:color w:val="1F1F1F"/>
        </w:rPr>
        <w:t>soil and aerosolize these neurotoxins.</w:t>
      </w:r>
    </w:p>
    <w:p w:rsidR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Managed Safety:</w:t>
      </w:r>
      <w:r>
        <w:rPr>
          <w:rFonts w:ascii="Google Sans" w:eastAsia="Google Sans" w:hAnsi="Google Sans" w:cs="Google Sans"/>
          <w:color w:val="1F1F1F"/>
        </w:rPr>
        <w:t xml:space="preserve"> "Cool burns" stay below the vaporization point of these metals. Active management is the only mechanism to prevent the release of toxic smoke plumes over major Northern urban centers.</w:t>
      </w:r>
    </w:p>
    <w:p w:rsidR="00000000">
      <w:pPr>
        <w:pStyle w:val="Heading2"/>
        <w:spacing w:before="120" w:after="120" w:line="275" w:lineRule="auto"/>
        <w:rPr>
          <w:rFonts w:ascii="Google Sans" w:eastAsia="Google Sans" w:hAnsi="Google Sans" w:cs="Google Sans"/>
          <w:color w:val="1F1F1F"/>
        </w:rPr>
      </w:pPr>
      <w:r>
        <w:pict>
          <v:rect id="_x0000_i1030" style="height:1.5pt;width:0" o:hralign="center" o:hrstd="t" o:hr="t" fillcolor="#a0a0a0" stroked="f"/>
        </w:pict>
      </w:r>
      <w:r>
        <w:rPr>
          <w:rFonts w:ascii="Google Sans" w:eastAsia="Google Sans" w:hAnsi="Google Sans" w:cs="Google Sans"/>
          <w:color w:val="1F1F1F"/>
        </w:rPr>
        <w:t>6. THE "ZERO-COST" OPERATIONAL MODEL</w:t>
      </w:r>
    </w:p>
    <w:p w:rsidR="00000000">
      <w:pPr>
        <w:pBdr>
          <w:top w:val="nil"/>
          <w:left w:val="nil"/>
          <w:bottom w:val="nil"/>
          <w:right w:val="nil"/>
          <w:between w:val="nil"/>
        </w:pBdr>
        <w:spacing w:after="15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The labo</w:t>
      </w:r>
      <w:r>
        <w:rPr>
          <w:rFonts w:ascii="Google Sans" w:eastAsia="Google Sans" w:hAnsi="Google Sans" w:cs="Google Sans"/>
          <w:color w:val="1F1F1F"/>
        </w:rPr>
        <w:t xml:space="preserve">ur and equipment required for this management </w:t>
      </w:r>
      <w:r>
        <w:rPr>
          <w:rFonts w:ascii="Google Sans" w:eastAsia="Google Sans" w:hAnsi="Google Sans" w:cs="Google Sans"/>
          <w:color w:val="1F1F1F"/>
        </w:rPr>
        <w:t>of such areas are currently provided by the private gamekeeping community, funded by grouse shooting income.</w:t>
      </w:r>
    </w:p>
    <w:p w:rsidR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Taxpayer Saving:</w:t>
      </w:r>
      <w:r>
        <w:rPr>
          <w:rFonts w:ascii="Google Sans" w:eastAsia="Google Sans" w:hAnsi="Google Sans" w:cs="Google Sans"/>
          <w:color w:val="1F1F1F"/>
        </w:rPr>
        <w:t xml:space="preserve"> Repealing the bans leverages a pre-existing, professional workforce to protect a £16.5 Billion national asset at </w:t>
      </w:r>
      <w:r>
        <w:rPr>
          <w:rFonts w:ascii="Google Sans" w:eastAsia="Google Sans" w:hAnsi="Google Sans" w:cs="Google Sans"/>
          <w:b/>
          <w:bCs/>
          <w:color w:val="1F1F1F"/>
        </w:rPr>
        <w:t>£0.00 cost to the public</w:t>
      </w:r>
      <w:r>
        <w:rPr>
          <w:rFonts w:ascii="Google Sans" w:eastAsia="Google Sans" w:hAnsi="Google Sans" w:cs="Google Sans"/>
          <w:color w:val="1F1F1F"/>
        </w:rPr>
        <w:t>.</w:t>
      </w:r>
    </w:p>
    <w:p w:rsidR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Infrastructure Protection:</w:t>
      </w:r>
      <w:r>
        <w:rPr>
          <w:rFonts w:ascii="Google Sans" w:eastAsia="Google Sans" w:hAnsi="Google Sans" w:cs="Google Sans"/>
          <w:color w:val="1F1F1F"/>
        </w:rPr>
        <w:t xml:space="preserve"> This workforce maintains the fuel-load firebreaks that protect national water catchments and carbon stores from catastrophic loss.</w:t>
      </w:r>
    </w:p>
    <w:p w:rsidR="00000000">
      <w:pPr>
        <w:pStyle w:val="Heading2"/>
        <w:spacing w:before="120" w:after="120" w:line="275" w:lineRule="auto"/>
        <w:rPr>
          <w:rFonts w:ascii="Google Sans" w:eastAsia="Google Sans" w:hAnsi="Google Sans" w:cs="Google Sans"/>
          <w:color w:val="1F1F1F"/>
        </w:rPr>
      </w:pPr>
      <w:r>
        <w:pict>
          <v:rect id="_x0000_i1031" style="height:1.5pt;width:0" o:hralign="center" o:hrstd="t" o:hr="t" fillcolor="#a0a0a0" stroked="f"/>
        </w:pict>
      </w:r>
      <w:r>
        <w:rPr>
          <w:rFonts w:ascii="Google Sans" w:eastAsia="Google Sans" w:hAnsi="Google Sans" w:cs="Google Sans"/>
          <w:color w:val="1F1F1F"/>
        </w:rPr>
        <w:t>7. STATUTORY RECOMMENDATIONS</w:t>
      </w:r>
    </w:p>
    <w:p w:rsidR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REPEAL SI 2025/1000:</w:t>
      </w:r>
      <w:r>
        <w:rPr>
          <w:rFonts w:ascii="Google Sans" w:eastAsia="Google Sans" w:hAnsi="Google Sans" w:cs="Google Sans"/>
          <w:color w:val="1F1F1F"/>
        </w:rPr>
        <w:t xml:space="preserve"> Remove all 30cm and 40cm depth-based burning bans.</w:t>
      </w:r>
    </w:p>
    <w:p w:rsidR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MANDATORY MANAGEMENT DUTY:</w:t>
      </w:r>
      <w:r>
        <w:rPr>
          <w:rFonts w:ascii="Google Sans" w:eastAsia="Google Sans" w:hAnsi="Google Sans" w:cs="Google Sans"/>
          <w:color w:val="1F1F1F"/>
        </w:rPr>
        <w:t xml:space="preserve"> Introduce a requirement for land managers to maintain fire-safe fuel loads regardless of peat depth.</w:t>
      </w:r>
    </w:p>
    <w:p w:rsidR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MARKET ACTIVATION:</w:t>
      </w:r>
      <w:r>
        <w:rPr>
          <w:rFonts w:ascii="Google Sans" w:eastAsia="Google Sans" w:hAnsi="Google Sans" w:cs="Google Sans"/>
          <w:color w:val="1F1F1F"/>
        </w:rPr>
        <w:t xml:space="preserve"> Update the Peatland Code to verify </w:t>
      </w:r>
      <w:r>
        <w:rPr>
          <w:rFonts w:ascii="Google Sans" w:eastAsia="Google Sans" w:hAnsi="Google Sans" w:cs="Google Sans"/>
          <w:b/>
          <w:bCs/>
          <w:color w:val="1F1F1F"/>
        </w:rPr>
        <w:t>"Wildfire Avoidance Credits"</w:t>
      </w:r>
      <w:r>
        <w:rPr>
          <w:rFonts w:ascii="Google Sans" w:eastAsia="Google Sans" w:hAnsi="Google Sans" w:cs="Google Sans"/>
          <w:color w:val="1F1F1F"/>
        </w:rPr>
        <w:t xml:space="preserve"> to unlock private investment in carbon security.</w:t>
      </w:r>
    </w:p>
    <w:p w:rsidR="00000000">
      <w:pPr>
        <w:pStyle w:val="Heading3"/>
        <w:spacing w:before="120" w:after="120" w:line="275" w:lineRule="auto"/>
        <w:rPr>
          <w:rFonts w:ascii="Google Sans" w:eastAsia="Google Sans" w:hAnsi="Google Sans" w:cs="Google Sans"/>
          <w:color w:val="1F1F1F"/>
        </w:rPr>
      </w:pPr>
      <w:r>
        <w:pict>
          <v:rect id="_x0000_i1032" style="height:1.5pt;width:0" o:hralign="center" o:hrstd="t" o:hr="t" fillcolor="#a0a0a0" stroked="f"/>
        </w:pict>
      </w:r>
      <w:r>
        <w:rPr>
          <w:rFonts w:ascii="Google Sans" w:eastAsia="Google Sans" w:hAnsi="Google Sans" w:cs="Google Sans"/>
          <w:color w:val="1F1F1F"/>
        </w:rPr>
        <w:t>VERIFIABLE REFERENCES</w:t>
      </w:r>
    </w:p>
    <w:p w:rsidR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Heinemeyer, A. (2025).</w:t>
      </w:r>
      <w:r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i/>
          <w:iCs/>
          <w:color w:val="1F1F1F"/>
        </w:rPr>
        <w:t>Peatland-ES-UK: 10-Year Final Report.</w:t>
      </w:r>
      <w:r>
        <w:rPr>
          <w:rFonts w:ascii="Google Sans" w:eastAsia="Google Sans" w:hAnsi="Google Sans" w:cs="Google Sans"/>
          <w:color w:val="1F1F1F"/>
        </w:rPr>
        <w:t xml:space="preserve"> University of York / Defra Project BD5104.</w:t>
      </w:r>
    </w:p>
    <w:p w:rsidR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UK Government (2026).</w:t>
      </w:r>
      <w:r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i/>
          <w:iCs/>
          <w:color w:val="1F1F1F"/>
        </w:rPr>
        <w:t>UK Emissions Trading Scheme (UK ETS) Authority Pricing.</w:t>
      </w:r>
    </w:p>
    <w:p w:rsidR="00000000" w:rsidRPr="000A1666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" w:eastAsia="Google Sans" w:hAnsi="Google Sans" w:cs="Google Sans"/>
          <w:b/>
          <w:bCs/>
          <w:color w:val="1F1F1F"/>
        </w:rPr>
        <w:t>National Atmospheric Emissions Inventory (2025).</w:t>
      </w:r>
      <w:r>
        <w:rPr>
          <w:rFonts w:ascii="Google Sans" w:eastAsia="Google Sans" w:hAnsi="Google Sans" w:cs="Google Sans"/>
          <w:color w:val="1F1F1F"/>
        </w:rPr>
        <w:t xml:space="preserve"> </w:t>
      </w:r>
      <w:r>
        <w:rPr>
          <w:rFonts w:ascii="Google Sans" w:eastAsia="Google Sans" w:hAnsi="Google Sans" w:cs="Google Sans"/>
          <w:i/>
          <w:iCs/>
          <w:color w:val="1F1F1F"/>
        </w:rPr>
        <w:t>Heavy Metal Sequestration in Upland Soils.</w:t>
      </w:r>
    </w:p>
    <w:p w:rsidR="000A1666" w:rsidP="000A1666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" w:eastAsia="Google Sans" w:hAnsi="Google Sans" w:cs="Google Sans"/>
          <w:i/>
          <w:iCs/>
          <w:color w:val="1F1F1F"/>
        </w:rPr>
      </w:pPr>
    </w:p>
    <w:p w:rsidR="000A1666" w:rsidP="000A1666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" w:eastAsia="Google Sans" w:hAnsi="Google Sans" w:cs="Google Sans"/>
          <w:i/>
          <w:iCs/>
          <w:color w:val="1F1F1F"/>
        </w:rPr>
      </w:pPr>
    </w:p>
    <w:p w:rsidR="000A1666" w:rsidRPr="000A1666" w:rsidP="000A1666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b/>
          <w:bCs/>
        </w:rPr>
      </w:pPr>
      <w:r w:rsidRPr="000A1666">
        <w:rPr>
          <w:rFonts w:ascii="Google Sans" w:eastAsia="Google Sans" w:hAnsi="Google Sans" w:cs="Google Sans"/>
          <w:b/>
          <w:bCs/>
          <w:i/>
          <w:iCs/>
          <w:color w:val="1F1F1F"/>
        </w:rPr>
        <w:t>May 2026</w:t>
      </w:r>
    </w:p>
    <w:sectPr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E624850-B156-4F79-AD1C-8B5E05DC234B}"/>
  </w:font>
  <w:font w:name="Google Sans">
    <w:charset w:val="00"/>
    <w:family w:val="auto"/>
    <w:pitch w:val="default"/>
    <w:embedRegular r:id="rId2" w:fontKey="{68410DEE-428F-47F8-A457-CC6B13B06110}"/>
    <w:embedBold r:id="rId3" w:fontKey="{1C579C63-B82F-4908-B219-1120A33DECE8}"/>
    <w:embedItalic r:id="rId4" w:fontKey="{5A945D24-AFEB-4956-BC29-099130316D86}"/>
    <w:embedBoldItalic r:id="rId5" w:fontKey="{990CC9AD-52C1-41A8-8557-C7DB34555BD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AC64FE15-1948-4CCD-B999-F5C2E7B3ED5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2862D9CB-8077-4A40-ADE0-28666383C5A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B9F4F5E"/>
    <w:multiLevelType w:val="multilevel"/>
    <w:tmpl w:val="024EC1FA"/>
    <w:lvl w:ilvl="0">
      <w:start w:val="1"/>
      <w:numFmt w:val="bullet"/>
      <w:lvlText w:val="●"/>
      <w:lvlJc w:val="left"/>
      <w:pPr>
        <w:ind w:left="5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>
    <w:nsid w:val="26BA6A45"/>
    <w:multiLevelType w:val="multilevel"/>
    <w:tmpl w:val="2FA65BDC"/>
    <w:lvl w:ilvl="0">
      <w:start w:val="1"/>
      <w:numFmt w:val="bullet"/>
      <w:lvlText w:val="●"/>
      <w:lvlJc w:val="left"/>
      <w:pPr>
        <w:ind w:left="5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>
    <w:nsid w:val="2D66540B"/>
    <w:multiLevelType w:val="multilevel"/>
    <w:tmpl w:val="DE4E0344"/>
    <w:lvl w:ilvl="0">
      <w:start w:val="1"/>
      <w:numFmt w:val="bullet"/>
      <w:lvlText w:val="●"/>
      <w:lvlJc w:val="left"/>
      <w:pPr>
        <w:ind w:left="5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>
    <w:nsid w:val="35DD16A2"/>
    <w:multiLevelType w:val="multilevel"/>
    <w:tmpl w:val="D4B82F50"/>
    <w:lvl w:ilvl="0">
      <w:start w:val="1"/>
      <w:numFmt w:val="bullet"/>
      <w:lvlText w:val="●"/>
      <w:lvlJc w:val="left"/>
      <w:pPr>
        <w:ind w:left="5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>
    <w:nsid w:val="4A8524A2"/>
    <w:multiLevelType w:val="multilevel"/>
    <w:tmpl w:val="430EF768"/>
    <w:lvl w:ilvl="0">
      <w:start w:val="1"/>
      <w:numFmt w:val="decimal"/>
      <w:lvlText w:val="%1."/>
      <w:lvlJc w:val="left"/>
      <w:pPr>
        <w:ind w:left="5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>
    <w:nsid w:val="5C3F342C"/>
    <w:multiLevelType w:val="multilevel"/>
    <w:tmpl w:val="7018C43A"/>
    <w:lvl w:ilvl="0">
      <w:start w:val="1"/>
      <w:numFmt w:val="bullet"/>
      <w:lvlText w:val="●"/>
      <w:lvlJc w:val="left"/>
      <w:pPr>
        <w:ind w:left="5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>
    <w:nsid w:val="66452BE5"/>
    <w:multiLevelType w:val="multilevel"/>
    <w:tmpl w:val="523AEDBA"/>
    <w:lvl w:ilvl="0">
      <w:start w:val="1"/>
      <w:numFmt w:val="bullet"/>
      <w:lvlText w:val="●"/>
      <w:lvlJc w:val="left"/>
      <w:pPr>
        <w:ind w:left="5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>
    <w:nsid w:val="6D0F2131"/>
    <w:multiLevelType w:val="multilevel"/>
    <w:tmpl w:val="F92A8238"/>
    <w:lvl w:ilvl="0">
      <w:start w:val="1"/>
      <w:numFmt w:val="bullet"/>
      <w:lvlText w:val="●"/>
      <w:lvlJc w:val="left"/>
      <w:pPr>
        <w:ind w:left="5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5"/>
  </w:num>
  <w:num w:numId="5">
    <w:abstractNumId w:val="2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Relationship Id="rId6" Type="http://schemas.openxmlformats.org/officeDocument/2006/relationships/font" Target="fonts/font6.odttf" /><Relationship Id="rId7" Type="http://schemas.openxmlformats.org/officeDocument/2006/relationships/font" Target="fonts/font7.odtt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a8f77787-5df4-43b6-a2a8-8d8b678a318b}" enabled="1" method="Standard" siteId="{1ce6dd9e-b337-4088-be5e-8dbbec04b34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Written evidence - CWR0075</dc:title>
  <cp:revision>0</cp:revision>
</cp:coreProperties>
</file>