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7960" w:rsidRPr="004C7E8F" w:rsidP="004C7E8F">
      <w:pPr>
        <w:spacing w:after="160"/>
        <w:ind w:left="-567" w:hanging="284"/>
        <w:jc w:val="center"/>
        <w:rPr>
          <w:rFonts w:ascii="Calibri" w:hAnsi="Calibri" w:cs="Calibri"/>
          <w:b/>
          <w:bCs/>
          <w:noProof/>
          <w:sz w:val="24"/>
          <w:szCs w:val="24"/>
        </w:rPr>
      </w:pPr>
    </w:p>
    <w:p w:rsidR="00B07960" w:rsidRPr="004C7E8F" w:rsidP="004C7E8F">
      <w:pPr>
        <w:spacing w:after="160"/>
        <w:ind w:left="-567" w:hanging="284"/>
        <w:jc w:val="center"/>
        <w:rPr>
          <w:rFonts w:ascii="Calibri" w:hAnsi="Calibri" w:cs="Calibri"/>
          <w:b/>
          <w:bCs/>
          <w:noProof/>
          <w:sz w:val="24"/>
          <w:szCs w:val="24"/>
        </w:rPr>
      </w:pPr>
      <w:r w:rsidRPr="004C7E8F">
        <w:rPr>
          <w:rFonts w:ascii="Calibri" w:hAnsi="Calibri" w:cs="Calibri"/>
          <w:b/>
          <w:bCs/>
          <w:noProof/>
          <w:sz w:val="24"/>
          <w:szCs w:val="24"/>
        </w:rPr>
        <w:t xml:space="preserve">WRITTEN EVIDENCE SUBMITTED BY </w:t>
      </w:r>
      <w:r w:rsidR="00332657">
        <w:rPr>
          <w:rFonts w:ascii="Calibri" w:hAnsi="Calibri" w:cs="Calibri"/>
          <w:b/>
          <w:bCs/>
          <w:noProof/>
          <w:sz w:val="24"/>
          <w:szCs w:val="24"/>
        </w:rPr>
        <w:t xml:space="preserve">UNIVERSITY OF EAST ANGLIA </w:t>
      </w:r>
    </w:p>
    <w:p w:rsidR="00B07960" w:rsidRPr="004C7E8F" w:rsidP="004C7E8F">
      <w:pPr>
        <w:spacing w:after="160"/>
        <w:ind w:left="-567" w:hanging="284"/>
        <w:jc w:val="center"/>
        <w:rPr>
          <w:rFonts w:ascii="Calibri" w:hAnsi="Calibri" w:cs="Calibri"/>
          <w:b/>
          <w:bCs/>
          <w:noProof/>
          <w:sz w:val="24"/>
          <w:szCs w:val="24"/>
        </w:rPr>
      </w:pPr>
    </w:p>
    <w:p w:rsidR="00B07960" w:rsidRPr="004C7E8F" w:rsidP="004C7E8F">
      <w:pPr>
        <w:spacing w:after="160"/>
        <w:ind w:left="-567" w:hanging="284"/>
        <w:jc w:val="center"/>
        <w:rPr>
          <w:rFonts w:ascii="Calibri" w:hAnsi="Calibri" w:cs="Calibri"/>
          <w:b/>
          <w:bCs/>
          <w:sz w:val="24"/>
          <w:szCs w:val="24"/>
        </w:rPr>
      </w:pPr>
      <w:r w:rsidRPr="004C7E8F">
        <w:rPr>
          <w:rFonts w:ascii="Calibri" w:hAnsi="Calibri" w:cs="Calibri"/>
          <w:b/>
          <w:bCs/>
          <w:noProof/>
          <w:sz w:val="24"/>
          <w:szCs w:val="24"/>
        </w:rPr>
        <w:t>(SSP0015)</w:t>
      </w:r>
    </w:p>
    <w:p w:rsidR="00B07960">
      <w:pPr>
        <w:spacing w:after="160"/>
        <w:jc w:val="both"/>
      </w:pPr>
    </w:p>
    <w:p w:rsidR="00B07960" w:rsidRPr="002753F8">
      <w:pPr>
        <w:spacing w:after="160"/>
        <w:jc w:val="both"/>
        <w:rPr>
          <w:sz w:val="24"/>
          <w:szCs w:val="24"/>
        </w:rPr>
      </w:pPr>
      <w:r w:rsidRPr="002753F8">
        <w:rPr>
          <w:sz w:val="24"/>
          <w:szCs w:val="24"/>
        </w:rPr>
        <w:t>We are academics attached to or connected with UEA Law School (the University of East Anglia). We are all active researchers in the area of protest, policing and public order. The last two named are/were PhD researchers in the School: Dixon on media representations of XR and Jones on how the highway as a site of protest has been regulated. Werren has been researching protest law and the policing of public order for over 15 years, and is a supplier on the Human Rights module on the College of Policing’s Gold</w:t>
      </w:r>
      <w:r w:rsidRPr="002753F8">
        <w:rPr>
          <w:sz w:val="24"/>
          <w:szCs w:val="24"/>
        </w:rPr>
        <w:t xml:space="preserve"> Command accreditation/re-accreditation courses. </w:t>
      </w:r>
      <w:r w:rsidRPr="002753F8">
        <w:rPr>
          <w:color w:val="FF0000"/>
          <w:sz w:val="24"/>
          <w:szCs w:val="24"/>
        </w:rPr>
        <w:t xml:space="preserve"> </w:t>
      </w:r>
      <w:r w:rsidRPr="002753F8">
        <w:rPr>
          <w:sz w:val="24"/>
          <w:szCs w:val="24"/>
        </w:rPr>
        <w:t xml:space="preserve">Mead has been researching and writing about protest law since the late 1990s and is the author of about 20 publications including </w:t>
      </w:r>
      <w:r w:rsidRPr="002753F8">
        <w:rPr>
          <w:i/>
          <w:iCs/>
          <w:sz w:val="24"/>
          <w:szCs w:val="24"/>
        </w:rPr>
        <w:t>The New Law of Peaceful Protest</w:t>
      </w:r>
      <w:r w:rsidRPr="002753F8">
        <w:rPr>
          <w:sz w:val="24"/>
          <w:szCs w:val="24"/>
        </w:rPr>
        <w:t xml:space="preserve"> (2010). In 2021/22, he was Parliamentary Academic Fellow attached to the JCHR as the PCSCA made its way through Parliament. </w:t>
      </w:r>
    </w:p>
    <w:p w:rsidR="00B07960" w:rsidRPr="002753F8">
      <w:pPr>
        <w:spacing w:after="160"/>
        <w:jc w:val="both"/>
        <w:rPr>
          <w:sz w:val="24"/>
          <w:szCs w:val="24"/>
        </w:rPr>
      </w:pPr>
      <w:r w:rsidRPr="002753F8">
        <w:rPr>
          <w:sz w:val="24"/>
          <w:szCs w:val="24"/>
        </w:rPr>
        <w:t>Our submission addresses most, if not all, of the specific questions in the terms of reference but we have arranged it more generally under the four headings. By way partly of summary and partly of providing context, we make the following six general points:</w:t>
      </w:r>
    </w:p>
    <w:p w:rsidR="00B07960" w:rsidRPr="002753F8">
      <w:pPr>
        <w:spacing w:after="160"/>
        <w:jc w:val="both"/>
        <w:rPr>
          <w:sz w:val="24"/>
          <w:szCs w:val="24"/>
        </w:rPr>
      </w:pPr>
    </w:p>
    <w:p w:rsidR="00B07960" w:rsidRPr="002753F8">
      <w:pPr>
        <w:numPr>
          <w:ilvl w:val="0"/>
          <w:numId w:val="1"/>
        </w:numPr>
        <w:spacing w:after="160"/>
        <w:jc w:val="both"/>
        <w:rPr>
          <w:sz w:val="24"/>
          <w:szCs w:val="24"/>
        </w:rPr>
      </w:pPr>
      <w:r w:rsidRPr="002753F8">
        <w:rPr>
          <w:sz w:val="24"/>
          <w:szCs w:val="24"/>
        </w:rPr>
        <w:t>Simply put, there is now far too much law surrounding the right to protest.  Not only that, but the statute book contains considerable duplication, in terms of the social harms to be prevented: for example, we calculate there are now at least five ways to arrest/charge for what is in essence obstruction of passage on a road. Recent evidence shows the law has, in several cases, been passed speedily, with little or limited scrutiny, often by way of SI or through amendments put down at a very late stage in the</w:t>
      </w:r>
      <w:r w:rsidRPr="002753F8">
        <w:rPr>
          <w:sz w:val="24"/>
          <w:szCs w:val="24"/>
        </w:rPr>
        <w:t xml:space="preserve"> parliamentary process. This raises issues of accountability, transparency and legitimacy.</w:t>
      </w:r>
    </w:p>
    <w:p w:rsidR="00B07960" w:rsidRPr="002753F8">
      <w:pPr>
        <w:numPr>
          <w:ilvl w:val="0"/>
          <w:numId w:val="1"/>
        </w:numPr>
        <w:spacing w:after="160"/>
        <w:jc w:val="both"/>
        <w:rPr>
          <w:sz w:val="24"/>
          <w:szCs w:val="24"/>
        </w:rPr>
      </w:pPr>
      <w:r w:rsidRPr="002753F8">
        <w:rPr>
          <w:sz w:val="24"/>
          <w:szCs w:val="24"/>
        </w:rPr>
        <w:t>Resultantly, we are concerned at how that panoply of laws - old and new - is put into practice by police. Across ranks, police prioritise clarity and consistency most of all. Simply adding to the statute book, whether with new, tailored offences or expanding the ss.12-14A scheme in the 1986 Act, will not serve policing interests well. Good policing practice requires - for all new laws -</w:t>
      </w:r>
      <w:r w:rsidRPr="002753F8">
        <w:rPr>
          <w:color w:val="9900FF"/>
          <w:sz w:val="24"/>
          <w:szCs w:val="24"/>
        </w:rPr>
        <w:t xml:space="preserve"> </w:t>
      </w:r>
      <w:r w:rsidRPr="002753F8">
        <w:rPr>
          <w:sz w:val="24"/>
          <w:szCs w:val="24"/>
        </w:rPr>
        <w:t xml:space="preserve">police leadership in organisations such as the College of Policing or NPCC to devise operational guidance and render the law interpretable to officers. This becomes harder when the statutory terrain shifts so speedily. For example, the new cumulative disruption requirement does not define any terms and the government has said </w:t>
      </w:r>
      <w:r w:rsidRPr="002753F8">
        <w:rPr>
          <w:sz w:val="24"/>
          <w:szCs w:val="24"/>
        </w:rPr>
        <w:t xml:space="preserve">that it will develop guidance on the power with CoP and NPCC, essentially delegating responsibility. </w:t>
      </w:r>
    </w:p>
    <w:p w:rsidR="00B07960" w:rsidRPr="002753F8">
      <w:pPr>
        <w:numPr>
          <w:ilvl w:val="0"/>
          <w:numId w:val="1"/>
        </w:numPr>
        <w:spacing w:after="160"/>
        <w:jc w:val="both"/>
        <w:rPr>
          <w:sz w:val="24"/>
          <w:szCs w:val="24"/>
        </w:rPr>
      </w:pPr>
      <w:r w:rsidRPr="002753F8">
        <w:rPr>
          <w:sz w:val="24"/>
          <w:szCs w:val="24"/>
        </w:rPr>
        <w:t xml:space="preserve">We are concerned too at the obvious shift from disorder and violence as the touchstone for police intervention to ‘serious disruption’ especially where that is defined as such a low bar as “more than minor” as it is in the POA 2023 . That trigger provides so limited a safeguard to regulate the exercise of police discretion that arguably it fails the “prescribed by law/in accordance with law” test outlined in </w:t>
      </w:r>
      <w:r w:rsidRPr="002753F8">
        <w:rPr>
          <w:i/>
          <w:iCs/>
          <w:sz w:val="24"/>
          <w:szCs w:val="24"/>
        </w:rPr>
        <w:t xml:space="preserve">Gallagher </w:t>
      </w:r>
      <w:r w:rsidRPr="002753F8">
        <w:rPr>
          <w:sz w:val="24"/>
          <w:szCs w:val="24"/>
        </w:rPr>
        <w:t xml:space="preserve">[2019] UKSC 3 [17]: "The measure must not confer a discretion so broad that its scope is in practice dependent on the will of those who apply it, rather than on the law itself." See on this most recently </w:t>
      </w:r>
      <w:r>
        <w:fldChar w:fldCharType="begin"/>
      </w:r>
      <w:r>
        <w:instrText xml:space="preserve"> HYPERLINK "https://www.bailii.org/ew/cases/EWHC/Admin/2026/915.html" </w:instrText>
      </w:r>
      <w:r>
        <w:fldChar w:fldCharType="separate"/>
      </w:r>
      <w:r w:rsidRPr="002753F8">
        <w:rPr>
          <w:i/>
          <w:iCs/>
          <w:color w:val="1155CC"/>
          <w:sz w:val="24"/>
          <w:szCs w:val="24"/>
          <w:u w:val="single"/>
        </w:rPr>
        <w:t>Thompson v MPC</w:t>
      </w:r>
      <w:r>
        <w:fldChar w:fldCharType="end"/>
      </w:r>
      <w:r>
        <w:fldChar w:fldCharType="begin"/>
      </w:r>
      <w:r>
        <w:instrText xml:space="preserve"> HYPERLINK "https://www.bailii.org/ew/cases/EWHC/Admin/2026/915.html" </w:instrText>
      </w:r>
      <w:r>
        <w:fldChar w:fldCharType="separate"/>
      </w:r>
      <w:r w:rsidRPr="002753F8">
        <w:rPr>
          <w:color w:val="1155CC"/>
          <w:sz w:val="24"/>
          <w:szCs w:val="24"/>
          <w:u w:val="single"/>
        </w:rPr>
        <w:t xml:space="preserve"> [2026] EWHC 915 Admin</w:t>
      </w:r>
      <w:r>
        <w:fldChar w:fldCharType="end"/>
      </w:r>
      <w:r w:rsidRPr="002753F8">
        <w:rPr>
          <w:sz w:val="24"/>
          <w:szCs w:val="24"/>
        </w:rPr>
        <w:t xml:space="preserve">, on the Met’s use of FRT. This is also problematic in ECHR terms as the Strasbourg Court has long been clear that protection must be offered to disruptive protests as disruption does not mean a protest(er) has ceased to be peaceful. The fact that it is often considered a legitimate objective because of how it is framed so centrally in domestic legislation is, we suggest, unhelpful for police when applying ECHR proportionality tests. Greater alignment and mirroring would be helpful here.  </w:t>
      </w:r>
    </w:p>
    <w:p w:rsidR="00B07960" w:rsidRPr="002753F8">
      <w:pPr>
        <w:numPr>
          <w:ilvl w:val="0"/>
          <w:numId w:val="1"/>
        </w:numPr>
        <w:spacing w:after="160"/>
        <w:jc w:val="both"/>
        <w:rPr>
          <w:sz w:val="24"/>
          <w:szCs w:val="24"/>
        </w:rPr>
      </w:pPr>
      <w:r w:rsidRPr="002753F8">
        <w:rPr>
          <w:sz w:val="24"/>
          <w:szCs w:val="24"/>
        </w:rPr>
        <w:t>That has caused a further major shift, from a legally protected right to protest towards a liberty founded on the indulgence of the police. We develop this below but in broad terms, the discretion now reposed in the police, as a result of those statutory changes - whether that be to arrest/charge or impose conditions - is now very wide, with the effect that many/most protests risk coming within that discretionary purview.  Whether or not this is welcomed by police, we do not know. Regardless, it places them</w:t>
      </w:r>
      <w:r w:rsidRPr="002753F8">
        <w:rPr>
          <w:sz w:val="24"/>
          <w:szCs w:val="24"/>
        </w:rPr>
        <w:t xml:space="preserve"> as the arbiters of rights-protection on the ground, with both limited accountability and few mechanisms available to protesters to control and challenge policing decisions, especially in advance.</w:t>
      </w:r>
    </w:p>
    <w:p w:rsidR="00B07960" w:rsidRPr="002753F8">
      <w:pPr>
        <w:numPr>
          <w:ilvl w:val="0"/>
          <w:numId w:val="1"/>
        </w:numPr>
        <w:spacing w:after="160"/>
        <w:jc w:val="both"/>
        <w:rPr>
          <w:sz w:val="24"/>
          <w:szCs w:val="24"/>
        </w:rPr>
      </w:pPr>
      <w:r w:rsidRPr="002753F8">
        <w:rPr>
          <w:sz w:val="24"/>
          <w:szCs w:val="24"/>
          <w:highlight w:val="white"/>
        </w:rPr>
        <w:t>Political and media discourse has also harmed the right to protest, particularly since the XR protests of 2018. As one of us found in their PhD, there is very little discussion of these protests as exercises of human rights to assembly and free speech, or of the individual and wider social value of protest; conversely, a populist binary has been set up separating “good” protesters from “bad” protesters who disrupt the lives of ordinary people. While the right to protest is acknowledged, the scope of ‘legiti</w:t>
      </w:r>
      <w:r w:rsidRPr="002753F8">
        <w:rPr>
          <w:sz w:val="24"/>
          <w:szCs w:val="24"/>
          <w:highlight w:val="white"/>
        </w:rPr>
        <w:t xml:space="preserve">mate’ protest has been inappropriately limited, thus easing the passage of restrictive legislation. The ‘bad’ protest is not seen as a democratic good but a harm to be managed (out). The “rights of others” are given as adequate reason to restrict rights to assembly and free speech without explaining what ‘rights’ exactly are in play and subject to harm from a protest. Q4 of this call for evidence might fall into that same trap, we suggest. </w:t>
      </w:r>
      <w:r w:rsidRPr="002753F8">
        <w:rPr>
          <w:sz w:val="24"/>
          <w:szCs w:val="24"/>
        </w:rPr>
        <w:t xml:space="preserve"> </w:t>
      </w:r>
    </w:p>
    <w:p w:rsidR="00B07960" w:rsidRPr="002753F8">
      <w:pPr>
        <w:numPr>
          <w:ilvl w:val="0"/>
          <w:numId w:val="1"/>
        </w:numPr>
        <w:spacing w:after="160"/>
        <w:jc w:val="both"/>
        <w:rPr>
          <w:sz w:val="24"/>
          <w:szCs w:val="24"/>
        </w:rPr>
      </w:pPr>
      <w:r w:rsidRPr="002753F8">
        <w:rPr>
          <w:sz w:val="24"/>
          <w:szCs w:val="24"/>
        </w:rPr>
        <w:t xml:space="preserve">The role and approach of the courts should not be discounted. With a few notable exceptions, this has largely offered little support to protester(s), whether that be the considerable increase in benchmark sentences, the marginalisation of </w:t>
      </w:r>
      <w:r w:rsidRPr="002753F8">
        <w:rPr>
          <w:sz w:val="24"/>
          <w:szCs w:val="24"/>
        </w:rPr>
        <w:t>“reasonable/lawful excuse” defences, or the way in which other claim-making opportunities have been managed out.</w:t>
      </w:r>
    </w:p>
    <w:p w:rsidR="00B07960" w:rsidRPr="002753F8">
      <w:pPr>
        <w:spacing w:after="160"/>
        <w:ind w:left="720"/>
        <w:jc w:val="both"/>
        <w:rPr>
          <w:sz w:val="24"/>
          <w:szCs w:val="24"/>
        </w:rPr>
      </w:pPr>
    </w:p>
    <w:p w:rsidR="00B07960" w:rsidRPr="002753F8">
      <w:pPr>
        <w:spacing w:after="160"/>
        <w:rPr>
          <w:b/>
          <w:bCs/>
          <w:sz w:val="24"/>
          <w:szCs w:val="24"/>
          <w:u w:val="single"/>
        </w:rPr>
      </w:pPr>
      <w:r w:rsidRPr="002753F8">
        <w:rPr>
          <w:b/>
          <w:bCs/>
          <w:sz w:val="24"/>
          <w:szCs w:val="24"/>
          <w:u w:val="single"/>
        </w:rPr>
        <w:t xml:space="preserve">Legal framework and existing legislation </w:t>
      </w:r>
    </w:p>
    <w:p w:rsidR="00B07960" w:rsidRPr="002753F8">
      <w:pPr>
        <w:numPr>
          <w:ilvl w:val="0"/>
          <w:numId w:val="1"/>
        </w:numPr>
        <w:spacing w:after="160"/>
        <w:jc w:val="both"/>
        <w:rPr>
          <w:sz w:val="24"/>
          <w:szCs w:val="24"/>
        </w:rPr>
      </w:pPr>
      <w:r w:rsidRPr="002753F8">
        <w:rPr>
          <w:sz w:val="24"/>
          <w:szCs w:val="24"/>
        </w:rPr>
        <w:t>Most of our concerns above apply here. The new laws have noticeably increased the discretion the police have to determine which protest(er)s should be subject to intervention and which should be facilitated, and thus reduced the ability we all have to exercise our right to protest without disproportionate impediment. It follows that the planned changes in the new Bill will only exacerbate that.  This is compounded by lack of court oversight and inconsistent political and media pressure about protest policin</w:t>
      </w:r>
      <w:r w:rsidRPr="002753F8">
        <w:rPr>
          <w:sz w:val="24"/>
          <w:szCs w:val="24"/>
        </w:rPr>
        <w:t xml:space="preserve">g. </w:t>
      </w:r>
    </w:p>
    <w:p w:rsidR="00B07960" w:rsidRPr="002753F8">
      <w:pPr>
        <w:numPr>
          <w:ilvl w:val="0"/>
          <w:numId w:val="1"/>
        </w:numPr>
        <w:jc w:val="both"/>
        <w:rPr>
          <w:sz w:val="24"/>
          <w:szCs w:val="24"/>
        </w:rPr>
      </w:pPr>
      <w:r w:rsidRPr="002753F8">
        <w:rPr>
          <w:sz w:val="24"/>
          <w:szCs w:val="24"/>
        </w:rPr>
        <w:t>That discretion comes from a combination of overlapping laws (raising questions about the necessity of more recent legislation), of uncertainty in terms, and over-reach. Each together has expanded the range of discretionary decision-making in the hands of either command officers or officers at the scene with too few checks and balances.</w:t>
      </w:r>
    </w:p>
    <w:p w:rsidR="00B07960" w:rsidRPr="002753F8">
      <w:pPr>
        <w:numPr>
          <w:ilvl w:val="1"/>
          <w:numId w:val="1"/>
        </w:numPr>
        <w:jc w:val="both"/>
        <w:rPr>
          <w:sz w:val="24"/>
          <w:szCs w:val="24"/>
        </w:rPr>
      </w:pPr>
      <w:r w:rsidRPr="002753F8">
        <w:rPr>
          <w:sz w:val="24"/>
          <w:szCs w:val="24"/>
        </w:rPr>
        <w:t xml:space="preserve">Overlap: a protester staging a sit-in on or slow walking on the road risks arrest for any of: wilful obstruction of the highway without lawful excuse; obstructing major transport works; interfering with the use of key national infrastructure (both in the 2023 Act); public nuisance; and breach of s.12 conditions. The successful prosecutions in the past for locking-on </w:t>
      </w:r>
      <w:r w:rsidRPr="002753F8">
        <w:rPr>
          <w:i/>
          <w:iCs/>
          <w:sz w:val="24"/>
          <w:szCs w:val="24"/>
        </w:rPr>
        <w:t>(Richardson</w:t>
      </w:r>
      <w:r w:rsidRPr="002753F8">
        <w:rPr>
          <w:sz w:val="24"/>
          <w:szCs w:val="24"/>
        </w:rPr>
        <w:t xml:space="preserve"> [2014] UKSC 8) and tunnelling (</w:t>
      </w:r>
      <w:r w:rsidRPr="002753F8">
        <w:rPr>
          <w:i/>
          <w:iCs/>
          <w:sz w:val="24"/>
          <w:szCs w:val="24"/>
        </w:rPr>
        <w:t>Cuciurean</w:t>
      </w:r>
      <w:r w:rsidRPr="002753F8">
        <w:rPr>
          <w:sz w:val="24"/>
          <w:szCs w:val="24"/>
        </w:rPr>
        <w:t xml:space="preserve"> [2022] EWHC 736 Admin) weakens quite considerably the case for bespoke offences in the 2023 Act. The police have a choice about which they might choose to call on. The overlap goes to issues of necessity and thus proportionality.</w:t>
      </w:r>
    </w:p>
    <w:p w:rsidR="00B07960" w:rsidRPr="002753F8">
      <w:pPr>
        <w:numPr>
          <w:ilvl w:val="1"/>
          <w:numId w:val="1"/>
        </w:numPr>
        <w:jc w:val="both"/>
        <w:rPr>
          <w:sz w:val="24"/>
          <w:szCs w:val="24"/>
        </w:rPr>
      </w:pPr>
      <w:r w:rsidRPr="002753F8">
        <w:rPr>
          <w:sz w:val="24"/>
          <w:szCs w:val="24"/>
        </w:rPr>
        <w:t>Uncertainty: these two examples make our point. Should a protest be subject to noise-based restrictions because properties in the area have double glazing (a matter raised in debate on the 2022 Act)?  A good deal of the recent law is predicated on knowing and being able to identify something as “protest-related” yet no definition is provided. As an aside, we note that this also marks a change from the historic tendency of public order law to talk of assemblies and processions. Uncertainty and thus predictab</w:t>
      </w:r>
      <w:r w:rsidRPr="002753F8">
        <w:rPr>
          <w:sz w:val="24"/>
          <w:szCs w:val="24"/>
        </w:rPr>
        <w:t>ility is a problem for protesters and police alike - and raises clear concerns under the ECHR.</w:t>
      </w:r>
    </w:p>
    <w:p w:rsidR="00B07960" w:rsidRPr="002753F8">
      <w:pPr>
        <w:numPr>
          <w:ilvl w:val="1"/>
          <w:numId w:val="1"/>
        </w:numPr>
        <w:spacing w:after="160"/>
        <w:jc w:val="both"/>
        <w:rPr>
          <w:sz w:val="24"/>
          <w:szCs w:val="24"/>
        </w:rPr>
      </w:pPr>
      <w:r w:rsidRPr="002753F8">
        <w:rPr>
          <w:sz w:val="24"/>
          <w:szCs w:val="24"/>
        </w:rPr>
        <w:t xml:space="preserve">Over-reach: the new provisions on cumulative disruption require the police to balance disruption from any other protest (without time limit) in an undefined area against protest rights as part of their assessment at the scene (though they do not mandate specific action). Protests can now be restricted because of disruption from a different protest group on a different day.  This would allow a cap on protest in a particular area where the police determine the public has had enough disruption. Serious </w:t>
      </w:r>
      <w:r w:rsidRPr="002753F8">
        <w:rPr>
          <w:sz w:val="24"/>
          <w:szCs w:val="24"/>
        </w:rPr>
        <w:t>Disruption Prevention Orders (SDPOs) are much wider in scope than anything the police called for. In his evidence to the Public Bill Committee, NPCC Lead CC Chris Nobles limited them to cases of “persistent and reckless” activism where other methods of intervening were not seen as successful or capable and in any event had to be proportionate.  Statutory public nuisance - and conspiracy to commit it - can (and has) resulted in substantial prison sentences for protests on the basis of ‘serious annoyance or i</w:t>
      </w:r>
      <w:r w:rsidRPr="002753F8">
        <w:rPr>
          <w:sz w:val="24"/>
          <w:szCs w:val="24"/>
        </w:rPr>
        <w:t xml:space="preserve">nconvenience’ to the public. Public nuisance has become one of the “go to” offences to arrest but data shows that charges follow in only a small number of cases. </w:t>
      </w:r>
      <w:r>
        <w:fldChar w:fldCharType="begin"/>
      </w:r>
      <w:r>
        <w:instrText xml:space="preserve"> HYPERLINK "https://www.greenpeace.org.uk/news/less-than-3-of-protest-arrests-result-in-charges-as-right-to-protest-campaign-launches/" </w:instrText>
      </w:r>
      <w:r>
        <w:fldChar w:fldCharType="separate"/>
      </w:r>
      <w:r w:rsidRPr="002753F8">
        <w:rPr>
          <w:color w:val="1155CC"/>
          <w:sz w:val="24"/>
          <w:szCs w:val="24"/>
          <w:u w:val="single"/>
        </w:rPr>
        <w:t>Greenpeace reported i</w:t>
      </w:r>
      <w:r>
        <w:fldChar w:fldCharType="end"/>
      </w:r>
      <w:r w:rsidRPr="002753F8">
        <w:rPr>
          <w:sz w:val="24"/>
          <w:szCs w:val="24"/>
        </w:rPr>
        <w:t>ts FOI findings that the Met</w:t>
      </w:r>
      <w:r w:rsidRPr="002753F8">
        <w:rPr>
          <w:rFonts w:eastAsia="Roboto"/>
          <w:sz w:val="24"/>
          <w:szCs w:val="24"/>
          <w:highlight w:val="white"/>
        </w:rPr>
        <w:t xml:space="preserve"> made more than 600 arrests in London over the last six years for conspiracy to cause public nuisance but only 18 of them (2.8%) resulted in charges. </w:t>
      </w:r>
      <w:r w:rsidRPr="002753F8">
        <w:rPr>
          <w:sz w:val="24"/>
          <w:szCs w:val="24"/>
        </w:rPr>
        <w:t xml:space="preserve"> These all also raise issues of proportionality through arbitrariness of scope (the lack of a rational connection between the measure and the supposed harm). </w:t>
      </w:r>
    </w:p>
    <w:p w:rsidR="00B07960" w:rsidRPr="002753F8">
      <w:pPr>
        <w:numPr>
          <w:ilvl w:val="0"/>
          <w:numId w:val="1"/>
        </w:numPr>
        <w:spacing w:after="160"/>
        <w:jc w:val="both"/>
        <w:rPr>
          <w:sz w:val="24"/>
          <w:szCs w:val="24"/>
        </w:rPr>
      </w:pPr>
      <w:r w:rsidRPr="002753F8">
        <w:rPr>
          <w:sz w:val="24"/>
          <w:szCs w:val="24"/>
        </w:rPr>
        <w:t>There have also been demonstrable inconsistencies in the policing and political response to different assemblies, such as the seeming differential approach taken by the Met to XR/JSO on one hand and the 2025 farmer’s protest in central London on the other, following media criticism of the police for being insufficiently repressive during the former and too repressive during the later. Even where differential policing strategies may be considered reasonable, this affects public perceptions of the police with</w:t>
      </w:r>
      <w:r w:rsidRPr="002753F8">
        <w:rPr>
          <w:sz w:val="24"/>
          <w:szCs w:val="24"/>
        </w:rPr>
        <w:t xml:space="preserve"> the potential to damage police legitimacy, with consequences more generally for community relations. </w:t>
      </w:r>
    </w:p>
    <w:p w:rsidR="00B07960" w:rsidRPr="002753F8">
      <w:pPr>
        <w:numPr>
          <w:ilvl w:val="0"/>
          <w:numId w:val="1"/>
        </w:numPr>
        <w:spacing w:after="160"/>
        <w:jc w:val="both"/>
        <w:rPr>
          <w:sz w:val="24"/>
          <w:szCs w:val="24"/>
        </w:rPr>
      </w:pPr>
      <w:r w:rsidRPr="002753F8">
        <w:rPr>
          <w:sz w:val="24"/>
          <w:szCs w:val="24"/>
        </w:rPr>
        <w:t xml:space="preserve">We are aware that there is considerable discrepancy in the use or reliance on the new powers. SDPOs would be one such. So far as we are aware, none have been granted, indicating either reluctance, confusion about their scope or role, or that creating them was simply not necessary. We discuss other issues around data below. </w:t>
      </w:r>
      <w:r>
        <w:fldChar w:fldCharType="begin"/>
      </w:r>
      <w:r>
        <w:instrText xml:space="preserve"> HYPERLINK "https://www.gov.uk/government/statistics/police-protest-powers-june-2022-to-march-2025/police-protest-powers-june-2022-to-march-2025" </w:instrText>
      </w:r>
      <w:r>
        <w:fldChar w:fldCharType="separate"/>
      </w:r>
      <w:r w:rsidRPr="002753F8">
        <w:rPr>
          <w:color w:val="1155CC"/>
          <w:sz w:val="24"/>
          <w:szCs w:val="24"/>
          <w:u w:val="single"/>
        </w:rPr>
        <w:t>Official data</w:t>
      </w:r>
      <w:r>
        <w:fldChar w:fldCharType="end"/>
      </w:r>
      <w:r w:rsidRPr="002753F8">
        <w:rPr>
          <w:sz w:val="24"/>
          <w:szCs w:val="24"/>
        </w:rPr>
        <w:t xml:space="preserve"> shows that noise as a trigger appears to have only been used 12 times between June 2022 and 31 March 2025, (for both assemblies and processions), conditions on one-person protest power under s79 appears to have never been used. When compared to public nuisance (used heavily as we show above at 8c), this suggests  two things: the creation of a ‘catch-all’ offence has allowed police considerable latitude and that some of the powers have not been found necessary.</w:t>
      </w:r>
    </w:p>
    <w:p w:rsidR="00B07960" w:rsidRPr="002753F8">
      <w:pPr>
        <w:numPr>
          <w:ilvl w:val="0"/>
          <w:numId w:val="1"/>
        </w:numPr>
        <w:spacing w:after="160"/>
        <w:jc w:val="both"/>
        <w:rPr>
          <w:sz w:val="24"/>
          <w:szCs w:val="24"/>
        </w:rPr>
      </w:pPr>
      <w:r w:rsidRPr="002753F8">
        <w:rPr>
          <w:sz w:val="24"/>
          <w:szCs w:val="24"/>
        </w:rPr>
        <w:t>SDPOs are concerning in and of themselves, showing the transposability of erstwhile counter-terrorism measures. They bear similarity to TPIMs and closely resemble FBOs. Their introduction shows the UK to be an outlier. Protest banning orders only exist elsewhere in Turkey, Philippines, Belarus, Russia and Egypt but then only for organisers and also only for one year not two as in the UK. They also suffer from the usual problems associated with criminalisation – by conviction for breach – through administrat</w:t>
      </w:r>
      <w:r w:rsidRPr="002753F8">
        <w:rPr>
          <w:sz w:val="24"/>
          <w:szCs w:val="24"/>
        </w:rPr>
        <w:t xml:space="preserve">ive/civil measures, such as burdens </w:t>
      </w:r>
      <w:r w:rsidRPr="002753F8">
        <w:rPr>
          <w:sz w:val="24"/>
          <w:szCs w:val="24"/>
        </w:rPr>
        <w:t>of proof &amp; hearsay evidence. But the problems are wider and speak to a tendency of modern government (note the plans for Respect Orders) to control behaviour by means of ‘civil-preventative’ measures that lack scrutiny or accountability, and which can easily be used in ways that impact people’s rights, here Art10 and 11 rights.</w:t>
      </w:r>
      <w:r>
        <w:rPr>
          <w:rStyle w:val="FootnoteReference"/>
          <w:sz w:val="24"/>
          <w:szCs w:val="24"/>
        </w:rPr>
        <w:footnoteReference w:id="2"/>
      </w:r>
      <w:r w:rsidRPr="002753F8">
        <w:rPr>
          <w:sz w:val="24"/>
          <w:szCs w:val="24"/>
        </w:rPr>
        <w:t xml:space="preserve"> </w:t>
      </w:r>
    </w:p>
    <w:p w:rsidR="00B07960" w:rsidRPr="002753F8">
      <w:pPr>
        <w:numPr>
          <w:ilvl w:val="0"/>
          <w:numId w:val="1"/>
        </w:numPr>
        <w:jc w:val="both"/>
        <w:rPr>
          <w:sz w:val="24"/>
          <w:szCs w:val="24"/>
        </w:rPr>
      </w:pPr>
      <w:r w:rsidRPr="002753F8">
        <w:rPr>
          <w:sz w:val="24"/>
          <w:szCs w:val="24"/>
        </w:rPr>
        <w:t>The recent legislative changes represent a concerted effort to prioritise public convenience over protest rights against a sustained populist narrative from the media about protesters harming ‘the people’. This is symbolised, as we adverted above, by the endemic nature of disruption running throughout the new schemes. The measures relating to ‘cumulative disruption’ in the new Crime and Policing Bill make that point well. We are also worried that the increase in both offences and powers limits quite conside</w:t>
      </w:r>
      <w:r w:rsidRPr="002753F8">
        <w:rPr>
          <w:sz w:val="24"/>
          <w:szCs w:val="24"/>
        </w:rPr>
        <w:t>rably the availability of locations where peaceful protest can now lawfully take place.</w:t>
      </w:r>
    </w:p>
    <w:p w:rsidR="00B07960" w:rsidRPr="002753F8">
      <w:pPr>
        <w:jc w:val="both"/>
        <w:rPr>
          <w:sz w:val="24"/>
          <w:szCs w:val="24"/>
        </w:rPr>
      </w:pPr>
    </w:p>
    <w:p w:rsidR="00B07960" w:rsidRPr="002753F8">
      <w:pPr>
        <w:ind w:left="720"/>
        <w:jc w:val="both"/>
        <w:rPr>
          <w:sz w:val="24"/>
          <w:szCs w:val="24"/>
        </w:rPr>
      </w:pPr>
      <w:r w:rsidRPr="002753F8">
        <w:rPr>
          <w:sz w:val="24"/>
          <w:szCs w:val="24"/>
        </w:rPr>
        <w:t xml:space="preserve"> </w:t>
      </w:r>
    </w:p>
    <w:p w:rsidR="00B07960" w:rsidRPr="002753F8">
      <w:pPr>
        <w:spacing w:after="160"/>
        <w:rPr>
          <w:b/>
          <w:bCs/>
          <w:sz w:val="24"/>
          <w:szCs w:val="24"/>
          <w:u w:val="single"/>
        </w:rPr>
      </w:pPr>
      <w:r w:rsidRPr="002753F8">
        <w:rPr>
          <w:b/>
          <w:bCs/>
          <w:sz w:val="24"/>
          <w:szCs w:val="24"/>
          <w:u w:val="single"/>
        </w:rPr>
        <w:t>Protest rights and community safety/disruption</w:t>
      </w:r>
    </w:p>
    <w:p w:rsidR="00B07960" w:rsidRPr="002753F8">
      <w:pPr>
        <w:numPr>
          <w:ilvl w:val="0"/>
          <w:numId w:val="1"/>
        </w:numPr>
        <w:jc w:val="both"/>
        <w:rPr>
          <w:sz w:val="24"/>
          <w:szCs w:val="24"/>
        </w:rPr>
      </w:pPr>
      <w:r w:rsidRPr="002753F8">
        <w:rPr>
          <w:sz w:val="24"/>
          <w:szCs w:val="24"/>
        </w:rPr>
        <w:t>We are not convinced that protest activity ‘has become faster, more decentralised and more disruptive’ over recent years. History is full of such examples both here and abroad. If anything, walking slowly down the street, or even gluing oneself to the road, would appear tame compared to some historic tactics. We would accept that such direct action has become a more regular feature of political life, less sporadic and more widespread and, the data shows, participants fall across a much wilder demographic. T</w:t>
      </w:r>
      <w:r w:rsidRPr="002753F8">
        <w:rPr>
          <w:sz w:val="24"/>
          <w:szCs w:val="24"/>
        </w:rPr>
        <w:t>his perhaps, though we are not experts, reflects growing political division (perhaps deliberately sown?), and a shift towards extremes rather than the centre, the growing perception of political alienation and abandonment within our historic two-party system, and certainly for climate change, a growing sense of urgency and necessity.</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In the late 19th and early 20th Century there were multiple social groups who caused significant disruption in the view of Parliament and the public. For example, the Salvation Army were often the subject of Parliamentary questions and debates due to their processions through towns and cities. They often also led to outbreaks of disorder as the processions attracted harassment from counter-protesters, with local law enforcement considering themselves ill-equipped to handle the matters. Other groups, such as</w:t>
      </w:r>
      <w:r w:rsidRPr="002753F8">
        <w:rPr>
          <w:sz w:val="24"/>
          <w:szCs w:val="24"/>
        </w:rPr>
        <w:t xml:space="preserve"> Metropolitan Radical Association, Socialist League, Law and Liberty League, and English Land Restoration League were considered such a nuisance in the late 19th century that the Chief of the Metropolitan Police issued an order banning all public assemblies in Trafalgar Square (a power he did not have), leading to a bloody skirmish between thousands of police officers and protesters, in which three </w:t>
      </w:r>
      <w:r w:rsidRPr="002753F8">
        <w:rPr>
          <w:sz w:val="24"/>
          <w:szCs w:val="24"/>
        </w:rPr>
        <w:t>protesters died. Other groups, such as the British Union of Fascists and anti-fascists caused significant disr</w:t>
      </w:r>
      <w:r w:rsidRPr="002753F8">
        <w:rPr>
          <w:sz w:val="24"/>
          <w:szCs w:val="24"/>
        </w:rPr>
        <w:t>uption and disorder in the 1930’s, particularly in London (leading to the Public Order Act 1936). The Suffragettes further engaged in tactics that would more commonly be labelled as domestic terrorism today. More recently, but still over 25 years ago, in September 2000, farmers and road hauliers blockaded petrol refineries and major roads to protest Labour’s fuel tax.  This caused large numbers of petrol pumps to run dry, leading to widespread disruption of essential services and food rationing in many supe</w:t>
      </w:r>
      <w:r w:rsidRPr="002753F8">
        <w:rPr>
          <w:sz w:val="24"/>
          <w:szCs w:val="24"/>
        </w:rPr>
        <w:t>rmarkets.  The Government was forced to put the NHS on an emergency footing.</w:t>
      </w:r>
    </w:p>
    <w:p w:rsidR="00B07960" w:rsidRPr="002753F8">
      <w:pPr>
        <w:ind w:left="720"/>
        <w:jc w:val="both"/>
        <w:rPr>
          <w:color w:val="EE0000"/>
          <w:sz w:val="24"/>
          <w:szCs w:val="24"/>
        </w:rPr>
      </w:pPr>
    </w:p>
    <w:p w:rsidR="00B07960" w:rsidRPr="002753F8">
      <w:pPr>
        <w:numPr>
          <w:ilvl w:val="0"/>
          <w:numId w:val="1"/>
        </w:numPr>
        <w:jc w:val="both"/>
        <w:rPr>
          <w:sz w:val="24"/>
          <w:szCs w:val="24"/>
        </w:rPr>
      </w:pPr>
      <w:r w:rsidRPr="002753F8">
        <w:rPr>
          <w:sz w:val="24"/>
          <w:szCs w:val="24"/>
        </w:rPr>
        <w:t>What we do think has changed is two matters. First, the deliberate co-option of protest and activism for political point-scoring - political displays of support for “ordinary hard-working people” by being tough on protesters, leading to the second, a distinct reduction in tolerance for protest and activism as a legitimate form of political engagement. Allowing restrictions on protests that are cumulatively disruptive sends a message that you have one, maybe two opportunities to ‘have your say’ but once thos</w:t>
      </w:r>
      <w:r w:rsidRPr="002753F8">
        <w:rPr>
          <w:sz w:val="24"/>
          <w:szCs w:val="24"/>
        </w:rPr>
        <w:t>e have been used you should stop bothering everyone. That frames it as a free speech, not an assembly, issue. While we accept that it is legitimate not to allow people to protest peacefully until they feel they have achieved their goal where that interferes with the rights of others, the legal framework should be sympathetic to the separate functions of a right to assemble (from a right to free expression), and the nature of long term protest movements.</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We would add that disruption is a necessary condition of many successful protests, and there is clear guidance from ECtHR caselaw that supports that proposition: that some level of protest disruption should be tolerated. The very low bar of “more than minor” in our view is some way below any sensible meaning of “serious”. That delegation by Parliament greatly empowers the police at an operational level, by removing (almost) any meaningful constraint on how that power is exercised. Disruption is a neutral te</w:t>
      </w:r>
      <w:r w:rsidRPr="002753F8">
        <w:rPr>
          <w:sz w:val="24"/>
          <w:szCs w:val="24"/>
        </w:rPr>
        <w:t xml:space="preserve">rm that does not require any specific cause. In reality, it is clear that some forms of disruption are characterised as acceptable and that we are all expected to tolerate as part and parcel of ordinary life, while disruption caused by protests increasingly are not. For example, “good disruption” that we are expected to tolerate might include the queues that wended their way around London as people waited to view HM Queen Elizabeth II lying in state, or the crowds leaving Wembley after a concert has ended; </w:t>
      </w:r>
      <w:r w:rsidRPr="002753F8">
        <w:rPr>
          <w:sz w:val="24"/>
          <w:szCs w:val="24"/>
        </w:rPr>
        <w:t>protests may cause similar levels of disruption to travellers, and yet is characterised as “bad disruption” and therefore as the subject of policing intervention.</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On the matter of proscription, we note that the Court of Appeal has just heard argument in the Palestine Action case. We perhaps might limit ourselves to these observations:</w:t>
      </w:r>
    </w:p>
    <w:p w:rsidR="00B07960" w:rsidRPr="002753F8">
      <w:pPr>
        <w:numPr>
          <w:ilvl w:val="1"/>
          <w:numId w:val="1"/>
        </w:numPr>
        <w:jc w:val="both"/>
        <w:rPr>
          <w:sz w:val="24"/>
          <w:szCs w:val="24"/>
        </w:rPr>
      </w:pPr>
      <w:r w:rsidRPr="002753F8">
        <w:rPr>
          <w:sz w:val="24"/>
          <w:szCs w:val="24"/>
        </w:rPr>
        <w:t>At heart, the real problem is the width of the s.1 definition of terrorism which is so clearly capable of applying to some direct action groups.</w:t>
      </w:r>
    </w:p>
    <w:p w:rsidR="00B07960" w:rsidRPr="002753F8">
      <w:pPr>
        <w:numPr>
          <w:ilvl w:val="1"/>
          <w:numId w:val="1"/>
        </w:numPr>
        <w:jc w:val="both"/>
        <w:rPr>
          <w:sz w:val="24"/>
          <w:szCs w:val="24"/>
        </w:rPr>
      </w:pPr>
      <w:r w:rsidRPr="002753F8">
        <w:rPr>
          <w:sz w:val="24"/>
          <w:szCs w:val="24"/>
        </w:rPr>
        <w:t xml:space="preserve">Whatever views of proscribing a group, the human rights concerned are magnified with the array of consequential offences in ss.11-13, most/all of which impose restrictions on free speech without proof of identifiable harm, without any implication of proportionality. The mass arrests over the past year show this in abundance. </w:t>
      </w:r>
    </w:p>
    <w:p w:rsidR="00B07960" w:rsidRPr="002753F8">
      <w:pPr>
        <w:numPr>
          <w:ilvl w:val="1"/>
          <w:numId w:val="1"/>
        </w:numPr>
        <w:jc w:val="both"/>
        <w:rPr>
          <w:sz w:val="24"/>
          <w:szCs w:val="24"/>
        </w:rPr>
      </w:pPr>
      <w:r w:rsidRPr="002753F8">
        <w:rPr>
          <w:sz w:val="24"/>
          <w:szCs w:val="24"/>
        </w:rPr>
        <w:t>Different policing responses have and are possible - Police Scotland have taken a far more relaxed view of placard holding, which goes back to our general point above at 9, with knock-on concerns about police legitimacy.</w:t>
      </w:r>
    </w:p>
    <w:p w:rsidR="00B07960" w:rsidRPr="002753F8">
      <w:pPr>
        <w:numPr>
          <w:ilvl w:val="1"/>
          <w:numId w:val="1"/>
        </w:numPr>
        <w:jc w:val="both"/>
        <w:rPr>
          <w:sz w:val="24"/>
          <w:szCs w:val="24"/>
        </w:rPr>
      </w:pPr>
      <w:r w:rsidRPr="002753F8">
        <w:rPr>
          <w:sz w:val="24"/>
          <w:szCs w:val="24"/>
        </w:rPr>
        <w:t>Taking a view on proscription we should make clear is not to absolve (here) PA. It is simply to prefer the ordinary criminal law to take its course rather than to create a state of exception for (certain) direct action groups.</w:t>
      </w:r>
    </w:p>
    <w:p w:rsidR="00B07960" w:rsidRPr="002753F8">
      <w:pPr>
        <w:numPr>
          <w:ilvl w:val="0"/>
          <w:numId w:val="1"/>
        </w:numPr>
        <w:spacing w:before="200"/>
        <w:jc w:val="both"/>
        <w:rPr>
          <w:sz w:val="24"/>
          <w:szCs w:val="24"/>
        </w:rPr>
      </w:pPr>
      <w:r w:rsidRPr="002753F8">
        <w:rPr>
          <w:sz w:val="24"/>
          <w:szCs w:val="24"/>
        </w:rPr>
        <w:t>We might flag a concern about the planned introduction (now fallen) for Extreme Criminal Protest Groups. These have been presented as an acceptable halfway house with lesser (though still very high) custodial sentences and no criminality for those merely expressing support for the group.  However, they would cover groups with tactics including non-violent offences involving road blocking – undermining principles about civil disobedience – and could render membership of say XR or JSO illegal, irrespective of</w:t>
      </w:r>
      <w:r w:rsidRPr="002753F8">
        <w:rPr>
          <w:sz w:val="24"/>
          <w:szCs w:val="24"/>
        </w:rPr>
        <w:t xml:space="preserve"> what any one particular adherent planned to do.  It also raises (see below for more) the issue of the appropriate body for adjudicating criminality. There have been numerous instances of environmental protesters being acquitted of road-blocking offences – often long after the protests have taken place. How would this fit with a government designation of the group as an ECPG and consequent banning of the group?</w:t>
      </w:r>
    </w:p>
    <w:p w:rsidR="00B07960" w:rsidRPr="002753F8">
      <w:pPr>
        <w:ind w:left="720" w:hanging="360"/>
        <w:jc w:val="both"/>
        <w:rPr>
          <w:sz w:val="24"/>
          <w:szCs w:val="24"/>
        </w:rPr>
      </w:pPr>
    </w:p>
    <w:p w:rsidR="00B07960" w:rsidRPr="002753F8">
      <w:pPr>
        <w:numPr>
          <w:ilvl w:val="0"/>
          <w:numId w:val="1"/>
        </w:numPr>
        <w:jc w:val="both"/>
        <w:rPr>
          <w:sz w:val="24"/>
          <w:szCs w:val="24"/>
        </w:rPr>
      </w:pPr>
      <w:r w:rsidRPr="002753F8">
        <w:rPr>
          <w:sz w:val="24"/>
          <w:szCs w:val="24"/>
        </w:rPr>
        <w:t>On reasonable excuses defences, UK law is very much out of kilter with Strasbourg where there is now a very strong line of authority that courts/judges/juries should make individualised assessments of proportionality – in the sense of “is this conviction going to be a proportionate interference with D’s Article 11 rights?” Domestically, the line taken in most cases (</w:t>
      </w:r>
      <w:r w:rsidRPr="002753F8">
        <w:rPr>
          <w:i/>
          <w:iCs/>
          <w:sz w:val="24"/>
          <w:szCs w:val="24"/>
        </w:rPr>
        <w:t xml:space="preserve">Ziegler </w:t>
      </w:r>
      <w:r w:rsidRPr="002753F8">
        <w:rPr>
          <w:sz w:val="24"/>
          <w:szCs w:val="24"/>
        </w:rPr>
        <w:t>being now a case of almost splendid isolation), is that this is a task for Parliament. We are very troubled by that abstemious approach because the courts have simply ignored Government policy intentions expressed in the clearest terms such as “The ‘reasonable excuse’ defence will permit a fact-specific enquiry by a court, and enable consideration of the exercise of Convention rights” (</w:t>
      </w:r>
      <w:r>
        <w:fldChar w:fldCharType="begin"/>
      </w:r>
      <w:r>
        <w:instrText xml:space="preserve"> HYPERLINK "https://www.gov.uk/government/publications/public-order-bill-overarching-documents/public-order-bill-european-convention-on-human-rights-memorandum" </w:instrText>
      </w:r>
      <w:r>
        <w:fldChar w:fldCharType="separate"/>
      </w:r>
      <w:r w:rsidRPr="002753F8">
        <w:rPr>
          <w:color w:val="1155CC"/>
          <w:sz w:val="24"/>
          <w:szCs w:val="24"/>
          <w:u w:val="single"/>
        </w:rPr>
        <w:t>Home Office ECHR Memorandum</w:t>
      </w:r>
      <w:r>
        <w:fldChar w:fldCharType="end"/>
      </w:r>
      <w:r w:rsidRPr="002753F8">
        <w:rPr>
          <w:sz w:val="24"/>
          <w:szCs w:val="24"/>
        </w:rPr>
        <w:t xml:space="preserve"> para 25) that adjuration. In </w:t>
      </w:r>
      <w:r>
        <w:fldChar w:fldCharType="begin"/>
      </w:r>
      <w:r>
        <w:instrText xml:space="preserve"> HYPERLINK "https://www.bailii.org/ew/cases/EWCA/Crim/2025/61.html" </w:instrText>
      </w:r>
      <w:r>
        <w:fldChar w:fldCharType="separate"/>
      </w:r>
      <w:r w:rsidRPr="002753F8">
        <w:rPr>
          <w:color w:val="1155CC"/>
          <w:sz w:val="24"/>
          <w:szCs w:val="24"/>
          <w:u w:val="single"/>
        </w:rPr>
        <w:t>Sarti</w:t>
      </w:r>
      <w:r>
        <w:fldChar w:fldCharType="end"/>
      </w:r>
      <w:r w:rsidRPr="002753F8">
        <w:rPr>
          <w:sz w:val="24"/>
          <w:szCs w:val="24"/>
        </w:rPr>
        <w:t xml:space="preserve"> [2025] EWCA Crim 61 the LCJ said this [76] “contrary to the (unexplained) view expressed in the ECHR Memorandum, once the ingredients of the s. 7 offence are made out, s. 7(2)(a) does not require a court to consider whether a conviction would be a proportionate interference with the defendant's Article 10 or 11 rights”. If Parliament, through its chosen legislative wording, is establishing an identifiable </w:t>
      </w:r>
      <w:r w:rsidRPr="002753F8">
        <w:rPr>
          <w:sz w:val="24"/>
          <w:szCs w:val="24"/>
        </w:rPr>
        <w:t>and specific task for judges which is then abjured, that is a significant matter for the JCHR to weigh</w:t>
      </w:r>
      <w:r w:rsidRPr="002753F8">
        <w:rPr>
          <w:sz w:val="24"/>
          <w:szCs w:val="24"/>
        </w:rPr>
        <w:t xml:space="preserve"> in the balance, we would suggest.</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We note here four concerns:</w:t>
      </w:r>
      <w:r>
        <w:rPr>
          <w:rStyle w:val="FootnoteReference"/>
          <w:sz w:val="24"/>
          <w:szCs w:val="24"/>
        </w:rPr>
        <w:footnoteReference w:id="3"/>
      </w:r>
    </w:p>
    <w:p w:rsidR="00B07960" w:rsidRPr="002753F8">
      <w:pPr>
        <w:numPr>
          <w:ilvl w:val="0"/>
          <w:numId w:val="4"/>
        </w:numPr>
        <w:ind w:left="1559" w:firstLine="0"/>
        <w:jc w:val="both"/>
        <w:rPr>
          <w:sz w:val="24"/>
          <w:szCs w:val="24"/>
        </w:rPr>
      </w:pPr>
      <w:r w:rsidRPr="002753F8">
        <w:rPr>
          <w:sz w:val="24"/>
          <w:szCs w:val="24"/>
        </w:rPr>
        <w:t xml:space="preserve">Lack of clarity and thus consistency following </w:t>
      </w:r>
      <w:r w:rsidRPr="002753F8">
        <w:rPr>
          <w:i/>
          <w:iCs/>
          <w:sz w:val="24"/>
          <w:szCs w:val="24"/>
        </w:rPr>
        <w:t xml:space="preserve">NI Safe Access Zones </w:t>
      </w:r>
      <w:r w:rsidRPr="002753F8">
        <w:rPr>
          <w:sz w:val="24"/>
          <w:szCs w:val="24"/>
        </w:rPr>
        <w:t xml:space="preserve">case and the test elaborated by Lord Reed making both operational implementation for police and predictability of consequences for protesters difficult.  </w:t>
      </w:r>
    </w:p>
    <w:p w:rsidR="00B07960" w:rsidRPr="002753F8">
      <w:pPr>
        <w:numPr>
          <w:ilvl w:val="0"/>
          <w:numId w:val="4"/>
        </w:numPr>
        <w:ind w:left="1559" w:firstLine="0"/>
        <w:jc w:val="both"/>
        <w:rPr>
          <w:sz w:val="24"/>
          <w:szCs w:val="24"/>
        </w:rPr>
      </w:pPr>
      <w:r w:rsidRPr="002753F8">
        <w:rPr>
          <w:sz w:val="24"/>
          <w:szCs w:val="24"/>
        </w:rPr>
        <w:t xml:space="preserve">Abdication of the courts’ primary task (under s6 HRA) to guarantee Convention rights, conferring on police through arrest/charge decisions almost absolute discretion over the protection of Convention rights; simply put, arresting/charging someone who blocks a road for s.137 obstruction will attract proportionality protection (the effect of </w:t>
      </w:r>
      <w:r w:rsidRPr="002753F8">
        <w:rPr>
          <w:i/>
          <w:iCs/>
          <w:sz w:val="24"/>
          <w:szCs w:val="24"/>
        </w:rPr>
        <w:t>Ziegler</w:t>
      </w:r>
      <w:r w:rsidRPr="002753F8">
        <w:rPr>
          <w:sz w:val="24"/>
          <w:szCs w:val="24"/>
        </w:rPr>
        <w:t>) whereas arresting/charging the same behaviour for s.7 POA2023, interfering with a key national infrastructure, will not (</w:t>
      </w:r>
      <w:r w:rsidRPr="002753F8">
        <w:rPr>
          <w:i/>
          <w:iCs/>
          <w:sz w:val="24"/>
          <w:szCs w:val="24"/>
        </w:rPr>
        <w:t>Sarti</w:t>
      </w:r>
      <w:r w:rsidRPr="002753F8">
        <w:rPr>
          <w:sz w:val="24"/>
          <w:szCs w:val="24"/>
        </w:rPr>
        <w:t>).</w:t>
      </w:r>
    </w:p>
    <w:p w:rsidR="00B07960" w:rsidRPr="002753F8">
      <w:pPr>
        <w:numPr>
          <w:ilvl w:val="0"/>
          <w:numId w:val="4"/>
        </w:numPr>
        <w:ind w:left="1559" w:firstLine="0"/>
        <w:jc w:val="both"/>
        <w:rPr>
          <w:sz w:val="24"/>
          <w:szCs w:val="24"/>
        </w:rPr>
      </w:pPr>
      <w:r w:rsidRPr="002753F8">
        <w:rPr>
          <w:sz w:val="24"/>
          <w:szCs w:val="24"/>
        </w:rPr>
        <w:t>The basis for this judicial deference to democratic decision-makers - that MPs and Lords have already engaged in debates and evaluations about proportionality - is not borne out by any evidence.</w:t>
      </w:r>
    </w:p>
    <w:p w:rsidR="00B07960" w:rsidRPr="002753F8">
      <w:pPr>
        <w:numPr>
          <w:ilvl w:val="0"/>
          <w:numId w:val="4"/>
        </w:numPr>
        <w:ind w:left="1559" w:firstLine="0"/>
        <w:jc w:val="both"/>
        <w:rPr>
          <w:sz w:val="24"/>
          <w:szCs w:val="24"/>
        </w:rPr>
      </w:pPr>
      <w:r w:rsidRPr="002753F8">
        <w:rPr>
          <w:sz w:val="24"/>
          <w:szCs w:val="24"/>
        </w:rPr>
        <w:t xml:space="preserve">Asking police to consider the questions under ECHR (or strategic approach) seems to be considered by courts to be problematic whereas asking such questions is, quite aside from human rights compliance, the essence of good decision making. How can you possibly make good tactical policing decisions without clarifying your aims, whether your actions are necessary, whether there are lesser ways to meet your aims? </w:t>
      </w:r>
      <w:r w:rsidRPr="002753F8">
        <w:rPr>
          <w:rFonts w:eastAsia="Times New Roman"/>
          <w:sz w:val="24"/>
          <w:szCs w:val="24"/>
        </w:rPr>
        <w:t xml:space="preserve">  </w:t>
      </w:r>
    </w:p>
    <w:p w:rsidR="00B07960" w:rsidRPr="002753F8">
      <w:pPr>
        <w:ind w:left="1559"/>
        <w:jc w:val="both"/>
        <w:rPr>
          <w:color w:val="FF0000"/>
          <w:sz w:val="24"/>
          <w:szCs w:val="24"/>
        </w:rPr>
      </w:pPr>
    </w:p>
    <w:p w:rsidR="00B07960" w:rsidRPr="002753F8">
      <w:pPr>
        <w:numPr>
          <w:ilvl w:val="0"/>
          <w:numId w:val="1"/>
        </w:numPr>
        <w:jc w:val="both"/>
        <w:rPr>
          <w:sz w:val="24"/>
          <w:szCs w:val="24"/>
        </w:rPr>
      </w:pPr>
      <w:r w:rsidRPr="002753F8">
        <w:rPr>
          <w:sz w:val="24"/>
          <w:szCs w:val="24"/>
        </w:rPr>
        <w:t>Police have considerable powers to regulate and control protests in order to protect others from intimidation (a conditions-trigger in s.12/14 itself), harassment - as a free-standing crime - and hate, where e.g. s19 POA 1986 applies. Lord MacDonald’s report is due very soon, we understand, but we would be wary of extending powers yet further in this area. The risk is that groups - formal or loose - become subject to severe restriction because of the actions of again perhaps very few within the broader asse</w:t>
      </w:r>
      <w:r w:rsidRPr="002753F8">
        <w:rPr>
          <w:sz w:val="24"/>
          <w:szCs w:val="24"/>
        </w:rPr>
        <w:t>mbly. Of itself, that raises human rights concerns as generally speaking individualised not blanket decisions are best placed to meet the requirements of proportionality.</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 xml:space="preserve">Political messaging in this area has been highly inconsistent which has not helped. For example, it has contemporaneously been suggested that police should no longer investigate non-crime hate incidents, but that they ought to arrest everyone who utters very specific phrases such as “Globalise the Intifada”. Blanket arrest policies for specific words or phrases misunderstands the proportionality requirements of Art.10 and the place of context in determining that </w:t>
      </w:r>
      <w:r w:rsidRPr="002753F8">
        <w:rPr>
          <w:sz w:val="24"/>
          <w:szCs w:val="24"/>
        </w:rPr>
        <w:t>proportionality. Two of us have written recently about the importance of understanding the pressure being placed on police by politicians - and the difficulties of resisting.</w:t>
      </w:r>
      <w:r>
        <w:rPr>
          <w:rStyle w:val="FootnoteReference"/>
          <w:sz w:val="24"/>
          <w:szCs w:val="24"/>
        </w:rPr>
        <w:footnoteReference w:id="4"/>
      </w:r>
      <w:r w:rsidRPr="002753F8">
        <w:rPr>
          <w:color w:val="FF0000"/>
          <w:sz w:val="24"/>
          <w:szCs w:val="24"/>
        </w:rPr>
        <w:t xml:space="preserve"> </w:t>
      </w:r>
      <w:r w:rsidRPr="002753F8">
        <w:rPr>
          <w:sz w:val="24"/>
          <w:szCs w:val="24"/>
        </w:rPr>
        <w:t xml:space="preserve">The political focus of urging for the law to be applied in only limited contexts, to only limited words or phrases, ignores all too easily the harms of other hateful rhetorics - as on immigration for example, which arguably has lead to demonstrable, real and actual physical attacks on immigration lawyers and their offices. </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The weekend of writing this submission produced political responses from the Prime Minister to the horrific anti-semitic attack in Golders Green the previous week: that, the police should now consider seeking bans for marches associated with Palestinian solidarity and start arresting those shouting ‘Globalise the Intifada’. This was echoed by the Leader of the Opposition. Banning marches because of the actions of some/few/several - rather than arresting individuals - is concerning: once banned, how does a g</w:t>
      </w:r>
      <w:r w:rsidRPr="002753F8">
        <w:rPr>
          <w:sz w:val="24"/>
          <w:szCs w:val="24"/>
        </w:rPr>
        <w:t xml:space="preserve">roup prove its re-entitlement? What evidence is there for the causative connection between thousands marching and this or these incidents of violence and harm? Why is a ban being considered for one group after a peaceful Palestine march was met by </w:t>
      </w:r>
      <w:r>
        <w:fldChar w:fldCharType="begin"/>
      </w:r>
      <w:r>
        <w:instrText xml:space="preserve"> HYPERLINK "https://www.theguardian.com/politics/2023/nov/11/suella-braverman-accused-of-fuelling-far-right-violence-near-cenotaph" </w:instrText>
      </w:r>
      <w:r>
        <w:fldChar w:fldCharType="separate"/>
      </w:r>
      <w:r w:rsidRPr="002753F8">
        <w:rPr>
          <w:color w:val="1155CC"/>
          <w:sz w:val="24"/>
          <w:szCs w:val="24"/>
          <w:u w:val="single"/>
        </w:rPr>
        <w:t>Tommy Robinson-inspired violence at the cenotaph</w:t>
      </w:r>
      <w:r>
        <w:fldChar w:fldCharType="end"/>
      </w:r>
      <w:r w:rsidRPr="002753F8">
        <w:rPr>
          <w:sz w:val="24"/>
          <w:szCs w:val="24"/>
        </w:rPr>
        <w:t xml:space="preserve"> in November 2023 and whose posts were directly linked to the </w:t>
      </w:r>
      <w:r>
        <w:fldChar w:fldCharType="begin"/>
      </w:r>
      <w:r>
        <w:instrText xml:space="preserve"> HYPERLINK "https://www.independent.co.uk/news/uk/crime/darren-osborne-finsbury-park-attack-who-is-tommy-robinson-muslim-internet-britain-first-a8190316.html" </w:instrText>
      </w:r>
      <w:r>
        <w:fldChar w:fldCharType="separate"/>
      </w:r>
      <w:r w:rsidRPr="002753F8">
        <w:rPr>
          <w:color w:val="1155CC"/>
          <w:sz w:val="24"/>
          <w:szCs w:val="24"/>
          <w:u w:val="single"/>
        </w:rPr>
        <w:t>attack on the Finsbury Park mosque</w:t>
      </w:r>
      <w:r>
        <w:fldChar w:fldCharType="end"/>
      </w:r>
      <w:r w:rsidRPr="002753F8">
        <w:rPr>
          <w:sz w:val="24"/>
          <w:szCs w:val="24"/>
        </w:rPr>
        <w:t xml:space="preserve"> in 2017. Where restrictions are to be placed on such speech, the tests should be applied equally regardless of the ideological content of the speech.</w:t>
      </w:r>
    </w:p>
    <w:p w:rsidR="00B07960" w:rsidRPr="002753F8">
      <w:pPr>
        <w:jc w:val="both"/>
        <w:rPr>
          <w:sz w:val="24"/>
          <w:szCs w:val="24"/>
        </w:rPr>
      </w:pPr>
    </w:p>
    <w:p w:rsidR="00B07960" w:rsidRPr="002753F8">
      <w:pPr>
        <w:jc w:val="both"/>
        <w:rPr>
          <w:color w:val="FF0000"/>
          <w:sz w:val="24"/>
          <w:szCs w:val="24"/>
        </w:rPr>
      </w:pPr>
    </w:p>
    <w:p w:rsidR="00B07960" w:rsidRPr="002753F8">
      <w:pPr>
        <w:jc w:val="both"/>
        <w:rPr>
          <w:b/>
          <w:bCs/>
          <w:sz w:val="24"/>
          <w:szCs w:val="24"/>
          <w:u w:val="single"/>
        </w:rPr>
      </w:pPr>
      <w:r w:rsidRPr="002753F8">
        <w:rPr>
          <w:b/>
          <w:bCs/>
          <w:sz w:val="24"/>
          <w:szCs w:val="24"/>
          <w:u w:val="single"/>
        </w:rPr>
        <w:t>Surveillance</w:t>
      </w:r>
    </w:p>
    <w:p w:rsidR="00B07960" w:rsidRPr="002753F8">
      <w:pPr>
        <w:ind w:left="720"/>
        <w:jc w:val="both"/>
        <w:rPr>
          <w:b/>
          <w:bCs/>
          <w:sz w:val="24"/>
          <w:szCs w:val="24"/>
          <w:u w:val="single"/>
        </w:rPr>
      </w:pPr>
    </w:p>
    <w:p w:rsidR="00B07960" w:rsidRPr="002753F8">
      <w:pPr>
        <w:numPr>
          <w:ilvl w:val="0"/>
          <w:numId w:val="1"/>
        </w:numPr>
        <w:jc w:val="both"/>
        <w:rPr>
          <w:sz w:val="24"/>
          <w:szCs w:val="24"/>
        </w:rPr>
      </w:pPr>
      <w:r w:rsidRPr="002753F8">
        <w:rPr>
          <w:sz w:val="24"/>
          <w:szCs w:val="24"/>
        </w:rPr>
        <w:t>Others are better placed to comment so we restrict ourselves to a few general points:</w:t>
      </w:r>
    </w:p>
    <w:p w:rsidR="00B07960" w:rsidRPr="002753F8" w:rsidP="002753F8">
      <w:pPr>
        <w:ind w:left="1134" w:hanging="283"/>
        <w:jc w:val="both"/>
        <w:rPr>
          <w:sz w:val="24"/>
          <w:szCs w:val="24"/>
        </w:rPr>
      </w:pPr>
    </w:p>
    <w:p w:rsidR="00B07960" w:rsidRPr="002753F8" w:rsidP="002753F8">
      <w:pPr>
        <w:numPr>
          <w:ilvl w:val="0"/>
          <w:numId w:val="3"/>
        </w:numPr>
        <w:ind w:left="1134" w:hanging="283"/>
        <w:jc w:val="both"/>
        <w:rPr>
          <w:sz w:val="24"/>
          <w:szCs w:val="24"/>
        </w:rPr>
      </w:pPr>
      <w:r w:rsidRPr="002753F8">
        <w:rPr>
          <w:sz w:val="24"/>
          <w:szCs w:val="24"/>
        </w:rPr>
        <w:t>There are undoubted chilling effects created by any and all forms of surveillance though measuring the extent is methodologically difficult, but the fact that some people might not feel able to take part in a protest is of itself a harm, compounded by possible discriminatory impact - or potential - upon certain groups.</w:t>
      </w:r>
    </w:p>
    <w:p w:rsidR="00B07960" w:rsidRPr="002753F8" w:rsidP="002753F8">
      <w:pPr>
        <w:numPr>
          <w:ilvl w:val="0"/>
          <w:numId w:val="3"/>
        </w:numPr>
        <w:ind w:left="1134" w:hanging="283"/>
        <w:jc w:val="both"/>
        <w:rPr>
          <w:sz w:val="24"/>
          <w:szCs w:val="24"/>
        </w:rPr>
      </w:pPr>
      <w:r w:rsidRPr="002753F8">
        <w:rPr>
          <w:sz w:val="24"/>
          <w:szCs w:val="24"/>
        </w:rPr>
        <w:t xml:space="preserve">There seems to be a willingness on the part of government to embrace these technologies without fully considering their impact.  A House of Lords amendment to the Crime and Policing Bill, requiring police (prior to imposing s.12/14 conditions on public assemblies) to confirm that live facial recognition surveillance would not be used unless a statutory code of practice for this had </w:t>
      </w:r>
      <w:r w:rsidRPr="002753F8">
        <w:rPr>
          <w:sz w:val="24"/>
          <w:szCs w:val="24"/>
        </w:rPr>
        <w:t>been approved by Parliament, was opposed by the government and consequently withdrawn.</w:t>
      </w:r>
    </w:p>
    <w:p w:rsidR="00B07960" w:rsidRPr="002753F8" w:rsidP="002753F8">
      <w:pPr>
        <w:numPr>
          <w:ilvl w:val="0"/>
          <w:numId w:val="3"/>
        </w:numPr>
        <w:ind w:left="1134" w:hanging="283"/>
        <w:jc w:val="both"/>
        <w:rPr>
          <w:sz w:val="24"/>
          <w:szCs w:val="24"/>
        </w:rPr>
      </w:pPr>
      <w:r w:rsidRPr="002753F8">
        <w:rPr>
          <w:sz w:val="24"/>
          <w:szCs w:val="24"/>
        </w:rPr>
        <w:t>There are associated concerns about retention and ownership of data generated and the uneasy relationships between police and private tech companies to which this week’s news about Palantir attests. The Strasbourg Court has always called for higher levels of protection under Art8 for political views.</w:t>
      </w:r>
    </w:p>
    <w:p w:rsidR="00B07960" w:rsidRPr="002753F8" w:rsidP="002753F8">
      <w:pPr>
        <w:numPr>
          <w:ilvl w:val="0"/>
          <w:numId w:val="3"/>
        </w:numPr>
        <w:ind w:left="1134" w:hanging="283"/>
        <w:jc w:val="both"/>
        <w:rPr>
          <w:sz w:val="24"/>
          <w:szCs w:val="24"/>
        </w:rPr>
      </w:pPr>
      <w:r w:rsidRPr="002753F8">
        <w:rPr>
          <w:sz w:val="24"/>
          <w:szCs w:val="24"/>
        </w:rPr>
        <w:t xml:space="preserve">Underlying all this are the key issues or concerns about scrutiny and accountability  - by whom, how, and with what effects? </w:t>
      </w:r>
    </w:p>
    <w:p w:rsidR="00B07960" w:rsidRPr="002753F8" w:rsidP="002753F8">
      <w:pPr>
        <w:numPr>
          <w:ilvl w:val="0"/>
          <w:numId w:val="3"/>
        </w:numPr>
        <w:ind w:left="1134" w:hanging="283"/>
        <w:jc w:val="both"/>
        <w:rPr>
          <w:sz w:val="24"/>
          <w:szCs w:val="24"/>
        </w:rPr>
      </w:pPr>
      <w:r w:rsidRPr="002753F8">
        <w:rPr>
          <w:sz w:val="24"/>
          <w:szCs w:val="24"/>
        </w:rPr>
        <w:t>That becomes more problematic with the proliferation and capacity multiplicity of technology, with (for example) Evidence Gathering Teams, Forward Intelligence Teams, Body Worn Camera, and CCTV all operating in the same space at the same time.</w:t>
      </w:r>
    </w:p>
    <w:p w:rsidR="00B07960" w:rsidRPr="002753F8" w:rsidP="002753F8">
      <w:pPr>
        <w:numPr>
          <w:ilvl w:val="0"/>
          <w:numId w:val="3"/>
        </w:numPr>
        <w:spacing w:after="160"/>
        <w:ind w:left="1134" w:hanging="283"/>
        <w:jc w:val="both"/>
        <w:rPr>
          <w:sz w:val="24"/>
          <w:szCs w:val="24"/>
        </w:rPr>
      </w:pPr>
      <w:r w:rsidRPr="002753F8">
        <w:rPr>
          <w:sz w:val="24"/>
          <w:szCs w:val="24"/>
        </w:rPr>
        <w:t>We are not sure we have seen or know of any police evidence that makes good on the key claim underpinning the deployment of some surveillance tactics, certainly of FRT, that of deterrence.</w:t>
      </w:r>
    </w:p>
    <w:p w:rsidR="00B07960" w:rsidRPr="002753F8" w:rsidP="002753F8">
      <w:pPr>
        <w:spacing w:after="160"/>
        <w:ind w:left="851"/>
        <w:jc w:val="both"/>
        <w:rPr>
          <w:sz w:val="24"/>
          <w:szCs w:val="24"/>
        </w:rPr>
      </w:pPr>
    </w:p>
    <w:p w:rsidR="00B07960" w:rsidRPr="002753F8">
      <w:pPr>
        <w:spacing w:after="160"/>
        <w:jc w:val="both"/>
        <w:rPr>
          <w:sz w:val="24"/>
          <w:szCs w:val="24"/>
        </w:rPr>
      </w:pPr>
      <w:r w:rsidRPr="002753F8">
        <w:rPr>
          <w:b/>
          <w:bCs/>
          <w:sz w:val="24"/>
          <w:szCs w:val="24"/>
          <w:u w:val="single"/>
        </w:rPr>
        <w:t>Public Scrutiny</w:t>
      </w:r>
    </w:p>
    <w:p w:rsidR="00B07960" w:rsidRPr="002753F8">
      <w:pPr>
        <w:numPr>
          <w:ilvl w:val="0"/>
          <w:numId w:val="1"/>
        </w:numPr>
        <w:jc w:val="both"/>
        <w:rPr>
          <w:sz w:val="24"/>
          <w:szCs w:val="24"/>
        </w:rPr>
      </w:pPr>
      <w:r w:rsidRPr="002753F8">
        <w:rPr>
          <w:sz w:val="24"/>
          <w:szCs w:val="24"/>
        </w:rPr>
        <w:t>Transparency is objectively in the public interest, unless there are very good countervailing reasons, and so we welcome the decision to publish s.12/s.14 data. However we do have concerns about accuracy and reliability.</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 xml:space="preserve">As part of their research, one of us has conducted data analysis of s.12/14 conditions imposed by the Met. JSO conducted over 500 slow marches in London between April – July 2023, and s12 was used almost exclusively to deal with them. The Met claimed on social media and elsewhere at the time to have used this power hundreds of times yet in 2025’s </w:t>
      </w:r>
      <w:r>
        <w:fldChar w:fldCharType="begin"/>
      </w:r>
      <w:r>
        <w:instrText xml:space="preserve"> HYPERLINK "https://www.london.gov.uk/sites/default/files/2025-04/PCC%20POPS%20report%20final%2020250417%20FINAL.pdf" </w:instrText>
      </w:r>
      <w:r>
        <w:fldChar w:fldCharType="separate"/>
      </w:r>
      <w:r w:rsidRPr="002753F8">
        <w:rPr>
          <w:i/>
          <w:iCs/>
          <w:color w:val="1155CC"/>
          <w:sz w:val="24"/>
          <w:szCs w:val="24"/>
          <w:u w:val="single"/>
        </w:rPr>
        <w:t xml:space="preserve">London Assembly </w:t>
      </w:r>
      <w:r>
        <w:fldChar w:fldCharType="end"/>
      </w:r>
      <w:r>
        <w:fldChar w:fldCharType="begin"/>
      </w:r>
      <w:r>
        <w:instrText xml:space="preserve"> HYPERLINK "https://www.london.gov.uk/sites/default/files/2025-04/PCC%20POPS%20report%20final%2020250417%20FINAL.pdf" </w:instrText>
      </w:r>
      <w:r>
        <w:fldChar w:fldCharType="separate"/>
      </w:r>
      <w:r w:rsidRPr="002753F8">
        <w:rPr>
          <w:color w:val="1155CC"/>
          <w:sz w:val="24"/>
          <w:szCs w:val="24"/>
          <w:u w:val="single"/>
        </w:rPr>
        <w:t>PCC Report</w:t>
      </w:r>
      <w:r>
        <w:fldChar w:fldCharType="end"/>
      </w:r>
      <w:r w:rsidRPr="002753F8">
        <w:rPr>
          <w:sz w:val="24"/>
          <w:szCs w:val="24"/>
        </w:rPr>
        <w:t>, the Met claim to have used s12 only 37 times from January 2023 - October 2024. This raises concerns about the accuracy of this data.</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It would certainly also be useful both from an academic researcher perspective and, we imagine, from civil society and media both as watchdogs for the release of various other data:</w:t>
      </w:r>
    </w:p>
    <w:p w:rsidR="00B07960" w:rsidRPr="002753F8" w:rsidP="00A47B94">
      <w:pPr>
        <w:numPr>
          <w:ilvl w:val="0"/>
          <w:numId w:val="2"/>
        </w:numPr>
        <w:ind w:left="1276" w:hanging="283"/>
        <w:jc w:val="both"/>
        <w:rPr>
          <w:sz w:val="24"/>
          <w:szCs w:val="24"/>
        </w:rPr>
      </w:pPr>
      <w:r w:rsidRPr="002753F8">
        <w:rPr>
          <w:sz w:val="24"/>
          <w:szCs w:val="24"/>
        </w:rPr>
        <w:t>What s.12/14 conditions were placed - not just the statutory reason - and what conditions were breached if leading to an arrest</w:t>
      </w:r>
    </w:p>
    <w:p w:rsidR="00B07960" w:rsidRPr="002753F8" w:rsidP="00A47B94">
      <w:pPr>
        <w:numPr>
          <w:ilvl w:val="0"/>
          <w:numId w:val="2"/>
        </w:numPr>
        <w:ind w:left="1276" w:hanging="283"/>
        <w:jc w:val="both"/>
        <w:rPr>
          <w:sz w:val="24"/>
          <w:szCs w:val="24"/>
        </w:rPr>
      </w:pPr>
      <w:r w:rsidRPr="002753F8">
        <w:rPr>
          <w:sz w:val="24"/>
          <w:szCs w:val="24"/>
        </w:rPr>
        <w:t xml:space="preserve">Arrests/charge/prosecution under certain listed offences: those that are demonstrably used against protest, and designed for such use (say, locking on and breaches of s.12 conditions) and for selected other offences when used against protesters. We accept this might prove difficult but, to give two examples, s.137 Highways Act and s.1 CDA 1971. </w:t>
      </w:r>
      <w:r>
        <w:fldChar w:fldCharType="begin"/>
      </w:r>
      <w:r>
        <w:instrText xml:space="preserve"> HYPERLINK "https://www.cps.gov.uk/prosecution-guidance/protests-potential-offences-during-protests-demonstrations-or-campaigns-annex" </w:instrText>
      </w:r>
      <w:r>
        <w:fldChar w:fldCharType="separate"/>
      </w:r>
      <w:r w:rsidRPr="002753F8">
        <w:rPr>
          <w:color w:val="1155CC"/>
          <w:sz w:val="24"/>
          <w:szCs w:val="24"/>
          <w:u w:val="single"/>
        </w:rPr>
        <w:t>Annex A of the CPS Charging Guidelines</w:t>
      </w:r>
      <w:r>
        <w:fldChar w:fldCharType="end"/>
      </w:r>
      <w:r w:rsidRPr="002753F8">
        <w:rPr>
          <w:sz w:val="24"/>
          <w:szCs w:val="24"/>
        </w:rPr>
        <w:t xml:space="preserve"> could illustrate these? Some of these data are collated </w:t>
      </w:r>
      <w:r w:rsidRPr="002753F8">
        <w:rPr>
          <w:sz w:val="24"/>
          <w:szCs w:val="24"/>
        </w:rPr>
        <w:t xml:space="preserve">and published but it is difficult to extract intelligibly to see the picture of how the criminal law is being used against protesters. Ideally the data would be disaggregated by police force. </w:t>
      </w:r>
    </w:p>
    <w:p w:rsidR="00B07960" w:rsidRPr="002753F8" w:rsidP="00A47B94">
      <w:pPr>
        <w:numPr>
          <w:ilvl w:val="0"/>
          <w:numId w:val="2"/>
        </w:numPr>
        <w:ind w:left="1276" w:hanging="283"/>
        <w:jc w:val="both"/>
        <w:rPr>
          <w:sz w:val="24"/>
          <w:szCs w:val="24"/>
        </w:rPr>
      </w:pPr>
      <w:r w:rsidRPr="002753F8">
        <w:rPr>
          <w:sz w:val="24"/>
          <w:szCs w:val="24"/>
        </w:rPr>
        <w:t>Stop and Search powers under s10 POA 2023 are difficult to disaggregate from other searches under s.1 PACE.</w:t>
      </w:r>
    </w:p>
    <w:p w:rsidR="00B07960" w:rsidRPr="002753F8" w:rsidP="00A47B94">
      <w:pPr>
        <w:numPr>
          <w:ilvl w:val="0"/>
          <w:numId w:val="2"/>
        </w:numPr>
        <w:ind w:left="1276" w:hanging="283"/>
        <w:jc w:val="both"/>
        <w:rPr>
          <w:sz w:val="24"/>
          <w:szCs w:val="24"/>
        </w:rPr>
      </w:pPr>
      <w:r w:rsidRPr="002753F8">
        <w:rPr>
          <w:sz w:val="24"/>
          <w:szCs w:val="24"/>
        </w:rPr>
        <w:t xml:space="preserve">Data on many types of civil-preventative powers (such as under ss.1-75 </w:t>
      </w:r>
      <w:r w:rsidRPr="002753F8">
        <w:rPr>
          <w:rFonts w:eastAsia="Roboto"/>
          <w:color w:val="1E1E1E"/>
          <w:sz w:val="24"/>
          <w:szCs w:val="24"/>
        </w:rPr>
        <w:t xml:space="preserve">Anti-social Behaviour, Crime and Policing Act 2014) including dispersal orders do not appear to be collected and released. </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 xml:space="preserve">This too would assist MPs and Lords in holding government/police chiefs to account. We note here previous systemic problems of scrutiny: for example, the general </w:t>
      </w:r>
      <w:r>
        <w:fldChar w:fldCharType="begin"/>
      </w:r>
      <w:r>
        <w:instrText xml:space="preserve"> HYPERLINK "https://assets.publishing.service.gov.uk/media/5a7ca434ed915d6969f46506/Annex_A_Overarching_IA_Lords.pdf" </w:instrText>
      </w:r>
      <w:r>
        <w:fldChar w:fldCharType="separate"/>
      </w:r>
      <w:r w:rsidRPr="002753F8">
        <w:rPr>
          <w:color w:val="1155CC"/>
          <w:sz w:val="24"/>
          <w:szCs w:val="24"/>
          <w:u w:val="single"/>
        </w:rPr>
        <w:t>Impact Assessment</w:t>
      </w:r>
      <w:r>
        <w:fldChar w:fldCharType="end"/>
      </w:r>
      <w:r w:rsidRPr="002753F8">
        <w:rPr>
          <w:sz w:val="24"/>
          <w:szCs w:val="24"/>
        </w:rPr>
        <w:t xml:space="preserve"> that accompanied what became the Anti-Social Behaviour Crime and Policing Act 2014 proposed a policy review to scrutinise data and the use of powers to grant inter alia Criminal Behaviour Orders and PSPOs three-five years after Royal Assent. Some 12 years later, this has not to our knowledge occurred.</w:t>
      </w:r>
    </w:p>
    <w:p w:rsidR="00B07960" w:rsidRPr="002753F8">
      <w:pPr>
        <w:jc w:val="both"/>
        <w:rPr>
          <w:color w:val="FF0000"/>
          <w:sz w:val="24"/>
          <w:szCs w:val="24"/>
        </w:rPr>
      </w:pPr>
    </w:p>
    <w:p w:rsidR="00B07960" w:rsidRPr="002753F8">
      <w:pPr>
        <w:numPr>
          <w:ilvl w:val="0"/>
          <w:numId w:val="1"/>
        </w:numPr>
        <w:jc w:val="both"/>
        <w:rPr>
          <w:sz w:val="24"/>
          <w:szCs w:val="24"/>
        </w:rPr>
      </w:pPr>
      <w:r w:rsidRPr="002753F8">
        <w:rPr>
          <w:sz w:val="24"/>
          <w:szCs w:val="24"/>
        </w:rPr>
        <w:t>This raises a more general problem of effective and timely control of police public order decisions. One of us has written about this. Timeframes and cost make JR a very unlikely and rare route, so the only real choice for protesters who believe they are being subjected to unlawful/disproportionate decisions is to accede or refuse/resist and raise that matter collaterally in later court proceedings, perhaps many months later. None of those provides an effective national remedy for alleged breaches of Conven</w:t>
      </w:r>
      <w:r w:rsidRPr="002753F8">
        <w:rPr>
          <w:sz w:val="24"/>
          <w:szCs w:val="24"/>
        </w:rPr>
        <w:t>tion rights.</w:t>
      </w:r>
      <w:r>
        <w:rPr>
          <w:rStyle w:val="FootnoteReference"/>
          <w:sz w:val="24"/>
          <w:szCs w:val="24"/>
        </w:rPr>
        <w:footnoteReference w:id="5"/>
      </w:r>
    </w:p>
    <w:p w:rsidR="00B07960" w:rsidRPr="002753F8">
      <w:pPr>
        <w:jc w:val="both"/>
        <w:rPr>
          <w:sz w:val="24"/>
          <w:szCs w:val="24"/>
        </w:rPr>
      </w:pPr>
    </w:p>
    <w:p w:rsidR="00B07960" w:rsidRPr="002753F8">
      <w:pPr>
        <w:jc w:val="both"/>
        <w:rPr>
          <w:sz w:val="24"/>
          <w:szCs w:val="24"/>
        </w:rPr>
      </w:pPr>
      <w:r w:rsidRPr="002753F8">
        <w:rPr>
          <w:sz w:val="24"/>
          <w:szCs w:val="24"/>
        </w:rPr>
        <w:t xml:space="preserve"> </w:t>
      </w:r>
      <w:r w:rsidRPr="002753F8">
        <w:rPr>
          <w:b/>
          <w:bCs/>
          <w:sz w:val="24"/>
          <w:szCs w:val="24"/>
          <w:u w:val="single"/>
        </w:rPr>
        <w:t>Recommendations</w:t>
      </w:r>
    </w:p>
    <w:p w:rsidR="00B07960" w:rsidRPr="002753F8">
      <w:pPr>
        <w:jc w:val="both"/>
        <w:rPr>
          <w:sz w:val="24"/>
          <w:szCs w:val="24"/>
        </w:rPr>
      </w:pPr>
    </w:p>
    <w:p w:rsidR="00B07960" w:rsidRPr="002753F8">
      <w:pPr>
        <w:numPr>
          <w:ilvl w:val="0"/>
          <w:numId w:val="1"/>
        </w:numPr>
        <w:jc w:val="both"/>
        <w:rPr>
          <w:sz w:val="24"/>
          <w:szCs w:val="24"/>
        </w:rPr>
      </w:pPr>
      <w:r w:rsidRPr="002753F8">
        <w:rPr>
          <w:sz w:val="24"/>
          <w:szCs w:val="24"/>
        </w:rPr>
        <w:t>Given the fact that Lord MacDonald’s report is soon awaited, we restrict ourselves here to four general comments on what we consider is required to address the problems we have identified above.</w:t>
      </w:r>
    </w:p>
    <w:p w:rsidR="00B07960" w:rsidRPr="002753F8">
      <w:pPr>
        <w:numPr>
          <w:ilvl w:val="1"/>
          <w:numId w:val="1"/>
        </w:numPr>
        <w:jc w:val="both"/>
        <w:rPr>
          <w:sz w:val="24"/>
          <w:szCs w:val="24"/>
        </w:rPr>
      </w:pPr>
      <w:r w:rsidRPr="002753F8">
        <w:rPr>
          <w:sz w:val="24"/>
          <w:szCs w:val="24"/>
        </w:rPr>
        <w:t>Public commitment to the political value of toleration for peaceful albeit disruptive protest and clear demarcation between disruption and disorder (within a framework of greater respect for the human rights of all).</w:t>
      </w:r>
    </w:p>
    <w:p w:rsidR="00B07960" w:rsidRPr="002753F8">
      <w:pPr>
        <w:numPr>
          <w:ilvl w:val="1"/>
          <w:numId w:val="1"/>
        </w:numPr>
        <w:jc w:val="both"/>
        <w:rPr>
          <w:sz w:val="24"/>
          <w:szCs w:val="24"/>
        </w:rPr>
      </w:pPr>
      <w:r w:rsidRPr="002753F8">
        <w:rPr>
          <w:sz w:val="24"/>
          <w:szCs w:val="24"/>
        </w:rPr>
        <w:t>Development of principles to guide legislators in future such as certainty, avoidance of unnecessary duplication, and least intrusive/harmful measure; in broad terms a “protest impact” statement to accompany planned changes. Neither the ECHR memorandum which is currently used nor Impact Analyses provides the specific details we suggest can properly inform debate. The latter is too focussed on costs. To give one example, the</w:t>
      </w:r>
      <w:r>
        <w:fldChar w:fldCharType="begin"/>
      </w:r>
      <w:r>
        <w:instrText xml:space="preserve"> HYPERLINK "https://publications.parliament.uk/pa/bills/cbill/58-03/0008/Impact%20Assessment%20-%20Public%20Order%20Bill%20-%2017May22.PDF" </w:instrText>
      </w:r>
      <w:r>
        <w:fldChar w:fldCharType="separate"/>
      </w:r>
      <w:r w:rsidRPr="002753F8">
        <w:rPr>
          <w:color w:val="1155CC"/>
          <w:sz w:val="24"/>
          <w:szCs w:val="24"/>
          <w:u w:val="single"/>
        </w:rPr>
        <w:t xml:space="preserve"> impact analysis </w:t>
      </w:r>
      <w:r>
        <w:fldChar w:fldCharType="end"/>
      </w:r>
      <w:r w:rsidRPr="002753F8">
        <w:rPr>
          <w:sz w:val="24"/>
          <w:szCs w:val="24"/>
        </w:rPr>
        <w:t xml:space="preserve">accompanying the POA2023 (para12c) asserts the </w:t>
      </w:r>
      <w:r w:rsidRPr="002753F8">
        <w:rPr>
          <w:sz w:val="24"/>
          <w:szCs w:val="24"/>
        </w:rPr>
        <w:t xml:space="preserve">new locking offence is needed as “the lack of a specific offence has led to failed prosecutions” yet no detail or evidence of that claim is given. </w:t>
      </w:r>
    </w:p>
    <w:p w:rsidR="00B07960" w:rsidRPr="002753F8">
      <w:pPr>
        <w:numPr>
          <w:ilvl w:val="1"/>
          <w:numId w:val="1"/>
        </w:numPr>
        <w:jc w:val="both"/>
        <w:rPr>
          <w:sz w:val="24"/>
          <w:szCs w:val="24"/>
        </w:rPr>
      </w:pPr>
      <w:r w:rsidRPr="002753F8">
        <w:rPr>
          <w:sz w:val="24"/>
          <w:szCs w:val="24"/>
        </w:rPr>
        <w:t>Introduction of post legislative review of protest legislation within three years of implementation against such criteria as “effectiveness at achieving objectives”, to what extent success criteria have been met, effects on protesters and policing, and any unintended consequences, bringing in all stakeholders.</w:t>
      </w:r>
    </w:p>
    <w:p w:rsidR="00B07960" w:rsidRPr="002753F8">
      <w:pPr>
        <w:numPr>
          <w:ilvl w:val="1"/>
          <w:numId w:val="1"/>
        </w:numPr>
        <w:jc w:val="both"/>
        <w:rPr>
          <w:sz w:val="24"/>
          <w:szCs w:val="24"/>
        </w:rPr>
      </w:pPr>
      <w:r w:rsidRPr="002753F8">
        <w:rPr>
          <w:sz w:val="24"/>
          <w:szCs w:val="24"/>
        </w:rPr>
        <w:t>Seeking expert evidence and opinion on effective measures to frame and contain police discretion.</w:t>
      </w:r>
    </w:p>
    <w:p w:rsidR="00B07960">
      <w:pPr>
        <w:jc w:val="both"/>
      </w:pPr>
    </w:p>
    <w:p w:rsidR="00B07960" w:rsidRPr="004C7E8F">
      <w:pPr>
        <w:jc w:val="both"/>
        <w:rPr>
          <w:rFonts w:asciiTheme="majorHAnsi" w:hAnsiTheme="majorHAnsi" w:cstheme="majorHAnsi"/>
          <w:b/>
          <w:bCs/>
          <w:i/>
          <w:iCs/>
          <w:sz w:val="24"/>
          <w:szCs w:val="24"/>
        </w:rPr>
      </w:pPr>
      <w:r w:rsidRPr="004C7E8F">
        <w:rPr>
          <w:rFonts w:asciiTheme="majorHAnsi" w:hAnsiTheme="majorHAnsi" w:cstheme="majorHAnsi"/>
          <w:b/>
          <w:bCs/>
          <w:i/>
          <w:iCs/>
          <w:sz w:val="24"/>
          <w:szCs w:val="24"/>
        </w:rPr>
        <w:t>(May 2026)</w:t>
      </w:r>
    </w:p>
    <w:p w:rsidR="00B07960">
      <w:pPr>
        <w:ind w:left="720"/>
        <w:jc w:val="both"/>
      </w:pPr>
    </w:p>
    <w:p w:rsidR="00B07960">
      <w:pPr>
        <w:rPr>
          <w:color w:val="EE0000"/>
        </w:rPr>
      </w:pPr>
    </w:p>
    <w:p w:rsidR="00B07960">
      <w:pPr>
        <w:spacing w:after="160"/>
        <w:ind w:left="720"/>
      </w:pPr>
    </w:p>
    <w:p w:rsidR="00B07960">
      <w:pPr>
        <w:spacing w:after="160"/>
        <w:rPr>
          <w:u w:val="single"/>
        </w:rPr>
      </w:pPr>
    </w:p>
    <w:p w:rsidR="00B07960">
      <w:pPr>
        <w:ind w:left="1080" w:hanging="360"/>
      </w:pPr>
      <w:r>
        <w:t>·</w:t>
      </w:r>
      <w:r>
        <w:rPr>
          <w:rFonts w:ascii="Times New Roman" w:eastAsia="Times New Roman" w:hAnsi="Times New Roman" w:cs="Times New Roman"/>
          <w:sz w:val="14"/>
          <w:szCs w:val="14"/>
        </w:rPr>
        <w:t xml:space="preserve">        </w:t>
      </w:r>
    </w:p>
    <w:sectPr w:rsidSect="002753F8">
      <w:pgSz w:w="12240" w:h="15840"/>
      <w:pgMar w:top="642" w:right="1326" w:bottom="1440" w:left="1699"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89B367-3259-46DC-8BD0-54C44F0C685E}"/>
    <w:embedBold r:id="rId2" w:fontKey="{3020F77C-AEA6-420A-8DFA-5D2A18DDCD27}"/>
    <w:embedBoldItalic r:id="rId3" w:fontKey="{43D30F75-78C2-4F7C-BF58-1B703DA4F170}"/>
  </w:font>
  <w:font w:name="Roboto">
    <w:charset w:val="00"/>
    <w:family w:val="auto"/>
    <w:pitch w:val="variable"/>
    <w:sig w:usb0="E0000AFF" w:usb1="5000217F" w:usb2="00000021" w:usb3="00000000" w:csb0="0000019F" w:csb1="00000000"/>
    <w:embedRegular r:id="rId4" w:fontKey="{B944BC23-1AFE-426B-8AA4-70C0D4CE32D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9E8272D4-47C4-4E40-88C2-A21AC1C80D9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07960" w:rsidP="00A47B94">
      <w:pPr>
        <w:spacing w:line="240" w:lineRule="auto"/>
      </w:pPr>
      <w:r>
        <w:separator/>
      </w:r>
    </w:p>
  </w:footnote>
  <w:footnote w:type="continuationSeparator" w:id="1">
    <w:p w:rsidR="00B07960" w:rsidP="00A47B94">
      <w:pPr>
        <w:spacing w:line="240" w:lineRule="auto"/>
      </w:pPr>
      <w:r>
        <w:continuationSeparator/>
      </w:r>
    </w:p>
  </w:footnote>
  <w:footnote w:id="2">
    <w:p w:rsidR="00B07960" w:rsidRPr="00A47B94">
      <w:pPr>
        <w:pStyle w:val="FootnoteText"/>
      </w:pPr>
      <w:r>
        <w:rPr>
          <w:rStyle w:val="FootnoteReference"/>
        </w:rPr>
        <w:footnoteRef/>
      </w:r>
      <w:r>
        <w:t xml:space="preserve"> </w:t>
      </w:r>
      <w:r w:rsidRPr="00A47B94">
        <w:rPr>
          <w:color w:val="000000" w:themeColor="text1"/>
          <w:sz w:val="18"/>
          <w:szCs w:val="18"/>
        </w:rPr>
        <w:t>G Pearson and C Werren “Check terms and conditions: Scrutiny, human rights, and civil preventative powers” [2024] PL 648</w:t>
      </w:r>
    </w:p>
  </w:footnote>
  <w:footnote w:id="3">
    <w:p w:rsidR="00B07960" w:rsidRPr="00A47B94">
      <w:pPr>
        <w:pStyle w:val="FootnoteText"/>
      </w:pPr>
      <w:r>
        <w:rPr>
          <w:rStyle w:val="FootnoteReference"/>
        </w:rPr>
        <w:footnoteRef/>
      </w:r>
      <w:r>
        <w:t xml:space="preserve">  </w:t>
      </w:r>
      <w:r>
        <w:rPr>
          <w:color w:val="000000" w:themeColor="text1"/>
          <w:sz w:val="18"/>
          <w:szCs w:val="18"/>
        </w:rPr>
        <w:t>D M</w:t>
      </w:r>
      <w:r w:rsidRPr="00A47B94">
        <w:rPr>
          <w:color w:val="000000" w:themeColor="text1"/>
          <w:sz w:val="18"/>
          <w:szCs w:val="18"/>
        </w:rPr>
        <w:t xml:space="preserve">ead “You Wait For Ages Then Two Come Along At Once: An Analysis of Ziegler v DPP [2021] UKSC 23” in L Graham and J Russell </w:t>
      </w:r>
      <w:r w:rsidRPr="00A47B94">
        <w:rPr>
          <w:i/>
          <w:iCs/>
          <w:color w:val="000000" w:themeColor="text1"/>
          <w:sz w:val="18"/>
          <w:szCs w:val="18"/>
        </w:rPr>
        <w:t>Public Law and the UK Supreme Court – Key Cases and Decisions</w:t>
      </w:r>
      <w:r w:rsidRPr="00A47B94">
        <w:rPr>
          <w:color w:val="000000" w:themeColor="text1"/>
          <w:sz w:val="18"/>
          <w:szCs w:val="18"/>
        </w:rPr>
        <w:t xml:space="preserve"> (Routledge, 2025)</w:t>
      </w:r>
    </w:p>
  </w:footnote>
  <w:footnote w:id="4">
    <w:p w:rsidR="00B07960" w:rsidRPr="00A47B94">
      <w:pPr>
        <w:pStyle w:val="FootnoteText"/>
      </w:pPr>
      <w:r>
        <w:rPr>
          <w:rStyle w:val="FootnoteReference"/>
        </w:rPr>
        <w:footnoteRef/>
      </w:r>
      <w:r>
        <w:t xml:space="preserve"> </w:t>
      </w:r>
      <w:r>
        <w:rPr>
          <w:color w:val="000000" w:themeColor="text1"/>
          <w:sz w:val="18"/>
          <w:szCs w:val="18"/>
        </w:rPr>
        <w:t>D M</w:t>
      </w:r>
      <w:r w:rsidRPr="00A47B94">
        <w:rPr>
          <w:color w:val="000000" w:themeColor="text1"/>
          <w:sz w:val="18"/>
          <w:szCs w:val="18"/>
        </w:rPr>
        <w:t xml:space="preserve">ead &amp; </w:t>
      </w:r>
      <w:r>
        <w:rPr>
          <w:color w:val="000000" w:themeColor="text1"/>
          <w:sz w:val="18"/>
          <w:szCs w:val="18"/>
        </w:rPr>
        <w:t xml:space="preserve">C </w:t>
      </w:r>
      <w:r w:rsidRPr="00A47B94">
        <w:rPr>
          <w:color w:val="000000" w:themeColor="text1"/>
          <w:sz w:val="18"/>
          <w:szCs w:val="18"/>
        </w:rPr>
        <w:t xml:space="preserve">Werren “From OLSX  to JSO – Protest Law &amp; Public Order Policing Under The Conservatives 2010-2024” in C Mallory and A Ramsay </w:t>
      </w:r>
      <w:r w:rsidRPr="00A47B94">
        <w:rPr>
          <w:i/>
          <w:iCs/>
          <w:color w:val="000000" w:themeColor="text1"/>
          <w:sz w:val="18"/>
          <w:szCs w:val="18"/>
        </w:rPr>
        <w:t>Human Rights under the Conservative Government 2010-2024</w:t>
      </w:r>
      <w:r w:rsidRPr="00A47B94">
        <w:rPr>
          <w:color w:val="000000" w:themeColor="text1"/>
          <w:sz w:val="18"/>
          <w:szCs w:val="18"/>
        </w:rPr>
        <w:t xml:space="preserve"> (Bloomsbury, 2027</w:t>
      </w:r>
      <w:r>
        <w:rPr>
          <w:color w:val="000000" w:themeColor="text1"/>
          <w:sz w:val="18"/>
          <w:szCs w:val="18"/>
        </w:rPr>
        <w:t>)</w:t>
      </w:r>
    </w:p>
  </w:footnote>
  <w:footnote w:id="5">
    <w:p w:rsidR="00B07960" w:rsidRPr="00A47B94">
      <w:pPr>
        <w:pStyle w:val="FootnoteText"/>
      </w:pPr>
      <w:r>
        <w:rPr>
          <w:rStyle w:val="FootnoteReference"/>
        </w:rPr>
        <w:footnoteRef/>
      </w:r>
      <w:r>
        <w:t xml:space="preserve"> </w:t>
      </w:r>
      <w:r>
        <w:rPr>
          <w:color w:val="000000" w:themeColor="text1"/>
          <w:sz w:val="18"/>
          <w:szCs w:val="18"/>
        </w:rPr>
        <w:t>D M</w:t>
      </w:r>
      <w:r w:rsidRPr="00A47B94">
        <w:rPr>
          <w:color w:val="000000" w:themeColor="text1"/>
          <w:sz w:val="18"/>
          <w:szCs w:val="18"/>
        </w:rPr>
        <w:t xml:space="preserve">ead “Realising an </w:t>
      </w:r>
      <w:r w:rsidRPr="00A47B94">
        <w:rPr>
          <w:color w:val="000000" w:themeColor="text1"/>
          <w:sz w:val="18"/>
          <w:szCs w:val="18"/>
          <w:u w:val="single"/>
        </w:rPr>
        <w:t>effective</w:t>
      </w:r>
      <w:r w:rsidRPr="00A47B94">
        <w:rPr>
          <w:color w:val="000000" w:themeColor="text1"/>
          <w:sz w:val="18"/>
          <w:szCs w:val="18"/>
        </w:rPr>
        <w:t xml:space="preserve"> right to protest – impediments and opportunities” in M O’Sullivan and A Dastyari (eds) </w:t>
      </w:r>
      <w:r w:rsidRPr="00A47B94">
        <w:rPr>
          <w:i/>
          <w:iCs/>
          <w:color w:val="000000" w:themeColor="text1"/>
          <w:sz w:val="18"/>
          <w:szCs w:val="18"/>
        </w:rPr>
        <w:t xml:space="preserve">International Law and the Regulation of Protest </w:t>
      </w:r>
      <w:r w:rsidRPr="00A47B94">
        <w:rPr>
          <w:color w:val="000000" w:themeColor="text1"/>
          <w:sz w:val="18"/>
          <w:szCs w:val="18"/>
        </w:rPr>
        <w:t>Routledge, 2026</w:t>
      </w:r>
      <w:r>
        <w:rPr>
          <w:color w:val="000000" w:themeColor="text1"/>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793CA1"/>
    <w:multiLevelType w:val="multilevel"/>
    <w:tmpl w:val="49E0A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92A7926"/>
    <w:multiLevelType w:val="multilevel"/>
    <w:tmpl w:val="134470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A2B0957"/>
    <w:multiLevelType w:val="multilevel"/>
    <w:tmpl w:val="19AA14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702914AF"/>
    <w:multiLevelType w:val="multilevel"/>
    <w:tmpl w:val="8690DEA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A47B94"/>
    <w:pPr>
      <w:spacing w:line="240" w:lineRule="auto"/>
    </w:pPr>
    <w:rPr>
      <w:sz w:val="20"/>
      <w:szCs w:val="20"/>
    </w:rPr>
  </w:style>
  <w:style w:type="character" w:customStyle="1" w:styleId="FootnoteTextChar">
    <w:name w:val="Footnote Text Char"/>
    <w:basedOn w:val="DefaultParagraphFont"/>
    <w:link w:val="FootnoteText"/>
    <w:uiPriority w:val="99"/>
    <w:semiHidden/>
    <w:rsid w:val="00A47B94"/>
    <w:rPr>
      <w:sz w:val="20"/>
      <w:szCs w:val="20"/>
    </w:rPr>
  </w:style>
  <w:style w:type="character" w:styleId="FootnoteReference">
    <w:name w:val="footnote reference"/>
    <w:basedOn w:val="DefaultParagraphFont"/>
    <w:uiPriority w:val="99"/>
    <w:semiHidden/>
    <w:unhideWhenUsed/>
    <w:rsid w:val="00A47B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SSP0015</dc:title>
  <cp:revision>0</cp:revision>
</cp:coreProperties>
</file>