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7AAF">
      <w:pPr>
        <w:pStyle w:val="Heading1"/>
        <w:sectPr>
          <w:type w:val="continuous"/>
          <w:pgSz w:w="11940" w:h="16860"/>
          <w:pgMar w:top="740" w:right="708" w:bottom="280" w:left="1417" w:header="720" w:footer="720" w:gutter="0"/>
          <w:cols w:num="2" w:space="720" w:equalWidth="0">
            <w:col w:w="3787" w:space="2131"/>
            <w:col w:w="3897"/>
          </w:cols>
        </w:sectPr>
      </w:pPr>
    </w:p>
    <w:p w:rsidR="00BF60DB" w:rsidRPr="00BF60DB" w:rsidP="00BF60DB">
      <w:pPr>
        <w:suppressAutoHyphens/>
        <w:spacing w:line="259" w:lineRule="auto"/>
        <w:jc w:val="both"/>
        <w:rPr>
          <w:rFonts w:ascii="Calibri" w:eastAsia="Arial Nova" w:hAnsi="Calibri" w:cs="Calibri"/>
          <w:b/>
          <w:bCs/>
          <w:lang w:val="en-GB" w:eastAsia="en-GB"/>
        </w:rPr>
      </w:pPr>
      <w:bookmarkStart w:id="0" w:name="_Hlk211339302"/>
      <w:bookmarkStart w:id="1" w:name="OLE_LINK14"/>
      <w:r w:rsidRPr="00D819D5">
        <w:rPr>
          <w:rFonts w:ascii="Calibri" w:eastAsia="Arial Nova" w:hAnsi="Calibri" w:cs="Calibri"/>
          <w:b/>
          <w:bCs/>
          <w:lang w:eastAsia="en-GB"/>
        </w:rPr>
        <w:t>Written evidence submitted by</w:t>
      </w:r>
      <w:r>
        <w:rPr>
          <w:rFonts w:ascii="Calibri" w:eastAsia="Arial Nova" w:hAnsi="Calibri" w:cs="Calibri"/>
          <w:b/>
          <w:bCs/>
          <w:lang w:eastAsia="en-GB"/>
        </w:rPr>
        <w:t xml:space="preserve"> </w:t>
      </w:r>
      <w:r w:rsidRPr="00BF60DB">
        <w:rPr>
          <w:rFonts w:ascii="Calibri" w:eastAsia="Arial Nova" w:hAnsi="Calibri" w:cs="Calibri"/>
          <w:b/>
          <w:bCs/>
          <w:lang w:eastAsia="en-GB"/>
        </w:rPr>
        <w:t>Roberta Metsola</w:t>
      </w:r>
      <w:r w:rsidR="009E73EA">
        <w:rPr>
          <w:rFonts w:ascii="Calibri" w:eastAsia="Arial Nova" w:hAnsi="Calibri" w:cs="Calibri"/>
          <w:b/>
          <w:bCs/>
          <w:lang w:eastAsia="en-GB"/>
        </w:rPr>
        <w:t xml:space="preserve"> (</w:t>
      </w:r>
      <w:r w:rsidRPr="009E73EA" w:rsidR="009E73EA">
        <w:rPr>
          <w:rFonts w:ascii="Calibri" w:eastAsia="Arial Nova" w:hAnsi="Calibri" w:cs="Calibri"/>
          <w:b/>
          <w:bCs/>
          <w:lang w:eastAsia="en-GB"/>
        </w:rPr>
        <w:t>President of European Parliament)</w:t>
      </w:r>
      <w:r>
        <w:rPr>
          <w:rFonts w:ascii="Calibri" w:eastAsia="Arial Nova" w:hAnsi="Calibri" w:cs="Calibri"/>
          <w:b/>
          <w:bCs/>
          <w:lang w:eastAsia="en-GB"/>
        </w:rPr>
        <w:t xml:space="preserve"> </w:t>
      </w:r>
      <w:r w:rsidRPr="00D819D5">
        <w:rPr>
          <w:rFonts w:ascii="Calibri" w:eastAsia="Arial Nova" w:hAnsi="Calibri" w:cs="Calibri"/>
          <w:b/>
          <w:bCs/>
          <w:lang w:eastAsia="en-GB"/>
        </w:rPr>
        <w:t>(BBB001</w:t>
      </w:r>
      <w:r>
        <w:rPr>
          <w:rFonts w:ascii="Calibri" w:eastAsia="Arial Nova" w:hAnsi="Calibri" w:cs="Calibri"/>
          <w:b/>
          <w:bCs/>
          <w:lang w:eastAsia="en-GB"/>
        </w:rPr>
        <w:t>5</w:t>
      </w:r>
      <w:r w:rsidRPr="00D819D5">
        <w:rPr>
          <w:rFonts w:ascii="Calibri" w:eastAsia="Arial Nova" w:hAnsi="Calibri" w:cs="Calibri"/>
          <w:b/>
          <w:bCs/>
          <w:lang w:eastAsia="en-GB"/>
        </w:rPr>
        <w:t>)</w:t>
      </w:r>
      <w:bookmarkEnd w:id="0"/>
    </w:p>
    <w:p w:rsidR="00BF60DB">
      <w:pPr>
        <w:pStyle w:val="BodyText"/>
        <w:spacing w:line="237" w:lineRule="auto"/>
        <w:ind w:left="104" w:right="671" w:hanging="8"/>
        <w:jc w:val="both"/>
        <w:rPr>
          <w:color w:val="1C1C1C"/>
        </w:rPr>
      </w:pPr>
      <w:bookmarkEnd w:id="1"/>
    </w:p>
    <w:p w:rsidR="00BF60DB">
      <w:pPr>
        <w:pStyle w:val="BodyText"/>
        <w:spacing w:line="237" w:lineRule="auto"/>
        <w:ind w:left="104" w:right="671" w:hanging="8"/>
        <w:jc w:val="both"/>
        <w:rPr>
          <w:color w:val="1C1C1C"/>
        </w:rPr>
      </w:pPr>
    </w:p>
    <w:p w:rsidR="00BF60DB">
      <w:pPr>
        <w:pStyle w:val="BodyText"/>
        <w:spacing w:line="237" w:lineRule="auto"/>
        <w:ind w:left="104" w:right="671" w:hanging="8"/>
        <w:jc w:val="both"/>
        <w:rPr>
          <w:color w:val="1C1C1C"/>
        </w:rPr>
      </w:pPr>
      <w:r>
        <w:rPr>
          <w:color w:val="1C1C1C"/>
        </w:rPr>
        <w:t>Dear Chair,</w:t>
      </w:r>
    </w:p>
    <w:p w:rsidR="00BF60DB">
      <w:pPr>
        <w:pStyle w:val="BodyText"/>
        <w:spacing w:line="237" w:lineRule="auto"/>
        <w:ind w:left="104" w:right="671" w:hanging="8"/>
        <w:jc w:val="both"/>
        <w:rPr>
          <w:color w:val="1C1C1C"/>
        </w:rPr>
      </w:pPr>
    </w:p>
    <w:p w:rsidR="00527AAF">
      <w:pPr>
        <w:pStyle w:val="BodyText"/>
        <w:spacing w:line="237" w:lineRule="auto"/>
        <w:ind w:left="104" w:right="671" w:hanging="8"/>
        <w:jc w:val="both"/>
      </w:pPr>
      <w:r>
        <w:rPr>
          <w:color w:val="1C1C1C"/>
        </w:rPr>
        <w:t>Thank you</w:t>
      </w:r>
      <w:r>
        <w:rPr>
          <w:color w:val="1C1C1C"/>
          <w:spacing w:val="-10"/>
        </w:rPr>
        <w:t xml:space="preserve"> </w:t>
      </w:r>
      <w:r>
        <w:rPr>
          <w:color w:val="1C1C1C"/>
        </w:rPr>
        <w:t>for your letter and</w:t>
      </w:r>
      <w:r>
        <w:rPr>
          <w:color w:val="1C1C1C"/>
          <w:spacing w:val="-2"/>
        </w:rPr>
        <w:t xml:space="preserve"> </w:t>
      </w:r>
      <w:r>
        <w:rPr>
          <w:color w:val="1C1C1C"/>
        </w:rPr>
        <w:t>for</w:t>
      </w:r>
      <w:r>
        <w:rPr>
          <w:color w:val="1C1C1C"/>
          <w:spacing w:val="-2"/>
        </w:rPr>
        <w:t xml:space="preserve"> </w:t>
      </w:r>
      <w:r>
        <w:rPr>
          <w:color w:val="1C1C1C"/>
        </w:rPr>
        <w:t>inviting the</w:t>
      </w:r>
      <w:r>
        <w:rPr>
          <w:color w:val="1C1C1C"/>
          <w:spacing w:val="-1"/>
        </w:rPr>
        <w:t xml:space="preserve"> </w:t>
      </w:r>
      <w:r>
        <w:rPr>
          <w:color w:val="1C1C1C"/>
        </w:rPr>
        <w:t>European Parliament to contribute to</w:t>
      </w:r>
      <w:r>
        <w:rPr>
          <w:color w:val="1C1C1C"/>
          <w:spacing w:val="-2"/>
        </w:rPr>
        <w:t xml:space="preserve"> </w:t>
      </w:r>
      <w:r>
        <w:rPr>
          <w:color w:val="1C1C1C"/>
        </w:rPr>
        <w:t>the</w:t>
      </w:r>
      <w:r>
        <w:rPr>
          <w:color w:val="1C1C1C"/>
          <w:spacing w:val="-4"/>
        </w:rPr>
        <w:t xml:space="preserve"> </w:t>
      </w:r>
      <w:r>
        <w:rPr>
          <w:color w:val="1C1C1C"/>
        </w:rPr>
        <w:t>inquiry of the</w:t>
      </w:r>
      <w:r>
        <w:rPr>
          <w:color w:val="1C1C1C"/>
          <w:spacing w:val="-1"/>
        </w:rPr>
        <w:t xml:space="preserve"> </w:t>
      </w:r>
      <w:r>
        <w:rPr>
          <w:color w:val="1C1C1C"/>
        </w:rPr>
        <w:t>House of Commons Modernisation Committee on</w:t>
      </w:r>
      <w:r>
        <w:rPr>
          <w:color w:val="1C1C1C"/>
          <w:spacing w:val="-1"/>
        </w:rPr>
        <w:t xml:space="preserve"> </w:t>
      </w:r>
      <w:r>
        <w:rPr>
          <w:color w:val="1C1C1C"/>
        </w:rPr>
        <w:t>the organisation of e-petitions.</w:t>
      </w:r>
    </w:p>
    <w:p w:rsidR="00527AAF">
      <w:pPr>
        <w:pStyle w:val="BodyText"/>
        <w:spacing w:before="4"/>
      </w:pPr>
    </w:p>
    <w:p w:rsidR="00527AAF">
      <w:pPr>
        <w:pStyle w:val="BodyText"/>
        <w:ind w:left="97" w:right="672" w:hanging="2"/>
        <w:jc w:val="both"/>
      </w:pPr>
      <w:r>
        <w:rPr>
          <w:color w:val="1C1C1C"/>
        </w:rPr>
        <w:t>On behalf of the European Parliament, I am pleased to provide the following information regarding our practices.</w:t>
      </w:r>
    </w:p>
    <w:p w:rsidR="00527AAF">
      <w:pPr>
        <w:pStyle w:val="BodyText"/>
      </w:pPr>
    </w:p>
    <w:p w:rsidR="00527AAF">
      <w:pPr>
        <w:pStyle w:val="BodyText"/>
        <w:ind w:left="87" w:right="657" w:firstLine="5"/>
        <w:jc w:val="both"/>
      </w:pPr>
      <w:r>
        <w:rPr>
          <w:color w:val="1C1C1C"/>
        </w:rPr>
        <w:t>As</w:t>
      </w:r>
      <w:r>
        <w:rPr>
          <w:color w:val="1C1C1C"/>
          <w:spacing w:val="-16"/>
        </w:rPr>
        <w:t xml:space="preserve"> </w:t>
      </w:r>
      <w:r>
        <w:rPr>
          <w:color w:val="1C1C1C"/>
        </w:rPr>
        <w:t>regards</w:t>
      </w:r>
      <w:r>
        <w:rPr>
          <w:color w:val="1C1C1C"/>
          <w:spacing w:val="-8"/>
        </w:rPr>
        <w:t xml:space="preserve"> </w:t>
      </w:r>
      <w:r>
        <w:rPr>
          <w:color w:val="1C1C1C"/>
        </w:rPr>
        <w:t>petitions,</w:t>
      </w:r>
      <w:r>
        <w:rPr>
          <w:color w:val="1C1C1C"/>
          <w:spacing w:val="-6"/>
        </w:rPr>
        <w:t xml:space="preserve"> </w:t>
      </w:r>
      <w:r>
        <w:rPr>
          <w:color w:val="1C1C1C"/>
        </w:rPr>
        <w:t>the</w:t>
      </w:r>
      <w:r>
        <w:rPr>
          <w:color w:val="1C1C1C"/>
          <w:spacing w:val="-12"/>
        </w:rPr>
        <w:t xml:space="preserve"> </w:t>
      </w:r>
      <w:r>
        <w:rPr>
          <w:color w:val="1C1C1C"/>
        </w:rPr>
        <w:t>European</w:t>
      </w:r>
      <w:r>
        <w:rPr>
          <w:color w:val="1C1C1C"/>
          <w:spacing w:val="-9"/>
        </w:rPr>
        <w:t xml:space="preserve"> </w:t>
      </w:r>
      <w:r>
        <w:rPr>
          <w:color w:val="1C1C1C"/>
        </w:rPr>
        <w:t>Parliament has</w:t>
      </w:r>
      <w:r>
        <w:rPr>
          <w:color w:val="1C1C1C"/>
          <w:spacing w:val="-11"/>
        </w:rPr>
        <w:t xml:space="preserve"> </w:t>
      </w:r>
      <w:r>
        <w:rPr>
          <w:color w:val="1C1C1C"/>
        </w:rPr>
        <w:t>a</w:t>
      </w:r>
      <w:r>
        <w:rPr>
          <w:color w:val="1C1C1C"/>
          <w:spacing w:val="-16"/>
        </w:rPr>
        <w:t xml:space="preserve"> </w:t>
      </w:r>
      <w:r>
        <w:rPr>
          <w:color w:val="1C1C1C"/>
        </w:rPr>
        <w:t>well-established</w:t>
      </w:r>
      <w:r>
        <w:rPr>
          <w:color w:val="1C1C1C"/>
          <w:spacing w:val="-15"/>
        </w:rPr>
        <w:t xml:space="preserve"> </w:t>
      </w:r>
      <w:r>
        <w:rPr>
          <w:color w:val="1C1C1C"/>
        </w:rPr>
        <w:t>system</w:t>
      </w:r>
      <w:r>
        <w:rPr>
          <w:color w:val="1C1C1C"/>
          <w:spacing w:val="-3"/>
        </w:rPr>
        <w:t xml:space="preserve"> </w:t>
      </w:r>
      <w:r>
        <w:rPr>
          <w:color w:val="1C1C1C"/>
        </w:rPr>
        <w:t>managed by</w:t>
      </w:r>
      <w:r>
        <w:rPr>
          <w:color w:val="1C1C1C"/>
          <w:spacing w:val="-12"/>
        </w:rPr>
        <w:t xml:space="preserve"> </w:t>
      </w:r>
      <w:r>
        <w:rPr>
          <w:color w:val="1C1C1C"/>
        </w:rPr>
        <w:t>the Committee on Petitions (PETI). Citizens and residents of the European Union may submit petitions on matters falling within the Union's fields of competence. The relevant provisions are set out in</w:t>
      </w:r>
      <w:r>
        <w:rPr>
          <w:color w:val="1C1C1C"/>
          <w:spacing w:val="-5"/>
        </w:rPr>
        <w:t xml:space="preserve"> </w:t>
      </w:r>
      <w:r>
        <w:rPr>
          <w:color w:val="1C1C1C"/>
        </w:rPr>
        <w:t>Title IX of</w:t>
      </w:r>
      <w:r>
        <w:rPr>
          <w:color w:val="1C1C1C"/>
          <w:spacing w:val="-3"/>
        </w:rPr>
        <w:t xml:space="preserve"> </w:t>
      </w:r>
      <w:r>
        <w:rPr>
          <w:color w:val="1C1C1C"/>
        </w:rPr>
        <w:t>Parliament's Rules of Procedure (notably Rules 228 and 233).</w:t>
      </w:r>
    </w:p>
    <w:p w:rsidR="00527AAF">
      <w:pPr>
        <w:pStyle w:val="BodyText"/>
        <w:spacing w:before="8"/>
      </w:pPr>
    </w:p>
    <w:p w:rsidR="00527AAF">
      <w:pPr>
        <w:pStyle w:val="BodyText"/>
        <w:ind w:left="82" w:right="662" w:firstLine="7"/>
        <w:jc w:val="both"/>
      </w:pPr>
      <w:r>
        <w:rPr>
          <w:color w:val="1C1C1C"/>
        </w:rPr>
        <w:t>Petitions fulfilling the admissibility criteria are examined by the PETI Committee through exchanges of views, hearings, or requests for information addressed to the European Commission or other relevant authorities. The Committee meets regularly, typically for two days each</w:t>
      </w:r>
      <w:r>
        <w:rPr>
          <w:color w:val="1C1C1C"/>
          <w:spacing w:val="-3"/>
        </w:rPr>
        <w:t xml:space="preserve"> </w:t>
      </w:r>
      <w:r>
        <w:rPr>
          <w:color w:val="1C1C1C"/>
        </w:rPr>
        <w:t>month, providing a structured forum in</w:t>
      </w:r>
      <w:r>
        <w:rPr>
          <w:color w:val="1C1C1C"/>
          <w:spacing w:val="-3"/>
        </w:rPr>
        <w:t xml:space="preserve"> </w:t>
      </w:r>
      <w:r>
        <w:rPr>
          <w:color w:val="1C1C1C"/>
        </w:rPr>
        <w:t>which petitioners may present their cases, engage directly with Members, and hear the views of the Commission. These meetings are public, webstreamed,</w:t>
      </w:r>
      <w:r>
        <w:rPr>
          <w:color w:val="1C1C1C"/>
          <w:spacing w:val="36"/>
        </w:rPr>
        <w:t xml:space="preserve"> </w:t>
      </w:r>
      <w:r>
        <w:rPr>
          <w:color w:val="1C1C1C"/>
        </w:rPr>
        <w:t>and interpreted in accordance with</w:t>
      </w:r>
      <w:r>
        <w:rPr>
          <w:color w:val="1C1C1C"/>
          <w:spacing w:val="-4"/>
        </w:rPr>
        <w:t xml:space="preserve"> </w:t>
      </w:r>
      <w:r>
        <w:rPr>
          <w:color w:val="1C1C1C"/>
        </w:rPr>
        <w:t>Members' linguistic needs.</w:t>
      </w:r>
    </w:p>
    <w:p w:rsidR="00527AAF">
      <w:pPr>
        <w:pStyle w:val="BodyText"/>
        <w:spacing w:before="251"/>
        <w:ind w:left="77" w:right="663" w:firstLine="7"/>
        <w:jc w:val="both"/>
      </w:pPr>
      <w:r>
        <w:rPr>
          <w:color w:val="1C1C1C"/>
        </w:rPr>
        <w:t>While issues arising from petitions may, in certain cases, be brought to the plenary through reports, debates or resolutions, there is no automatic or structured pathway leading from a petition to a plenary debate. Any such consideration depends on subsequent political and procedural decisions.</w:t>
      </w:r>
    </w:p>
    <w:p w:rsidR="00527AAF">
      <w:pPr>
        <w:pStyle w:val="BodyText"/>
        <w:spacing w:before="8"/>
      </w:pPr>
    </w:p>
    <w:p w:rsidR="00527AAF">
      <w:pPr>
        <w:pStyle w:val="BodyText"/>
        <w:ind w:left="72" w:right="666" w:firstLine="2"/>
        <w:jc w:val="both"/>
      </w:pPr>
      <w:r>
        <w:rPr>
          <w:color w:val="1C1C1C"/>
        </w:rPr>
        <w:t>More broadly, the organisation of plenary business in the European Parliament differs from that of some national parliaments. The</w:t>
      </w:r>
      <w:r>
        <w:rPr>
          <w:color w:val="1C1C1C"/>
          <w:spacing w:val="-2"/>
        </w:rPr>
        <w:t xml:space="preserve"> </w:t>
      </w:r>
      <w:r>
        <w:rPr>
          <w:color w:val="1C1C1C"/>
        </w:rPr>
        <w:t>draft agenda for</w:t>
      </w:r>
      <w:r>
        <w:rPr>
          <w:color w:val="1C1C1C"/>
          <w:spacing w:val="-5"/>
        </w:rPr>
        <w:t xml:space="preserve"> </w:t>
      </w:r>
      <w:r>
        <w:rPr>
          <w:color w:val="1C1C1C"/>
        </w:rPr>
        <w:t>each</w:t>
      </w:r>
      <w:r>
        <w:rPr>
          <w:color w:val="1C1C1C"/>
          <w:spacing w:val="-7"/>
        </w:rPr>
        <w:t xml:space="preserve"> </w:t>
      </w:r>
      <w:r>
        <w:rPr>
          <w:color w:val="1C1C1C"/>
        </w:rPr>
        <w:t>part-session is prepared by the Conference of Presidents, which brings together the President of Parliament and the</w:t>
      </w:r>
      <w:r>
        <w:rPr>
          <w:color w:val="1C1C1C"/>
          <w:spacing w:val="-3"/>
        </w:rPr>
        <w:t xml:space="preserve"> </w:t>
      </w:r>
      <w:r>
        <w:rPr>
          <w:color w:val="1C1C1C"/>
        </w:rPr>
        <w:t xml:space="preserve">Chairs of the political groups, with the votes of the latter weighted in proportion to </w:t>
      </w:r>
      <w:r>
        <w:rPr>
          <w:color w:val="313131"/>
        </w:rPr>
        <w:t xml:space="preserve">the </w:t>
      </w:r>
      <w:r>
        <w:rPr>
          <w:color w:val="1C1C1C"/>
        </w:rPr>
        <w:t xml:space="preserve">number of Members </w:t>
      </w:r>
      <w:r>
        <w:rPr>
          <w:color w:val="313131"/>
        </w:rPr>
        <w:t>in</w:t>
      </w:r>
      <w:r>
        <w:rPr>
          <w:color w:val="313131"/>
          <w:spacing w:val="-8"/>
        </w:rPr>
        <w:t xml:space="preserve"> </w:t>
      </w:r>
      <w:r>
        <w:rPr>
          <w:color w:val="1C1C1C"/>
        </w:rPr>
        <w:t>each</w:t>
      </w:r>
      <w:r>
        <w:rPr>
          <w:color w:val="1C1C1C"/>
          <w:spacing w:val="-1"/>
        </w:rPr>
        <w:t xml:space="preserve"> </w:t>
      </w:r>
      <w:r>
        <w:rPr>
          <w:color w:val="1C1C1C"/>
        </w:rPr>
        <w:t>group. The agenda is</w:t>
      </w:r>
      <w:r>
        <w:rPr>
          <w:color w:val="1C1C1C"/>
          <w:spacing w:val="-4"/>
        </w:rPr>
        <w:t xml:space="preserve"> </w:t>
      </w:r>
      <w:r>
        <w:rPr>
          <w:color w:val="1C1C1C"/>
        </w:rPr>
        <w:t>then adopted by Parliament at</w:t>
      </w:r>
      <w:r>
        <w:rPr>
          <w:color w:val="1C1C1C"/>
          <w:spacing w:val="-6"/>
        </w:rPr>
        <w:t xml:space="preserve"> </w:t>
      </w:r>
      <w:r>
        <w:rPr>
          <w:color w:val="1C1C1C"/>
        </w:rPr>
        <w:t>the</w:t>
      </w:r>
      <w:r>
        <w:rPr>
          <w:color w:val="1C1C1C"/>
          <w:spacing w:val="-3"/>
        </w:rPr>
        <w:t xml:space="preserve"> </w:t>
      </w:r>
      <w:r>
        <w:rPr>
          <w:color w:val="1C1C1C"/>
        </w:rPr>
        <w:t>beginning of</w:t>
      </w:r>
      <w:r>
        <w:rPr>
          <w:color w:val="1C1C1C"/>
          <w:spacing w:val="-2"/>
        </w:rPr>
        <w:t xml:space="preserve"> </w:t>
      </w:r>
      <w:r>
        <w:rPr>
          <w:color w:val="1C1C1C"/>
        </w:rPr>
        <w:t>each part-session (Rules 163 and 164 of the Rules of Procedure). As a result, the scheduling of debates is</w:t>
      </w:r>
      <w:r>
        <w:rPr>
          <w:color w:val="1C1C1C"/>
          <w:spacing w:val="-5"/>
        </w:rPr>
        <w:t xml:space="preserve"> </w:t>
      </w:r>
      <w:r>
        <w:rPr>
          <w:color w:val="1C1C1C"/>
        </w:rPr>
        <w:t>determined collectively through the political groups. There is</w:t>
      </w:r>
      <w:r>
        <w:rPr>
          <w:color w:val="1C1C1C"/>
          <w:spacing w:val="-1"/>
        </w:rPr>
        <w:t xml:space="preserve"> </w:t>
      </w:r>
      <w:r>
        <w:rPr>
          <w:color w:val="1C1C1C"/>
        </w:rPr>
        <w:t>therefore no</w:t>
      </w:r>
      <w:r>
        <w:rPr>
          <w:color w:val="1C1C1C"/>
          <w:spacing w:val="-2"/>
        </w:rPr>
        <w:t xml:space="preserve"> </w:t>
      </w:r>
      <w:r>
        <w:rPr>
          <w:color w:val="1C1C1C"/>
        </w:rPr>
        <w:t>system of guaranteed or regularly allocated time for debates initiated by individual Members, committees, or e-petitions, nor an equivalent to the arrangements in the United Kingdom, under which dedicated bodies may allocate time for such debates.</w:t>
      </w:r>
    </w:p>
    <w:p w:rsidR="00527AAF">
      <w:pPr>
        <w:pStyle w:val="BodyText"/>
        <w:jc w:val="both"/>
        <w:sectPr>
          <w:type w:val="continuous"/>
          <w:pgSz w:w="11940" w:h="16860"/>
          <w:pgMar w:top="740" w:right="708" w:bottom="280" w:left="1417" w:header="720" w:footer="720" w:gutter="0"/>
          <w:cols w:space="720"/>
        </w:sectPr>
      </w:pPr>
    </w:p>
    <w:p w:rsidR="00527AAF" w:rsidP="00BF60DB">
      <w:pPr>
        <w:spacing w:before="76" w:line="254" w:lineRule="auto"/>
        <w:ind w:left="338" w:right="86"/>
        <w:jc w:val="both"/>
        <w:rPr>
          <w:sz w:val="21"/>
        </w:rPr>
      </w:pPr>
      <w:r>
        <w:rPr>
          <w:color w:val="1C1C1C"/>
          <w:w w:val="105"/>
          <w:sz w:val="21"/>
        </w:rPr>
        <w:t>European</w:t>
      </w:r>
      <w:r>
        <w:rPr>
          <w:color w:val="1C1C1C"/>
          <w:spacing w:val="-1"/>
          <w:w w:val="105"/>
          <w:sz w:val="21"/>
        </w:rPr>
        <w:t xml:space="preserve"> </w:t>
      </w:r>
      <w:r>
        <w:rPr>
          <w:color w:val="1C1C1C"/>
          <w:w w:val="105"/>
          <w:sz w:val="21"/>
        </w:rPr>
        <w:t>Citizens'</w:t>
      </w:r>
      <w:r>
        <w:rPr>
          <w:color w:val="1C1C1C"/>
          <w:spacing w:val="-4"/>
          <w:w w:val="105"/>
          <w:sz w:val="21"/>
        </w:rPr>
        <w:t xml:space="preserve"> </w:t>
      </w:r>
      <w:r>
        <w:rPr>
          <w:color w:val="1C1C1C"/>
          <w:w w:val="105"/>
          <w:sz w:val="21"/>
        </w:rPr>
        <w:t>Initiatives</w:t>
      </w:r>
      <w:r>
        <w:rPr>
          <w:color w:val="1C1C1C"/>
          <w:spacing w:val="-1"/>
          <w:w w:val="105"/>
          <w:sz w:val="21"/>
        </w:rPr>
        <w:t xml:space="preserve"> </w:t>
      </w:r>
      <w:r>
        <w:rPr>
          <w:color w:val="1C1C1C"/>
          <w:w w:val="105"/>
          <w:sz w:val="21"/>
        </w:rPr>
        <w:t>constitute a</w:t>
      </w:r>
      <w:r>
        <w:rPr>
          <w:color w:val="1C1C1C"/>
          <w:spacing w:val="-11"/>
          <w:w w:val="105"/>
          <w:sz w:val="21"/>
        </w:rPr>
        <w:t xml:space="preserve"> </w:t>
      </w:r>
      <w:r>
        <w:rPr>
          <w:color w:val="1C1C1C"/>
          <w:w w:val="105"/>
          <w:sz w:val="21"/>
        </w:rPr>
        <w:t>distinct</w:t>
      </w:r>
      <w:r>
        <w:rPr>
          <w:color w:val="1C1C1C"/>
          <w:spacing w:val="-7"/>
          <w:w w:val="105"/>
          <w:sz w:val="21"/>
        </w:rPr>
        <w:t xml:space="preserve"> </w:t>
      </w:r>
      <w:r>
        <w:rPr>
          <w:color w:val="1C1C1C"/>
          <w:w w:val="105"/>
          <w:sz w:val="21"/>
        </w:rPr>
        <w:t xml:space="preserve">participatory </w:t>
      </w:r>
      <w:r>
        <w:rPr>
          <w:color w:val="313131"/>
          <w:w w:val="105"/>
          <w:sz w:val="21"/>
        </w:rPr>
        <w:t xml:space="preserve">instrument. </w:t>
      </w:r>
      <w:r>
        <w:rPr>
          <w:color w:val="1C1C1C"/>
          <w:w w:val="105"/>
          <w:sz w:val="21"/>
        </w:rPr>
        <w:t>Where</w:t>
      </w:r>
      <w:r>
        <w:rPr>
          <w:color w:val="1C1C1C"/>
          <w:spacing w:val="-8"/>
          <w:w w:val="105"/>
          <w:sz w:val="21"/>
        </w:rPr>
        <w:t xml:space="preserve"> </w:t>
      </w:r>
      <w:r>
        <w:rPr>
          <w:color w:val="1C1C1C"/>
          <w:w w:val="105"/>
          <w:sz w:val="21"/>
        </w:rPr>
        <w:t>an</w:t>
      </w:r>
      <w:r>
        <w:rPr>
          <w:color w:val="1C1C1C"/>
          <w:spacing w:val="-16"/>
          <w:w w:val="105"/>
          <w:sz w:val="21"/>
        </w:rPr>
        <w:t xml:space="preserve"> </w:t>
      </w:r>
      <w:r>
        <w:rPr>
          <w:color w:val="1C1C1C"/>
          <w:w w:val="105"/>
          <w:sz w:val="21"/>
        </w:rPr>
        <w:t>initiative meets the applicable requirements and is examined by the European Commission, it gives rise</w:t>
      </w:r>
      <w:r>
        <w:rPr>
          <w:color w:val="1C1C1C"/>
          <w:spacing w:val="-11"/>
          <w:w w:val="105"/>
          <w:sz w:val="21"/>
        </w:rPr>
        <w:t xml:space="preserve"> </w:t>
      </w:r>
      <w:r>
        <w:rPr>
          <w:color w:val="1C1C1C"/>
          <w:w w:val="105"/>
          <w:sz w:val="21"/>
        </w:rPr>
        <w:t>to</w:t>
      </w:r>
      <w:r>
        <w:rPr>
          <w:color w:val="1C1C1C"/>
          <w:spacing w:val="-4"/>
          <w:w w:val="105"/>
          <w:sz w:val="21"/>
        </w:rPr>
        <w:t xml:space="preserve"> </w:t>
      </w:r>
      <w:r>
        <w:rPr>
          <w:color w:val="1C1C1C"/>
          <w:w w:val="105"/>
          <w:sz w:val="21"/>
        </w:rPr>
        <w:t>a</w:t>
      </w:r>
      <w:r>
        <w:rPr>
          <w:color w:val="1C1C1C"/>
          <w:spacing w:val="-7"/>
          <w:w w:val="105"/>
          <w:sz w:val="21"/>
        </w:rPr>
        <w:t xml:space="preserve"> </w:t>
      </w:r>
      <w:r>
        <w:rPr>
          <w:color w:val="1C1C1C"/>
          <w:w w:val="105"/>
          <w:sz w:val="21"/>
        </w:rPr>
        <w:t>public</w:t>
      </w:r>
      <w:r>
        <w:rPr>
          <w:color w:val="1C1C1C"/>
          <w:spacing w:val="-1"/>
          <w:w w:val="105"/>
          <w:sz w:val="21"/>
        </w:rPr>
        <w:t xml:space="preserve"> </w:t>
      </w:r>
      <w:r>
        <w:rPr>
          <w:color w:val="1C1C1C"/>
          <w:w w:val="105"/>
          <w:sz w:val="21"/>
        </w:rPr>
        <w:t>hearing in</w:t>
      </w:r>
      <w:r>
        <w:rPr>
          <w:color w:val="1C1C1C"/>
          <w:spacing w:val="-15"/>
          <w:w w:val="105"/>
          <w:sz w:val="21"/>
        </w:rPr>
        <w:t xml:space="preserve"> </w:t>
      </w:r>
      <w:r>
        <w:rPr>
          <w:color w:val="1C1C1C"/>
          <w:w w:val="105"/>
          <w:sz w:val="21"/>
        </w:rPr>
        <w:t>Parliament and</w:t>
      </w:r>
      <w:r>
        <w:rPr>
          <w:color w:val="1C1C1C"/>
          <w:spacing w:val="-10"/>
          <w:w w:val="105"/>
          <w:sz w:val="21"/>
        </w:rPr>
        <w:t xml:space="preserve"> </w:t>
      </w:r>
      <w:r>
        <w:rPr>
          <w:color w:val="1C1C1C"/>
          <w:w w:val="105"/>
          <w:sz w:val="21"/>
        </w:rPr>
        <w:t>may</w:t>
      </w:r>
      <w:r>
        <w:rPr>
          <w:color w:val="1C1C1C"/>
          <w:spacing w:val="-6"/>
          <w:w w:val="105"/>
          <w:sz w:val="21"/>
        </w:rPr>
        <w:t xml:space="preserve"> </w:t>
      </w:r>
      <w:r>
        <w:rPr>
          <w:color w:val="1C1C1C"/>
          <w:w w:val="105"/>
          <w:sz w:val="21"/>
        </w:rPr>
        <w:t>be</w:t>
      </w:r>
      <w:r>
        <w:rPr>
          <w:color w:val="1C1C1C"/>
          <w:spacing w:val="-13"/>
          <w:w w:val="105"/>
          <w:sz w:val="21"/>
        </w:rPr>
        <w:t xml:space="preserve"> </w:t>
      </w:r>
      <w:r>
        <w:rPr>
          <w:color w:val="1C1C1C"/>
          <w:w w:val="105"/>
          <w:sz w:val="21"/>
        </w:rPr>
        <w:t>followed by</w:t>
      </w:r>
      <w:r>
        <w:rPr>
          <w:color w:val="1C1C1C"/>
          <w:spacing w:val="-5"/>
          <w:w w:val="105"/>
          <w:sz w:val="21"/>
        </w:rPr>
        <w:t xml:space="preserve"> </w:t>
      </w:r>
      <w:r>
        <w:rPr>
          <w:color w:val="1C1C1C"/>
          <w:w w:val="105"/>
          <w:sz w:val="21"/>
        </w:rPr>
        <w:t>plenary consideration,</w:t>
      </w:r>
      <w:r>
        <w:rPr>
          <w:color w:val="1C1C1C"/>
          <w:spacing w:val="-12"/>
          <w:w w:val="105"/>
          <w:sz w:val="21"/>
        </w:rPr>
        <w:t xml:space="preserve"> </w:t>
      </w:r>
      <w:r>
        <w:rPr>
          <w:color w:val="1C1C1C"/>
          <w:w w:val="105"/>
          <w:sz w:val="21"/>
        </w:rPr>
        <w:t>including a debate and/or a resolution.</w:t>
      </w:r>
    </w:p>
    <w:p w:rsidR="00527AAF">
      <w:pPr>
        <w:pStyle w:val="BodyText"/>
        <w:spacing w:before="3"/>
        <w:rPr>
          <w:sz w:val="21"/>
        </w:rPr>
      </w:pPr>
    </w:p>
    <w:p w:rsidR="00527AAF">
      <w:pPr>
        <w:spacing w:before="1" w:line="252" w:lineRule="auto"/>
        <w:ind w:left="331" w:right="81" w:firstLine="6"/>
        <w:jc w:val="both"/>
        <w:rPr>
          <w:sz w:val="21"/>
        </w:rPr>
      </w:pPr>
      <w:r>
        <w:rPr>
          <w:color w:val="1C1C1C"/>
          <w:w w:val="105"/>
          <w:sz w:val="21"/>
        </w:rPr>
        <w:t>Over</w:t>
      </w:r>
      <w:r>
        <w:rPr>
          <w:color w:val="1C1C1C"/>
          <w:spacing w:val="-10"/>
          <w:w w:val="105"/>
          <w:sz w:val="21"/>
        </w:rPr>
        <w:t xml:space="preserve"> </w:t>
      </w:r>
      <w:r>
        <w:rPr>
          <w:color w:val="1C1C1C"/>
          <w:w w:val="105"/>
          <w:sz w:val="21"/>
        </w:rPr>
        <w:t>time,</w:t>
      </w:r>
      <w:r>
        <w:rPr>
          <w:color w:val="1C1C1C"/>
          <w:spacing w:val="-11"/>
          <w:w w:val="105"/>
          <w:sz w:val="21"/>
        </w:rPr>
        <w:t xml:space="preserve"> </w:t>
      </w:r>
      <w:r>
        <w:rPr>
          <w:color w:val="1C1C1C"/>
          <w:w w:val="105"/>
          <w:sz w:val="21"/>
        </w:rPr>
        <w:t>the</w:t>
      </w:r>
      <w:r>
        <w:rPr>
          <w:color w:val="1C1C1C"/>
          <w:spacing w:val="-5"/>
          <w:w w:val="105"/>
          <w:sz w:val="21"/>
        </w:rPr>
        <w:t xml:space="preserve"> </w:t>
      </w:r>
      <w:r>
        <w:rPr>
          <w:color w:val="1C1C1C"/>
          <w:w w:val="105"/>
          <w:sz w:val="21"/>
        </w:rPr>
        <w:t>organisation of</w:t>
      </w:r>
      <w:r>
        <w:rPr>
          <w:color w:val="1C1C1C"/>
          <w:spacing w:val="-12"/>
          <w:w w:val="105"/>
          <w:sz w:val="21"/>
        </w:rPr>
        <w:t xml:space="preserve"> </w:t>
      </w:r>
      <w:r>
        <w:rPr>
          <w:color w:val="1C1C1C"/>
          <w:w w:val="105"/>
          <w:sz w:val="21"/>
        </w:rPr>
        <w:t>parliamentary business,</w:t>
      </w:r>
      <w:r>
        <w:rPr>
          <w:color w:val="1C1C1C"/>
          <w:spacing w:val="-1"/>
          <w:w w:val="105"/>
          <w:sz w:val="21"/>
        </w:rPr>
        <w:t xml:space="preserve"> </w:t>
      </w:r>
      <w:r>
        <w:rPr>
          <w:color w:val="1C1C1C"/>
          <w:w w:val="105"/>
          <w:sz w:val="21"/>
        </w:rPr>
        <w:t>including</w:t>
      </w:r>
      <w:r>
        <w:rPr>
          <w:color w:val="1C1C1C"/>
          <w:spacing w:val="-4"/>
          <w:w w:val="105"/>
          <w:sz w:val="21"/>
        </w:rPr>
        <w:t xml:space="preserve"> </w:t>
      </w:r>
      <w:r>
        <w:rPr>
          <w:color w:val="1C1C1C"/>
          <w:w w:val="105"/>
          <w:sz w:val="21"/>
        </w:rPr>
        <w:t>the</w:t>
      </w:r>
      <w:r>
        <w:rPr>
          <w:color w:val="1C1C1C"/>
          <w:spacing w:val="-11"/>
          <w:w w:val="105"/>
          <w:sz w:val="21"/>
        </w:rPr>
        <w:t xml:space="preserve"> </w:t>
      </w:r>
      <w:r>
        <w:rPr>
          <w:color w:val="1C1C1C"/>
          <w:w w:val="105"/>
          <w:sz w:val="21"/>
        </w:rPr>
        <w:t>handling of</w:t>
      </w:r>
      <w:r>
        <w:rPr>
          <w:color w:val="1C1C1C"/>
          <w:spacing w:val="-12"/>
          <w:w w:val="105"/>
          <w:sz w:val="21"/>
        </w:rPr>
        <w:t xml:space="preserve"> </w:t>
      </w:r>
      <w:r>
        <w:rPr>
          <w:color w:val="1C1C1C"/>
          <w:w w:val="105"/>
          <w:sz w:val="21"/>
        </w:rPr>
        <w:t>petitions,</w:t>
      </w:r>
      <w:r>
        <w:rPr>
          <w:color w:val="1C1C1C"/>
          <w:spacing w:val="-1"/>
          <w:w w:val="105"/>
          <w:sz w:val="21"/>
        </w:rPr>
        <w:t xml:space="preserve"> </w:t>
      </w:r>
      <w:r>
        <w:rPr>
          <w:color w:val="1C1C1C"/>
          <w:w w:val="105"/>
          <w:sz w:val="21"/>
        </w:rPr>
        <w:t>has evolved, notably with the development of the European Parliament's Petitions Portal, which facilitates the submission and follow-up of e-petitions. Discussions on further enhancing the visibility, efficiency and impact of petitions procedures take place periodically, including as regards procedural and digital aspects.</w:t>
      </w:r>
    </w:p>
    <w:p w:rsidR="00527AAF">
      <w:pPr>
        <w:pStyle w:val="BodyText"/>
        <w:spacing w:before="18"/>
        <w:rPr>
          <w:sz w:val="21"/>
        </w:rPr>
      </w:pPr>
    </w:p>
    <w:p w:rsidR="00527AAF" w:rsidP="00BF60DB">
      <w:pPr>
        <w:spacing w:before="1" w:line="252" w:lineRule="auto"/>
        <w:ind w:left="336" w:right="80" w:hanging="4"/>
        <w:jc w:val="both"/>
        <w:rPr>
          <w:color w:val="1C1C1C"/>
          <w:w w:val="105"/>
          <w:sz w:val="21"/>
        </w:rPr>
      </w:pPr>
      <w:r>
        <w:rPr>
          <w:color w:val="1C1C1C"/>
          <w:w w:val="105"/>
          <w:sz w:val="21"/>
        </w:rPr>
        <w:t>I</w:t>
      </w:r>
      <w:r>
        <w:rPr>
          <w:color w:val="1C1C1C"/>
          <w:spacing w:val="-9"/>
          <w:w w:val="105"/>
          <w:sz w:val="21"/>
        </w:rPr>
        <w:t xml:space="preserve"> </w:t>
      </w:r>
      <w:r>
        <w:rPr>
          <w:color w:val="1C1C1C"/>
          <w:w w:val="105"/>
          <w:sz w:val="21"/>
        </w:rPr>
        <w:t>hope</w:t>
      </w:r>
      <w:r>
        <w:rPr>
          <w:color w:val="1C1C1C"/>
          <w:spacing w:val="-7"/>
          <w:w w:val="105"/>
          <w:sz w:val="21"/>
        </w:rPr>
        <w:t xml:space="preserve"> </w:t>
      </w:r>
      <w:r>
        <w:rPr>
          <w:color w:val="1C1C1C"/>
          <w:w w:val="105"/>
          <w:sz w:val="21"/>
        </w:rPr>
        <w:t>that</w:t>
      </w:r>
      <w:r>
        <w:rPr>
          <w:color w:val="1C1C1C"/>
          <w:spacing w:val="-2"/>
          <w:w w:val="105"/>
          <w:sz w:val="21"/>
        </w:rPr>
        <w:t xml:space="preserve"> </w:t>
      </w:r>
      <w:r>
        <w:rPr>
          <w:color w:val="1C1C1C"/>
          <w:w w:val="105"/>
          <w:sz w:val="21"/>
        </w:rPr>
        <w:t>this</w:t>
      </w:r>
      <w:r>
        <w:rPr>
          <w:color w:val="1C1C1C"/>
          <w:spacing w:val="-11"/>
          <w:w w:val="105"/>
          <w:sz w:val="21"/>
        </w:rPr>
        <w:t xml:space="preserve"> </w:t>
      </w:r>
      <w:r>
        <w:rPr>
          <w:color w:val="1C1C1C"/>
          <w:w w:val="105"/>
          <w:sz w:val="21"/>
        </w:rPr>
        <w:t>information</w:t>
      </w:r>
      <w:r>
        <w:rPr>
          <w:color w:val="1C1C1C"/>
          <w:spacing w:val="-7"/>
          <w:w w:val="105"/>
          <w:sz w:val="21"/>
        </w:rPr>
        <w:t xml:space="preserve"> </w:t>
      </w:r>
      <w:r>
        <w:rPr>
          <w:color w:val="1C1C1C"/>
          <w:w w:val="105"/>
          <w:sz w:val="21"/>
        </w:rPr>
        <w:t>proves</w:t>
      </w:r>
      <w:r>
        <w:rPr>
          <w:color w:val="1C1C1C"/>
          <w:spacing w:val="-6"/>
          <w:w w:val="105"/>
          <w:sz w:val="21"/>
        </w:rPr>
        <w:t xml:space="preserve"> </w:t>
      </w:r>
      <w:r>
        <w:rPr>
          <w:color w:val="1C1C1C"/>
          <w:w w:val="105"/>
          <w:sz w:val="21"/>
        </w:rPr>
        <w:t>useful</w:t>
      </w:r>
      <w:r>
        <w:rPr>
          <w:color w:val="1C1C1C"/>
          <w:spacing w:val="-7"/>
          <w:w w:val="105"/>
          <w:sz w:val="21"/>
        </w:rPr>
        <w:t xml:space="preserve"> </w:t>
      </w:r>
      <w:r>
        <w:rPr>
          <w:color w:val="1C1C1C"/>
          <w:w w:val="105"/>
          <w:sz w:val="21"/>
        </w:rPr>
        <w:t>for</w:t>
      </w:r>
      <w:r>
        <w:rPr>
          <w:color w:val="1C1C1C"/>
          <w:spacing w:val="-3"/>
          <w:w w:val="105"/>
          <w:sz w:val="21"/>
        </w:rPr>
        <w:t xml:space="preserve"> </w:t>
      </w:r>
      <w:r>
        <w:rPr>
          <w:color w:val="1C1C1C"/>
          <w:w w:val="105"/>
          <w:sz w:val="21"/>
        </w:rPr>
        <w:t>your</w:t>
      </w:r>
      <w:r>
        <w:rPr>
          <w:color w:val="1C1C1C"/>
          <w:spacing w:val="-7"/>
          <w:w w:val="105"/>
          <w:sz w:val="21"/>
        </w:rPr>
        <w:t xml:space="preserve"> </w:t>
      </w:r>
      <w:r>
        <w:rPr>
          <w:color w:val="1C1C1C"/>
          <w:w w:val="105"/>
          <w:sz w:val="21"/>
        </w:rPr>
        <w:t>inquiry.</w:t>
      </w:r>
      <w:r>
        <w:rPr>
          <w:color w:val="1C1C1C"/>
          <w:spacing w:val="-2"/>
          <w:w w:val="105"/>
          <w:sz w:val="21"/>
        </w:rPr>
        <w:t xml:space="preserve"> </w:t>
      </w:r>
      <w:r>
        <w:rPr>
          <w:color w:val="1C1C1C"/>
          <w:w w:val="105"/>
          <w:sz w:val="21"/>
        </w:rPr>
        <w:t>Please</w:t>
      </w:r>
      <w:r>
        <w:rPr>
          <w:color w:val="1C1C1C"/>
          <w:spacing w:val="-3"/>
          <w:w w:val="105"/>
          <w:sz w:val="21"/>
        </w:rPr>
        <w:t xml:space="preserve"> </w:t>
      </w:r>
      <w:r>
        <w:rPr>
          <w:color w:val="1C1C1C"/>
          <w:w w:val="105"/>
          <w:sz w:val="21"/>
        </w:rPr>
        <w:t>do</w:t>
      </w:r>
      <w:r>
        <w:rPr>
          <w:color w:val="1C1C1C"/>
          <w:spacing w:val="-10"/>
          <w:w w:val="105"/>
          <w:sz w:val="21"/>
        </w:rPr>
        <w:t xml:space="preserve"> </w:t>
      </w:r>
      <w:r>
        <w:rPr>
          <w:color w:val="1C1C1C"/>
          <w:w w:val="105"/>
          <w:sz w:val="21"/>
        </w:rPr>
        <w:t>not</w:t>
      </w:r>
      <w:r>
        <w:rPr>
          <w:color w:val="1C1C1C"/>
          <w:spacing w:val="-4"/>
          <w:w w:val="105"/>
          <w:sz w:val="21"/>
        </w:rPr>
        <w:t xml:space="preserve"> </w:t>
      </w:r>
      <w:r>
        <w:rPr>
          <w:color w:val="1C1C1C"/>
          <w:w w:val="105"/>
          <w:sz w:val="21"/>
        </w:rPr>
        <w:t>hesitate to</w:t>
      </w:r>
      <w:r>
        <w:rPr>
          <w:color w:val="1C1C1C"/>
          <w:spacing w:val="-6"/>
          <w:w w:val="105"/>
          <w:sz w:val="21"/>
        </w:rPr>
        <w:t xml:space="preserve"> </w:t>
      </w:r>
      <w:r>
        <w:rPr>
          <w:color w:val="1C1C1C"/>
          <w:w w:val="105"/>
          <w:sz w:val="21"/>
        </w:rPr>
        <w:t>contact us should you require any further clarification.</w:t>
      </w:r>
    </w:p>
    <w:p w:rsidR="00BF60DB" w:rsidP="00BF60DB">
      <w:pPr>
        <w:spacing w:before="1" w:line="252" w:lineRule="auto"/>
        <w:ind w:left="336" w:right="80" w:hanging="4"/>
        <w:jc w:val="both"/>
        <w:rPr>
          <w:color w:val="1C1C1C"/>
          <w:w w:val="105"/>
          <w:sz w:val="21"/>
        </w:rPr>
      </w:pPr>
    </w:p>
    <w:p w:rsidR="00BF60DB" w:rsidRPr="00D819D5" w:rsidP="00BF60DB">
      <w:pPr>
        <w:jc w:val="right"/>
        <w:rPr>
          <w:rFonts w:ascii="Calibri" w:eastAsia="Aptos" w:hAnsi="Calibri" w:cs="Calibri"/>
          <w:b/>
          <w:bCs/>
          <w:i/>
          <w:iCs/>
        </w:rPr>
      </w:pPr>
      <w:r>
        <w:rPr>
          <w:rFonts w:ascii="Calibri" w:eastAsia="Aptos" w:hAnsi="Calibri" w:cs="Calibri"/>
          <w:b/>
          <w:bCs/>
          <w:i/>
          <w:iCs/>
        </w:rPr>
        <w:t>May</w:t>
      </w:r>
      <w:r w:rsidRPr="00D819D5">
        <w:rPr>
          <w:rFonts w:ascii="Calibri" w:eastAsia="Aptos" w:hAnsi="Calibri" w:cs="Calibri"/>
          <w:b/>
          <w:bCs/>
          <w:i/>
          <w:iCs/>
        </w:rPr>
        <w:t xml:space="preserve"> 2026</w:t>
      </w:r>
    </w:p>
    <w:p w:rsidR="00BF60DB" w:rsidP="00BF60DB">
      <w:pPr>
        <w:spacing w:before="1" w:line="252" w:lineRule="auto"/>
        <w:ind w:left="336" w:right="80" w:hanging="4"/>
        <w:jc w:val="both"/>
        <w:rPr>
          <w:sz w:val="21"/>
        </w:rPr>
      </w:pPr>
    </w:p>
    <w:sectPr>
      <w:pgSz w:w="12040" w:h="16920"/>
      <w:pgMar w:top="1860" w:right="1417"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1"/>
      <w:ind w:left="34"/>
      <w:outlineLvl w:val="0"/>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60DB"/>
    <w:pPr>
      <w:tabs>
        <w:tab w:val="center" w:pos="4513"/>
        <w:tab w:val="right" w:pos="9026"/>
      </w:tabs>
    </w:pPr>
  </w:style>
  <w:style w:type="character" w:customStyle="1" w:styleId="HeaderChar">
    <w:name w:val="Header Char"/>
    <w:basedOn w:val="DefaultParagraphFont"/>
    <w:link w:val="Header"/>
    <w:uiPriority w:val="99"/>
    <w:rsid w:val="00BF60DB"/>
    <w:rPr>
      <w:rFonts w:ascii="Arial" w:eastAsia="Arial" w:hAnsi="Arial" w:cs="Arial"/>
    </w:rPr>
  </w:style>
  <w:style w:type="paragraph" w:styleId="Footer">
    <w:name w:val="footer"/>
    <w:basedOn w:val="Normal"/>
    <w:link w:val="FooterChar"/>
    <w:uiPriority w:val="99"/>
    <w:unhideWhenUsed/>
    <w:rsid w:val="00BF60DB"/>
    <w:pPr>
      <w:tabs>
        <w:tab w:val="center" w:pos="4513"/>
        <w:tab w:val="right" w:pos="9026"/>
      </w:tabs>
    </w:pPr>
  </w:style>
  <w:style w:type="character" w:customStyle="1" w:styleId="FooterChar">
    <w:name w:val="Footer Char"/>
    <w:basedOn w:val="DefaultParagraphFont"/>
    <w:link w:val="Footer"/>
    <w:uiPriority w:val="99"/>
    <w:rsid w:val="00BF60D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BBB0015</dc:title>
  <cp:revision>0</cp:revision>
</cp:coreProperties>
</file>