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7426" w:rsidP="007359E9">
      <w:pPr>
        <w:spacing w:after="0"/>
        <w:rPr>
          <w:rFonts w:ascii="Verdana" w:hAnsi="Verdana"/>
          <w:b/>
          <w:bCs/>
          <w:sz w:val="28"/>
          <w:szCs w:val="28"/>
        </w:rPr>
      </w:pPr>
      <w:r>
        <w:rPr>
          <w:rFonts w:ascii="Verdana" w:hAnsi="Verdana"/>
          <w:b/>
          <w:bCs/>
          <w:sz w:val="28"/>
          <w:szCs w:val="28"/>
        </w:rPr>
        <w:t>Diane Beale, Hayley Field, Kellyjo Marsh, and Sarah Mayfield – Written Evidence (CVX0062)</w:t>
      </w:r>
    </w:p>
    <w:p w:rsidR="00687426" w:rsidRPr="00AB3102" w:rsidP="007359E9">
      <w:pPr>
        <w:spacing w:after="0"/>
        <w:rPr>
          <w:rFonts w:ascii="Verdana" w:hAnsi="Verdana"/>
          <w:b/>
          <w:bCs/>
          <w:sz w:val="28"/>
          <w:szCs w:val="28"/>
        </w:rPr>
      </w:pPr>
    </w:p>
    <w:p w:rsidR="00687426" w:rsidRPr="00AB3102" w:rsidP="004F3C89">
      <w:pPr>
        <w:spacing w:after="120" w:line="20" w:lineRule="atLeast"/>
        <w:rPr>
          <w:rFonts w:ascii="Verdana" w:hAnsi="Verdana"/>
          <w:sz w:val="22"/>
          <w:szCs w:val="22"/>
        </w:rPr>
      </w:pPr>
      <w:r w:rsidRPr="00AB3102">
        <w:rPr>
          <w:rFonts w:ascii="Verdana" w:hAnsi="Verdana"/>
          <w:sz w:val="22"/>
          <w:szCs w:val="22"/>
        </w:rPr>
        <w:t xml:space="preserve">This submission has </w:t>
      </w:r>
      <w:r w:rsidRPr="00AB3102">
        <w:rPr>
          <w:rFonts w:ascii="Verdana" w:hAnsi="Verdana"/>
          <w:sz w:val="22"/>
          <w:szCs w:val="22"/>
        </w:rPr>
        <w:t>being</w:t>
      </w:r>
      <w:r w:rsidRPr="00AB3102">
        <w:rPr>
          <w:rFonts w:ascii="Verdana" w:hAnsi="Verdana"/>
          <w:sz w:val="22"/>
          <w:szCs w:val="22"/>
        </w:rPr>
        <w:t xml:space="preserve"> collated from multiple colleagues within the NHS England, Midlands Vaccination, Contributors have a working experience of commissioning and delivery of vaccinations with expertise in the Clinical practice, Public Health and data flow and exchange with vaccination pathways. This evidence provided is based on work experience. Contributors are </w:t>
      </w:r>
    </w:p>
    <w:p w:rsidR="00687426" w:rsidRPr="00AB3102" w:rsidP="004F3C89">
      <w:pPr>
        <w:pStyle w:val="ListParagraph"/>
        <w:numPr>
          <w:ilvl w:val="0"/>
          <w:numId w:val="4"/>
        </w:numPr>
        <w:spacing w:after="120" w:line="20" w:lineRule="atLeast"/>
        <w:contextualSpacing w:val="0"/>
        <w:rPr>
          <w:rFonts w:ascii="Verdana" w:hAnsi="Verdana"/>
          <w:sz w:val="22"/>
          <w:szCs w:val="22"/>
        </w:rPr>
      </w:pPr>
      <w:r w:rsidRPr="00AB3102">
        <w:rPr>
          <w:rFonts w:ascii="Verdana" w:hAnsi="Verdana"/>
          <w:sz w:val="22"/>
          <w:szCs w:val="22"/>
        </w:rPr>
        <w:t>Diane Beale – Vaccination Coordinator</w:t>
      </w:r>
    </w:p>
    <w:p w:rsidR="00687426" w:rsidRPr="00AB3102" w:rsidP="004F3C89">
      <w:pPr>
        <w:pStyle w:val="ListParagraph"/>
        <w:numPr>
          <w:ilvl w:val="0"/>
          <w:numId w:val="4"/>
        </w:numPr>
        <w:spacing w:after="120" w:line="20" w:lineRule="atLeast"/>
        <w:contextualSpacing w:val="0"/>
        <w:rPr>
          <w:rFonts w:ascii="Verdana" w:hAnsi="Verdana"/>
          <w:sz w:val="22"/>
          <w:szCs w:val="22"/>
        </w:rPr>
      </w:pPr>
      <w:r w:rsidRPr="00AB3102">
        <w:rPr>
          <w:rFonts w:ascii="Verdana" w:hAnsi="Verdana"/>
          <w:sz w:val="22"/>
          <w:szCs w:val="22"/>
        </w:rPr>
        <w:t>Hayley Field – Vaccination Manager</w:t>
      </w:r>
    </w:p>
    <w:p w:rsidR="00687426" w:rsidRPr="00AB3102" w:rsidP="004F3C89">
      <w:pPr>
        <w:pStyle w:val="ListParagraph"/>
        <w:numPr>
          <w:ilvl w:val="0"/>
          <w:numId w:val="4"/>
        </w:numPr>
        <w:spacing w:after="120" w:line="20" w:lineRule="atLeast"/>
        <w:contextualSpacing w:val="0"/>
        <w:rPr>
          <w:rFonts w:ascii="Verdana" w:hAnsi="Verdana"/>
          <w:sz w:val="22"/>
          <w:szCs w:val="22"/>
        </w:rPr>
      </w:pPr>
      <w:r w:rsidRPr="00AB3102">
        <w:rPr>
          <w:rFonts w:ascii="Verdana" w:hAnsi="Verdana"/>
          <w:sz w:val="22"/>
          <w:szCs w:val="22"/>
        </w:rPr>
        <w:t>Kellyjo Marsh - Covid 19 Project Manager</w:t>
      </w:r>
    </w:p>
    <w:p w:rsidR="00687426" w:rsidRPr="00AB3102" w:rsidP="004F3C89">
      <w:pPr>
        <w:pStyle w:val="ListParagraph"/>
        <w:numPr>
          <w:ilvl w:val="0"/>
          <w:numId w:val="4"/>
        </w:numPr>
        <w:spacing w:after="120" w:line="20" w:lineRule="atLeast"/>
        <w:contextualSpacing w:val="0"/>
        <w:rPr>
          <w:rFonts w:ascii="Verdana" w:hAnsi="Verdana"/>
          <w:sz w:val="22"/>
          <w:szCs w:val="22"/>
        </w:rPr>
      </w:pPr>
      <w:r w:rsidRPr="00AB3102">
        <w:rPr>
          <w:rFonts w:ascii="Verdana" w:hAnsi="Verdana"/>
          <w:sz w:val="22"/>
          <w:szCs w:val="22"/>
        </w:rPr>
        <w:t>Sarah Mayfield – Senior Vaccination Manager</w:t>
      </w:r>
    </w:p>
    <w:p w:rsidR="00687426" w:rsidRPr="00AB3102" w:rsidP="007359E9">
      <w:pPr>
        <w:pStyle w:val="ListParagraph"/>
        <w:rPr>
          <w:rFonts w:ascii="Verdana" w:hAnsi="Verdana"/>
          <w:sz w:val="22"/>
          <w:szCs w:val="22"/>
        </w:rPr>
      </w:pPr>
    </w:p>
    <w:p w:rsidR="00687426" w:rsidRPr="00AB3102" w:rsidP="004F3C89">
      <w:pPr>
        <w:pStyle w:val="ListParagraph"/>
        <w:numPr>
          <w:ilvl w:val="0"/>
          <w:numId w:val="3"/>
        </w:numPr>
        <w:spacing w:after="120" w:line="20" w:lineRule="atLeast"/>
        <w:ind w:left="357" w:hanging="357"/>
        <w:contextualSpacing w:val="0"/>
        <w:rPr>
          <w:rFonts w:ascii="Verdana" w:hAnsi="Verdana"/>
          <w:b/>
          <w:bCs/>
          <w:sz w:val="22"/>
          <w:szCs w:val="22"/>
        </w:rPr>
      </w:pPr>
      <w:r w:rsidRPr="00AB3102">
        <w:rPr>
          <w:rFonts w:ascii="Verdana" w:hAnsi="Verdana"/>
          <w:b/>
          <w:bCs/>
          <w:sz w:val="22"/>
          <w:szCs w:val="22"/>
        </w:rPr>
        <w:t>Why has childhood vaccination coverage been declining in England, and why are there disparities in coverage? What is the relative importance of different factors (such as access to healthcare and attitudes to vaccination) and how is this changing over time?</w:t>
      </w:r>
    </w:p>
    <w:p w:rsidR="00687426" w:rsidRPr="00AB3102" w:rsidP="004F3C89">
      <w:pPr>
        <w:pStyle w:val="ListParagraph"/>
        <w:spacing w:after="120" w:line="20" w:lineRule="atLeast"/>
        <w:ind w:left="357"/>
        <w:contextualSpacing w:val="0"/>
        <w:rPr>
          <w:rFonts w:ascii="Verdana" w:hAnsi="Verdana"/>
          <w:sz w:val="22"/>
          <w:szCs w:val="22"/>
        </w:rPr>
      </w:pPr>
      <w:r w:rsidRPr="00AB3102">
        <w:rPr>
          <w:rFonts w:ascii="Verdana" w:hAnsi="Verdana"/>
          <w:sz w:val="22"/>
          <w:szCs w:val="22"/>
        </w:rPr>
        <w:t xml:space="preserve">We wonder if there is any correlation between the decline in Health Visitors (HV) and School Nurses (SN) </w:t>
      </w:r>
      <w:r w:rsidRPr="00AB3102">
        <w:rPr>
          <w:rFonts w:ascii="Verdana" w:hAnsi="Verdana"/>
          <w:sz w:val="22"/>
          <w:szCs w:val="22"/>
        </w:rPr>
        <w:t>to fewer childhood vaccinations being given. With inadequate numbers of healthcare professionals available, there is less communication with parents and limited support for vaccination delivery. Previously, HVs held baby clinics to administer vaccines, and SNs followed up on unimmunised children when starting school, but this process no longer takes place due to capacity issues.</w:t>
      </w:r>
    </w:p>
    <w:p w:rsidR="00687426" w:rsidRPr="00AB3102" w:rsidP="004F3C89">
      <w:pPr>
        <w:spacing w:after="120" w:line="20" w:lineRule="atLeast"/>
        <w:ind w:left="357"/>
        <w:rPr>
          <w:rFonts w:ascii="Verdana" w:hAnsi="Verdana" w:eastAsiaTheme="minorEastAsia"/>
          <w:sz w:val="22"/>
          <w:szCs w:val="22"/>
        </w:rPr>
      </w:pPr>
      <w:r w:rsidRPr="00AB3102">
        <w:rPr>
          <w:rFonts w:ascii="Verdana" w:hAnsi="Verdana"/>
          <w:sz w:val="22"/>
          <w:szCs w:val="22"/>
        </w:rPr>
        <w:t>As mentioned in Q3, a</w:t>
      </w:r>
      <w:r w:rsidRPr="00AB3102">
        <w:rPr>
          <w:rFonts w:ascii="Verdana" w:hAnsi="Verdana"/>
          <w:sz w:val="22"/>
          <w:szCs w:val="22"/>
        </w:rPr>
        <w:t xml:space="preserve"> significant challenge in the delivery of childhood vaccination programmes is the lack of accessible, local face-to-face immunisation training for healthcare professionals. This gap has important implications for the effectiveness and consistency of vaccination delivery at the local level.</w:t>
      </w:r>
    </w:p>
    <w:p w:rsidR="00687426" w:rsidRPr="00AB3102" w:rsidP="004F3C89">
      <w:pPr>
        <w:spacing w:after="120" w:line="20" w:lineRule="atLeast"/>
        <w:ind w:left="357"/>
        <w:rPr>
          <w:rFonts w:ascii="Verdana" w:hAnsi="Verdana"/>
          <w:sz w:val="22"/>
          <w:szCs w:val="22"/>
        </w:rPr>
      </w:pPr>
      <w:r w:rsidRPr="00AB3102">
        <w:rPr>
          <w:rFonts w:ascii="Verdana" w:hAnsi="Verdana"/>
          <w:sz w:val="22"/>
          <w:szCs w:val="22"/>
        </w:rPr>
        <w:t xml:space="preserve">Screening and Vaccination Teams possess a wealth of valuable intelligence regarding practical delivery issues, recurring incidents, and the barriers faced by providers. Leveraging these insights can help to improve the relevance and impact of local vaccination training, ensuring that it directly addresses the real-world challenges encountered by those administering vaccines. </w:t>
      </w:r>
    </w:p>
    <w:p w:rsidR="00687426" w:rsidRPr="00AB3102" w:rsidP="004F3C89">
      <w:pPr>
        <w:spacing w:after="120" w:line="20" w:lineRule="atLeast"/>
        <w:ind w:left="357"/>
        <w:rPr>
          <w:rFonts w:ascii="Verdana" w:hAnsi="Verdana"/>
          <w:sz w:val="22"/>
          <w:szCs w:val="22"/>
        </w:rPr>
      </w:pPr>
      <w:r w:rsidRPr="00AB3102">
        <w:rPr>
          <w:rFonts w:ascii="Verdana" w:hAnsi="Verdana"/>
          <w:sz w:val="22"/>
          <w:szCs w:val="22"/>
        </w:rPr>
        <w:t xml:space="preserve">To strengthen the quality of vaccination services, it is essential that this intelligence is regularly incorporated into local training programmes. Furthermore, there should be a mandatory requirement for all healthcare professionals involved in vaccinations to attend annual training updates. This approach will help to maintain high standards, promote best practice, and </w:t>
      </w:r>
      <w:r w:rsidRPr="00AB3102">
        <w:rPr>
          <w:rFonts w:ascii="Verdana" w:hAnsi="Verdana"/>
          <w:sz w:val="22"/>
          <w:szCs w:val="22"/>
        </w:rPr>
        <w:t>ensure that frontline staff are equipped with the latest knowledge and skills needed to overcome barriers and deliver effective immunisation.</w:t>
      </w:r>
    </w:p>
    <w:p w:rsidR="00687426" w:rsidRPr="00AB3102" w:rsidP="004F3C89">
      <w:pPr>
        <w:spacing w:after="120" w:line="20" w:lineRule="atLeast"/>
        <w:ind w:left="357"/>
        <w:rPr>
          <w:rFonts w:ascii="Verdana" w:hAnsi="Verdana"/>
          <w:sz w:val="22"/>
          <w:szCs w:val="22"/>
        </w:rPr>
      </w:pPr>
      <w:r w:rsidRPr="00AB3102">
        <w:rPr>
          <w:rFonts w:ascii="Verdana" w:hAnsi="Verdana"/>
          <w:sz w:val="22"/>
          <w:szCs w:val="22"/>
        </w:rPr>
        <w:t xml:space="preserve">Screening and Vaccination Teams have been part of multiple reorganisations since 2013, with the geographical area expanding, it has been difficult for providers to understand where the vaccination expertise which is provided be this team can be found and to maintain a local perspective when managing a broader area. </w:t>
      </w:r>
      <w:r w:rsidRPr="00AB3102">
        <w:rPr>
          <w:rFonts w:ascii="Verdana" w:hAnsi="Verdana"/>
          <w:sz w:val="22"/>
          <w:szCs w:val="22"/>
        </w:rPr>
        <w:t xml:space="preserve">With the movement to ICB commissioning vaccination </w:t>
      </w:r>
      <w:r w:rsidRPr="00AB3102">
        <w:rPr>
          <w:rFonts w:ascii="Verdana" w:hAnsi="Verdana"/>
          <w:sz w:val="22"/>
          <w:szCs w:val="22"/>
        </w:rPr>
        <w:t xml:space="preserve">programmes and the creation of OPIC from 2027 it will be an ideally time to strengthen the roles and responsibility of these teams with providers and where the expertise can be found </w:t>
      </w:r>
    </w:p>
    <w:p w:rsidR="00687426" w:rsidP="004F3C89">
      <w:pPr>
        <w:spacing w:after="120" w:line="20" w:lineRule="atLeast"/>
        <w:ind w:left="358"/>
        <w:rPr>
          <w:rFonts w:ascii="Verdana" w:hAnsi="Verdana"/>
          <w:sz w:val="22"/>
          <w:szCs w:val="22"/>
        </w:rPr>
      </w:pPr>
      <w:r w:rsidRPr="00AB3102">
        <w:rPr>
          <w:rFonts w:ascii="Verdana" w:hAnsi="Verdana"/>
          <w:sz w:val="22"/>
          <w:szCs w:val="22"/>
        </w:rPr>
        <w:t xml:space="preserve">Investigation </w:t>
      </w:r>
      <w:r w:rsidRPr="00AB3102">
        <w:rPr>
          <w:rFonts w:ascii="Verdana" w:hAnsi="Verdana"/>
          <w:sz w:val="22"/>
          <w:szCs w:val="22"/>
        </w:rPr>
        <w:t>in to</w:t>
      </w:r>
      <w:r w:rsidRPr="00AB3102">
        <w:rPr>
          <w:rFonts w:ascii="Verdana" w:hAnsi="Verdana"/>
          <w:sz w:val="22"/>
          <w:szCs w:val="22"/>
        </w:rPr>
        <w:t xml:space="preserve"> evidence from the devolved nations within the UK, as well as international comparators including France and Portugal, appears to suggest</w:t>
      </w:r>
      <w:r w:rsidRPr="00AB3102">
        <w:rPr>
          <w:rFonts w:ascii="Verdana" w:hAnsi="Verdana"/>
          <w:sz w:val="22"/>
          <w:szCs w:val="22"/>
        </w:rPr>
        <w:t xml:space="preserve"> a single national vaccination programme supported by a centralised digital registry, clear national leadership and messaging, very high trust in the health system, and vaccination being widely understood as a social norm rather than a discretionary choice. International and devolved UK comparisons show that England’s declining childhood vaccination coverage reflects system design rather than just parental reluctance. Wales, Scotland, France, Spain and Portugal all achieve high infant uptake through integra</w:t>
      </w:r>
      <w:r w:rsidRPr="00AB3102">
        <w:rPr>
          <w:rFonts w:ascii="Verdana" w:hAnsi="Verdana"/>
          <w:sz w:val="22"/>
          <w:szCs w:val="22"/>
        </w:rPr>
        <w:t>ted child health records, strong early</w:t>
      </w:r>
      <w:r w:rsidRPr="00AB3102">
        <w:rPr>
          <w:rFonts w:ascii="Verdana" w:hAnsi="Verdana"/>
          <w:sz w:val="22"/>
          <w:szCs w:val="22"/>
        </w:rPr>
        <w:noBreakHyphen/>
        <w:t>years services, clear accountability and proactive recall. England’s fragmented data systems, reduced health visiting capacity and split commissioning responsibilities weaken follow</w:t>
      </w:r>
      <w:r w:rsidRPr="00AB3102">
        <w:rPr>
          <w:rFonts w:ascii="Verdana" w:hAnsi="Verdana"/>
          <w:sz w:val="22"/>
          <w:szCs w:val="22"/>
        </w:rPr>
        <w:noBreakHyphen/>
        <w:t xml:space="preserve">through, particularly for second doses and preschool vaccinations. Improving coverage in England therefore requires system reform, not simply awareness campaigns or changes in parental behaviour.  </w:t>
      </w:r>
    </w:p>
    <w:p w:rsidR="00687426" w:rsidRPr="00AB3102" w:rsidP="004F3C89">
      <w:pPr>
        <w:spacing w:after="120" w:line="20" w:lineRule="atLeast"/>
        <w:ind w:left="357"/>
        <w:rPr>
          <w:rFonts w:ascii="Verdana" w:hAnsi="Verdana"/>
          <w:sz w:val="22"/>
          <w:szCs w:val="22"/>
        </w:rPr>
      </w:pPr>
    </w:p>
    <w:p w:rsidR="00687426" w:rsidRPr="00AB3102" w:rsidP="004F3C89">
      <w:pPr>
        <w:pStyle w:val="ListParagraph"/>
        <w:numPr>
          <w:ilvl w:val="0"/>
          <w:numId w:val="3"/>
        </w:numPr>
        <w:spacing w:after="120" w:line="20" w:lineRule="atLeast"/>
        <w:ind w:left="357" w:hanging="357"/>
        <w:contextualSpacing w:val="0"/>
        <w:rPr>
          <w:rFonts w:ascii="Verdana" w:hAnsi="Verdana"/>
          <w:b/>
          <w:bCs/>
          <w:sz w:val="22"/>
          <w:szCs w:val="22"/>
        </w:rPr>
      </w:pPr>
      <w:r w:rsidRPr="00AB3102">
        <w:rPr>
          <w:rFonts w:ascii="Verdana" w:hAnsi="Verdana"/>
          <w:b/>
          <w:bCs/>
          <w:sz w:val="22"/>
          <w:szCs w:val="22"/>
        </w:rPr>
        <w:t>What would be the best ways to improve childhood vaccination coverage and reduce disparities?</w:t>
      </w:r>
    </w:p>
    <w:p w:rsidR="00687426" w:rsidRPr="007359E9" w:rsidP="004F3C89">
      <w:pPr>
        <w:spacing w:after="120" w:line="20" w:lineRule="atLeast"/>
        <w:ind w:left="357"/>
        <w:rPr>
          <w:rFonts w:ascii="Verdana" w:hAnsi="Verdana"/>
          <w:sz w:val="22"/>
          <w:szCs w:val="22"/>
          <w:u w:val="single"/>
        </w:rPr>
      </w:pPr>
      <w:r w:rsidRPr="007359E9">
        <w:rPr>
          <w:rFonts w:ascii="Verdana" w:hAnsi="Verdana"/>
          <w:sz w:val="22"/>
          <w:szCs w:val="22"/>
          <w:u w:val="single"/>
        </w:rPr>
        <w:t>Access to vaccine records</w:t>
      </w:r>
    </w:p>
    <w:p w:rsidR="00687426" w:rsidRPr="00AB3102" w:rsidP="004F3C89">
      <w:pPr>
        <w:spacing w:after="120" w:line="20" w:lineRule="atLeast"/>
        <w:ind w:left="357"/>
        <w:rPr>
          <w:rFonts w:ascii="Verdana" w:hAnsi="Verdana"/>
          <w:sz w:val="22"/>
          <w:szCs w:val="22"/>
        </w:rPr>
      </w:pPr>
      <w:r w:rsidRPr="00AB3102">
        <w:rPr>
          <w:rFonts w:ascii="Verdana" w:hAnsi="Verdana"/>
          <w:sz w:val="22"/>
          <w:szCs w:val="22"/>
        </w:rPr>
        <w:t>Unlike many other vaccination programme where there has been an extension to the available providers, to allow the offer for childhood vaccination it is a must to understand an individual’s</w:t>
      </w:r>
      <w:r w:rsidRPr="00AB3102">
        <w:rPr>
          <w:rFonts w:ascii="Verdana" w:hAnsi="Verdana"/>
          <w:sz w:val="22"/>
          <w:szCs w:val="22"/>
        </w:rPr>
        <w:t xml:space="preserve"> vaccination history, this is currently only available to the GP Practice or to those that have access to the Child Health Information System, even then previous research has shown that at times these systems are incompletely and differ from each other. To enable the extension of providers we would need to develop either a single vaccination record which can be both accessed and updated by all providers or a single method of distributing vaccination data input on to any system to ensure a Single</w:t>
      </w:r>
      <w:r w:rsidRPr="00AB3102">
        <w:rPr>
          <w:rFonts w:ascii="Verdana" w:hAnsi="Verdana"/>
          <w:sz w:val="22"/>
          <w:szCs w:val="22"/>
        </w:rPr>
        <w:t xml:space="preserve"> version of a vaccination history on all clinical records.</w:t>
      </w:r>
    </w:p>
    <w:p w:rsidR="00687426" w:rsidRPr="007359E9" w:rsidP="004F3C89">
      <w:pPr>
        <w:spacing w:after="120" w:line="20" w:lineRule="atLeast"/>
        <w:ind w:left="357"/>
        <w:rPr>
          <w:rFonts w:ascii="Verdana" w:hAnsi="Verdana"/>
          <w:sz w:val="22"/>
          <w:szCs w:val="22"/>
          <w:u w:val="single"/>
        </w:rPr>
      </w:pPr>
      <w:r w:rsidRPr="007359E9">
        <w:rPr>
          <w:rFonts w:ascii="Verdana" w:hAnsi="Verdana"/>
          <w:sz w:val="22"/>
          <w:szCs w:val="22"/>
          <w:u w:val="single"/>
        </w:rPr>
        <w:t xml:space="preserve">Target outreach </w:t>
      </w:r>
    </w:p>
    <w:p w:rsidR="00687426" w:rsidRPr="00AB3102" w:rsidP="004F3C89">
      <w:pPr>
        <w:spacing w:after="120" w:line="20" w:lineRule="atLeast"/>
        <w:ind w:left="357"/>
        <w:rPr>
          <w:rFonts w:ascii="Verdana" w:hAnsi="Verdana"/>
          <w:sz w:val="22"/>
          <w:szCs w:val="22"/>
        </w:rPr>
      </w:pPr>
      <w:r w:rsidRPr="00AB3102">
        <w:rPr>
          <w:rFonts w:ascii="Verdana" w:hAnsi="Verdana"/>
          <w:sz w:val="22"/>
          <w:szCs w:val="22"/>
        </w:rPr>
        <w:t>We understand from the most recent parental attitudes surveys carried out by UK Health Security Agency in 2025 that that we have around 1% of parents which ‘</w:t>
      </w:r>
      <w:r w:rsidRPr="00AB3102">
        <w:rPr>
          <w:rFonts w:ascii="Verdana" w:hAnsi="Verdana"/>
          <w:i/>
          <w:iCs/>
          <w:sz w:val="22"/>
          <w:szCs w:val="22"/>
        </w:rPr>
        <w:t xml:space="preserve">were never going to get their vaccines done’ </w:t>
      </w:r>
      <w:r w:rsidRPr="00AB3102">
        <w:rPr>
          <w:rFonts w:ascii="Verdana" w:hAnsi="Verdana"/>
          <w:sz w:val="22"/>
          <w:szCs w:val="22"/>
        </w:rPr>
        <w:t>and 61% of parents stating they ‘</w:t>
      </w:r>
      <w:r w:rsidRPr="00AB3102">
        <w:rPr>
          <w:rFonts w:ascii="Verdana" w:hAnsi="Verdana"/>
          <w:i/>
          <w:iCs/>
          <w:sz w:val="22"/>
          <w:szCs w:val="22"/>
        </w:rPr>
        <w:t xml:space="preserve">automatically had their child’s immunisation done’ </w:t>
      </w:r>
      <w:r w:rsidRPr="00AB3102">
        <w:rPr>
          <w:rFonts w:ascii="Verdana" w:hAnsi="Verdana"/>
          <w:sz w:val="22"/>
          <w:szCs w:val="22"/>
        </w:rPr>
        <w:t xml:space="preserve">we need to reach out to those currently not engaging. This could be done by improving time and capacity for discussion around vaccinations and </w:t>
      </w:r>
      <w:r w:rsidRPr="00AB3102">
        <w:rPr>
          <w:rFonts w:ascii="Verdana" w:hAnsi="Verdana"/>
          <w:sz w:val="22"/>
          <w:szCs w:val="22"/>
        </w:rPr>
        <w:t>where required taking vaccinations to the family either via a community and/or domiciliary offer.</w:t>
      </w:r>
    </w:p>
    <w:p w:rsidR="00687426" w:rsidRPr="007359E9" w:rsidP="004F3C89">
      <w:pPr>
        <w:spacing w:after="120" w:line="20" w:lineRule="atLeast"/>
        <w:ind w:left="357"/>
        <w:rPr>
          <w:rFonts w:ascii="Verdana" w:hAnsi="Verdana"/>
          <w:sz w:val="22"/>
          <w:szCs w:val="22"/>
          <w:u w:val="single"/>
        </w:rPr>
      </w:pPr>
      <w:r w:rsidRPr="007359E9">
        <w:rPr>
          <w:rFonts w:ascii="Verdana" w:hAnsi="Verdana"/>
          <w:sz w:val="22"/>
          <w:szCs w:val="22"/>
          <w:u w:val="single"/>
        </w:rPr>
        <w:t xml:space="preserve">Confident vaccination discussions and supported escalation of queries </w:t>
      </w:r>
    </w:p>
    <w:p w:rsidR="00687426" w:rsidRPr="00AB3102" w:rsidP="004F3C89">
      <w:pPr>
        <w:spacing w:after="120" w:line="20" w:lineRule="atLeast"/>
        <w:ind w:left="357"/>
        <w:rPr>
          <w:rFonts w:ascii="Verdana" w:hAnsi="Verdana"/>
          <w:sz w:val="22"/>
          <w:szCs w:val="22"/>
        </w:rPr>
      </w:pPr>
      <w:r w:rsidRPr="00AB3102">
        <w:rPr>
          <w:rFonts w:ascii="Verdana" w:hAnsi="Verdana"/>
          <w:sz w:val="22"/>
          <w:szCs w:val="22"/>
        </w:rPr>
        <w:t xml:space="preserve">Improve the offer of vaccination training to all services engaging with families from Health Visitors to nursery staff, ensuring that everyone </w:t>
      </w:r>
      <w:r w:rsidRPr="00AB3102">
        <w:rPr>
          <w:rFonts w:ascii="Verdana" w:hAnsi="Verdana"/>
          <w:sz w:val="22"/>
          <w:szCs w:val="22"/>
        </w:rPr>
        <w:t>is able to</w:t>
      </w:r>
      <w:r w:rsidRPr="00AB3102">
        <w:rPr>
          <w:rFonts w:ascii="Verdana" w:hAnsi="Verdana"/>
          <w:sz w:val="22"/>
          <w:szCs w:val="22"/>
        </w:rPr>
        <w:t xml:space="preserve"> have confident conversations about vaccinations sharing the same </w:t>
      </w:r>
      <w:r w:rsidRPr="00AB3102">
        <w:rPr>
          <w:rFonts w:ascii="Verdana" w:hAnsi="Verdana"/>
          <w:sz w:val="22"/>
          <w:szCs w:val="22"/>
        </w:rPr>
        <w:t>factual information</w:t>
      </w:r>
      <w:r w:rsidRPr="00AB3102">
        <w:rPr>
          <w:rFonts w:ascii="Verdana" w:hAnsi="Verdana"/>
          <w:sz w:val="22"/>
          <w:szCs w:val="22"/>
        </w:rPr>
        <w:t>.</w:t>
      </w:r>
    </w:p>
    <w:p w:rsidR="00687426" w:rsidRPr="00AB3102" w:rsidP="004F3C89">
      <w:pPr>
        <w:spacing w:after="120" w:line="20" w:lineRule="atLeast"/>
        <w:ind w:left="357"/>
        <w:rPr>
          <w:rFonts w:ascii="Verdana" w:hAnsi="Verdana"/>
          <w:sz w:val="22"/>
          <w:szCs w:val="22"/>
        </w:rPr>
      </w:pPr>
      <w:r w:rsidRPr="00AB3102">
        <w:rPr>
          <w:rFonts w:ascii="Verdana" w:hAnsi="Verdana"/>
          <w:sz w:val="22"/>
          <w:szCs w:val="22"/>
        </w:rPr>
        <w:t xml:space="preserve">Ensuring that all providers </w:t>
      </w:r>
      <w:r w:rsidRPr="00AB3102">
        <w:rPr>
          <w:rFonts w:ascii="Verdana" w:hAnsi="Verdana"/>
          <w:sz w:val="22"/>
          <w:szCs w:val="22"/>
        </w:rPr>
        <w:t>of vaccinations are aware of the escalation point for clinical queries. In the Midlands, as it is in many other regions, the vaccination team provides expect clinical advice to any query that vaccinators may have. Acting as a central point of advice also enables the team to monitor the types of queries that are being asked which can support training needs in the area. This service needs to be promoted, but to allow this capacity is required in the regional vaccination teams, which in the future with form pa</w:t>
      </w:r>
      <w:r w:rsidRPr="00AB3102">
        <w:rPr>
          <w:rFonts w:ascii="Verdana" w:hAnsi="Verdana"/>
          <w:sz w:val="22"/>
          <w:szCs w:val="22"/>
        </w:rPr>
        <w:t>rt of OPIC</w:t>
      </w:r>
    </w:p>
    <w:p w:rsidR="00687426" w:rsidRPr="007359E9" w:rsidP="004F3C89">
      <w:pPr>
        <w:pStyle w:val="Heading2"/>
        <w:spacing w:before="0" w:after="120" w:line="20" w:lineRule="atLeast"/>
        <w:ind w:left="357"/>
        <w:rPr>
          <w:rFonts w:ascii="Verdana" w:eastAsia="Times New Roman" w:hAnsi="Verdana" w:cs="Arial"/>
          <w:color w:val="auto"/>
          <w:kern w:val="0"/>
          <w:sz w:val="22"/>
          <w:szCs w:val="22"/>
          <w:u w:val="single"/>
        </w:rPr>
      </w:pPr>
      <w:r w:rsidRPr="007359E9">
        <w:rPr>
          <w:rFonts w:ascii="Verdana" w:eastAsia="Times New Roman" w:hAnsi="Verdana" w:cs="Arial"/>
          <w:color w:val="auto"/>
          <w:sz w:val="22"/>
          <w:szCs w:val="22"/>
          <w:u w:val="single"/>
        </w:rPr>
        <w:t>Ensuring Consistent and High-Quality Vaccination Training for Healthcare Professionals</w:t>
      </w:r>
    </w:p>
    <w:p w:rsidR="00687426" w:rsidRPr="00AB3102" w:rsidP="004F3C89">
      <w:pPr>
        <w:spacing w:after="120" w:line="20" w:lineRule="atLeast"/>
        <w:ind w:left="357"/>
        <w:rPr>
          <w:rFonts w:ascii="Verdana" w:hAnsi="Verdana" w:eastAsiaTheme="minorEastAsia"/>
          <w:sz w:val="22"/>
          <w:szCs w:val="22"/>
        </w:rPr>
      </w:pPr>
      <w:r w:rsidRPr="00AB3102">
        <w:rPr>
          <w:rFonts w:ascii="Verdana" w:hAnsi="Verdana"/>
          <w:sz w:val="22"/>
          <w:szCs w:val="22"/>
        </w:rPr>
        <w:t xml:space="preserve">The commissioning of vaccination training for healthcare professionals (HCPs) is currently inconsistent and occurs infrequently. </w:t>
      </w:r>
      <w:r w:rsidRPr="00AB3102">
        <w:rPr>
          <w:rFonts w:ascii="Verdana" w:hAnsi="Verdana"/>
          <w:sz w:val="22"/>
          <w:szCs w:val="22"/>
        </w:rPr>
        <w:t>In order to</w:t>
      </w:r>
      <w:r w:rsidRPr="00AB3102">
        <w:rPr>
          <w:rFonts w:ascii="Verdana" w:hAnsi="Verdana"/>
          <w:sz w:val="22"/>
          <w:szCs w:val="22"/>
        </w:rPr>
        <w:t xml:space="preserve"> address these issues, it is vital to establish clear guidance regarding responsibility for commissioning such training. This guidance should ensure that all training programmes adhere to national minimum standards, while also reflecting local context—as was previously the case when Health Protection Units (HPUs) and Primary Care Trusts (PCTs) managed delivery. Furtherm</w:t>
      </w:r>
      <w:r w:rsidRPr="00AB3102">
        <w:rPr>
          <w:rFonts w:ascii="Verdana" w:hAnsi="Verdana"/>
          <w:sz w:val="22"/>
          <w:szCs w:val="22"/>
        </w:rPr>
        <w:t>ore, it is essential that all personnel involved in administering vaccines or promoting vaccination receive regular updates to maintain their knowledge and skills.</w:t>
      </w:r>
    </w:p>
    <w:p w:rsidR="00687426" w:rsidRPr="00AB3102" w:rsidP="004F3C89">
      <w:pPr>
        <w:spacing w:after="120" w:line="20" w:lineRule="atLeast"/>
        <w:ind w:left="357"/>
        <w:rPr>
          <w:rFonts w:ascii="Verdana" w:hAnsi="Verdana"/>
          <w:sz w:val="22"/>
          <w:szCs w:val="22"/>
        </w:rPr>
      </w:pPr>
      <w:r w:rsidRPr="00AB3102">
        <w:rPr>
          <w:rFonts w:ascii="Verdana" w:hAnsi="Verdana"/>
          <w:sz w:val="22"/>
          <w:szCs w:val="22"/>
        </w:rPr>
        <w:t>Without a sufficiently trained workforce, it is unreasonable to expect those eligible for vaccination to make fully informed decisions regarding their immunisations.</w:t>
      </w:r>
    </w:p>
    <w:p w:rsidR="00687426" w:rsidRPr="007359E9" w:rsidP="004F3C89">
      <w:pPr>
        <w:pStyle w:val="Heading2"/>
        <w:spacing w:before="0" w:after="120" w:line="20" w:lineRule="atLeast"/>
        <w:ind w:left="357"/>
        <w:rPr>
          <w:rFonts w:ascii="Verdana" w:eastAsia="Times New Roman" w:hAnsi="Verdana" w:cs="Arial"/>
          <w:color w:val="auto"/>
          <w:kern w:val="0"/>
          <w:sz w:val="22"/>
          <w:szCs w:val="22"/>
          <w:u w:val="single"/>
        </w:rPr>
      </w:pPr>
      <w:r w:rsidRPr="007359E9">
        <w:rPr>
          <w:rFonts w:ascii="Verdana" w:eastAsia="Times New Roman" w:hAnsi="Verdana" w:cs="Arial"/>
          <w:color w:val="auto"/>
          <w:sz w:val="22"/>
          <w:szCs w:val="22"/>
          <w:u w:val="single"/>
        </w:rPr>
        <w:t>Primary Care: Addressing Resource Needs and Supporting Diverse Communities</w:t>
      </w:r>
    </w:p>
    <w:p w:rsidR="00687426" w:rsidRPr="00AB3102" w:rsidP="004F3C89">
      <w:pPr>
        <w:spacing w:after="120" w:line="20" w:lineRule="atLeast"/>
        <w:ind w:left="357"/>
        <w:rPr>
          <w:rFonts w:ascii="Verdana" w:hAnsi="Verdana" w:eastAsiaTheme="minorEastAsia"/>
          <w:sz w:val="22"/>
          <w:szCs w:val="22"/>
        </w:rPr>
      </w:pPr>
      <w:r w:rsidRPr="00AB3102">
        <w:rPr>
          <w:rFonts w:ascii="Verdana" w:hAnsi="Verdana"/>
          <w:sz w:val="22"/>
          <w:szCs w:val="22"/>
        </w:rPr>
        <w:t xml:space="preserve">Primary care providers require increased resources to effectively deliver vaccination programmes. The demographic profile of each practice can significantly influence its ability to provide timely and efficient immunisation services. Practices serving populations with greater ethnic diversity or those located in areas with low Indices of Multiple Deprivation (IMDs) face particular challenges and often need additional support from local systems. </w:t>
      </w:r>
      <w:r w:rsidRPr="00AB3102">
        <w:rPr>
          <w:rFonts w:ascii="Verdana" w:hAnsi="Verdana"/>
          <w:sz w:val="22"/>
          <w:szCs w:val="22"/>
        </w:rPr>
        <w:t>Targeted funding is essential to address these disparities and enable practices to meet the needs of all patients.</w:t>
      </w:r>
    </w:p>
    <w:p w:rsidR="00687426" w:rsidRPr="00AB3102" w:rsidP="004F3C89">
      <w:pPr>
        <w:spacing w:after="120" w:line="20" w:lineRule="atLeast"/>
        <w:ind w:left="357"/>
        <w:rPr>
          <w:rFonts w:ascii="Verdana" w:hAnsi="Verdana"/>
          <w:sz w:val="22"/>
          <w:szCs w:val="22"/>
        </w:rPr>
      </w:pPr>
      <w:r w:rsidRPr="00AB3102">
        <w:rPr>
          <w:rFonts w:ascii="Verdana" w:hAnsi="Verdana"/>
          <w:sz w:val="22"/>
          <w:szCs w:val="22"/>
        </w:rPr>
        <w:t>Practices located in areas with dedicated outreach vaccination teams tend to achieve improved outcomes, especially among populations that are underserved. Supplementary support through outreach efforts ensures that immunisation coverage is more equitable and effective for those communities most at risk of being underserved.</w:t>
      </w:r>
    </w:p>
    <w:p w:rsidR="00687426" w:rsidRPr="007359E9" w:rsidP="004F3C89">
      <w:pPr>
        <w:spacing w:after="120" w:line="20" w:lineRule="atLeast"/>
        <w:ind w:left="357"/>
        <w:rPr>
          <w:rFonts w:ascii="Verdana" w:hAnsi="Verdana" w:eastAsiaTheme="minorEastAsia"/>
          <w:sz w:val="22"/>
          <w:szCs w:val="22"/>
          <w:u w:val="single"/>
        </w:rPr>
      </w:pPr>
      <w:r w:rsidRPr="007359E9">
        <w:rPr>
          <w:rFonts w:ascii="Verdana" w:hAnsi="Verdana"/>
          <w:sz w:val="22"/>
          <w:szCs w:val="22"/>
          <w:u w:val="single"/>
        </w:rPr>
        <w:t>Staffing consistency and capacity in primary care</w:t>
      </w:r>
    </w:p>
    <w:p w:rsidR="00687426" w:rsidRPr="00AB3102" w:rsidP="004F3C89">
      <w:pPr>
        <w:spacing w:after="120" w:line="20" w:lineRule="atLeast"/>
        <w:ind w:left="357"/>
        <w:rPr>
          <w:rFonts w:ascii="Verdana" w:hAnsi="Verdana"/>
          <w:sz w:val="22"/>
          <w:szCs w:val="22"/>
        </w:rPr>
      </w:pPr>
      <w:r w:rsidRPr="00AB3102">
        <w:rPr>
          <w:rFonts w:ascii="Verdana" w:hAnsi="Verdana"/>
          <w:sz w:val="22"/>
          <w:szCs w:val="22"/>
        </w:rPr>
        <w:t xml:space="preserve">A significant challenge facing the delivery of vaccination programmes in primary care is the shortage of practice nurses. In some practices, the absence of a dedicated practice nurse means that there is limited capacity to administer vaccines, which can impact the effectiveness and timeliness of the vaccination service. Additionally, there are currently no contractual requirements mandating GP practices to employ a General Practice Nurse (GPN), further contributing to inconsistencies in workforce provision </w:t>
      </w:r>
      <w:r w:rsidRPr="00AB3102">
        <w:rPr>
          <w:rFonts w:ascii="Verdana" w:hAnsi="Verdana"/>
          <w:sz w:val="22"/>
          <w:szCs w:val="22"/>
        </w:rPr>
        <w:t xml:space="preserve">across practices. Practices also lack the capacity to cleanse and update patients’ records/vaccination history. This means that many records are incorrect, </w:t>
      </w:r>
      <w:r w:rsidRPr="00AB3102">
        <w:rPr>
          <w:rFonts w:ascii="Verdana" w:hAnsi="Verdana"/>
          <w:sz w:val="22"/>
          <w:szCs w:val="22"/>
        </w:rPr>
        <w:t>families have moved away and are no longer patients at the practice, and this impacts on the call/recall process.</w:t>
      </w:r>
    </w:p>
    <w:p w:rsidR="00687426" w:rsidRPr="00AB3102" w:rsidP="004F3C89">
      <w:pPr>
        <w:spacing w:after="120" w:line="20" w:lineRule="atLeast"/>
        <w:rPr>
          <w:rFonts w:ascii="Verdana" w:hAnsi="Verdana" w:eastAsiaTheme="minorEastAsia"/>
          <w:sz w:val="22"/>
          <w:szCs w:val="22"/>
        </w:rPr>
      </w:pPr>
    </w:p>
    <w:p w:rsidR="00687426" w:rsidRPr="007359E9" w:rsidP="004F3C89">
      <w:pPr>
        <w:spacing w:after="120" w:line="20" w:lineRule="atLeast"/>
        <w:rPr>
          <w:rFonts w:ascii="Verdana" w:hAnsi="Verdana"/>
          <w:b/>
          <w:bCs/>
          <w:sz w:val="22"/>
          <w:szCs w:val="22"/>
        </w:rPr>
      </w:pPr>
      <w:r w:rsidRPr="007359E9">
        <w:rPr>
          <w:rFonts w:ascii="Verdana" w:hAnsi="Verdana"/>
          <w:b/>
          <w:bCs/>
          <w:sz w:val="22"/>
          <w:szCs w:val="22"/>
        </w:rPr>
        <w:t>Overcoming barriers</w:t>
      </w:r>
    </w:p>
    <w:p w:rsidR="00687426" w:rsidRPr="007359E9" w:rsidP="004F3C89">
      <w:pPr>
        <w:pStyle w:val="ListParagraph"/>
        <w:numPr>
          <w:ilvl w:val="0"/>
          <w:numId w:val="5"/>
        </w:numPr>
        <w:spacing w:after="120" w:line="20" w:lineRule="atLeast"/>
        <w:ind w:left="357" w:hanging="357"/>
        <w:contextualSpacing w:val="0"/>
        <w:rPr>
          <w:rFonts w:ascii="Verdana" w:hAnsi="Verdana"/>
          <w:b/>
          <w:bCs/>
          <w:sz w:val="22"/>
          <w:szCs w:val="22"/>
        </w:rPr>
      </w:pPr>
      <w:r w:rsidRPr="007359E9">
        <w:rPr>
          <w:rFonts w:ascii="Verdana" w:hAnsi="Verdana"/>
          <w:b/>
          <w:bCs/>
          <w:sz w:val="22"/>
          <w:szCs w:val="22"/>
        </w:rPr>
        <w:t>How accessible are childhood vaccination services, both for the general population and for people in under-vaccinated groups? What are the main barriers to making childhood vaccination services more accessible for all, and how could those barriers be overcome?</w:t>
      </w:r>
    </w:p>
    <w:p w:rsidR="00687426" w:rsidRPr="007359E9" w:rsidP="004F3C89">
      <w:pPr>
        <w:spacing w:after="120" w:line="20" w:lineRule="atLeast"/>
        <w:ind w:left="357"/>
        <w:rPr>
          <w:rFonts w:ascii="Verdana" w:hAnsi="Verdana"/>
          <w:sz w:val="22"/>
          <w:szCs w:val="22"/>
        </w:rPr>
      </w:pPr>
      <w:r w:rsidRPr="007359E9">
        <w:rPr>
          <w:rFonts w:ascii="Verdana" w:hAnsi="Verdana"/>
          <w:sz w:val="22"/>
          <w:szCs w:val="22"/>
        </w:rPr>
        <w:t xml:space="preserve">For the majority childhood vaccination service are accessed using the current model of delivery via the registered GP Practice, using information collected in the parental attitudes surveys we understand that the number of parents that state </w:t>
      </w:r>
      <w:r w:rsidRPr="007359E9">
        <w:rPr>
          <w:rFonts w:ascii="Verdana" w:hAnsi="Verdana"/>
          <w:sz w:val="22"/>
          <w:szCs w:val="22"/>
        </w:rPr>
        <w:t xml:space="preserve">they ‘were never going to get their vaccines done’ is around 1%, meaning that a large proportion of unvaccinated children are undecided or unable to access. They we need to do something different for those children whether this is </w:t>
      </w:r>
    </w:p>
    <w:p w:rsidR="00687426" w:rsidRPr="007359E9" w:rsidP="004F3C89">
      <w:pPr>
        <w:pStyle w:val="ListParagraph"/>
        <w:numPr>
          <w:ilvl w:val="0"/>
          <w:numId w:val="2"/>
        </w:numPr>
        <w:spacing w:after="120" w:line="20" w:lineRule="atLeast"/>
        <w:ind w:left="1077"/>
        <w:contextualSpacing w:val="0"/>
        <w:rPr>
          <w:rFonts w:ascii="Verdana" w:hAnsi="Verdana"/>
          <w:sz w:val="22"/>
          <w:szCs w:val="22"/>
        </w:rPr>
      </w:pPr>
      <w:r w:rsidRPr="007359E9">
        <w:rPr>
          <w:rFonts w:ascii="Verdana" w:hAnsi="Verdana"/>
          <w:sz w:val="22"/>
          <w:szCs w:val="22"/>
        </w:rPr>
        <w:t xml:space="preserve">Providing more information </w:t>
      </w:r>
    </w:p>
    <w:p w:rsidR="00687426" w:rsidRPr="007359E9" w:rsidP="004F3C89">
      <w:pPr>
        <w:pStyle w:val="ListParagraph"/>
        <w:numPr>
          <w:ilvl w:val="0"/>
          <w:numId w:val="2"/>
        </w:numPr>
        <w:spacing w:after="120" w:line="20" w:lineRule="atLeast"/>
        <w:ind w:left="1077"/>
        <w:contextualSpacing w:val="0"/>
        <w:rPr>
          <w:rFonts w:ascii="Verdana" w:hAnsi="Verdana"/>
          <w:sz w:val="22"/>
          <w:szCs w:val="22"/>
        </w:rPr>
      </w:pPr>
      <w:r w:rsidRPr="007359E9">
        <w:rPr>
          <w:rFonts w:ascii="Verdana" w:hAnsi="Verdana"/>
          <w:sz w:val="22"/>
          <w:szCs w:val="22"/>
        </w:rPr>
        <w:t xml:space="preserve">Allowing time for questions and discussion </w:t>
      </w:r>
    </w:p>
    <w:p w:rsidR="00687426" w:rsidRPr="007359E9" w:rsidP="004F3C89">
      <w:pPr>
        <w:pStyle w:val="ListParagraph"/>
        <w:numPr>
          <w:ilvl w:val="0"/>
          <w:numId w:val="2"/>
        </w:numPr>
        <w:spacing w:after="120" w:line="20" w:lineRule="atLeast"/>
        <w:ind w:left="1077"/>
        <w:contextualSpacing w:val="0"/>
        <w:rPr>
          <w:rFonts w:ascii="Verdana" w:hAnsi="Verdana"/>
          <w:sz w:val="22"/>
          <w:szCs w:val="22"/>
        </w:rPr>
      </w:pPr>
      <w:r w:rsidRPr="007359E9">
        <w:rPr>
          <w:rFonts w:ascii="Verdana" w:hAnsi="Verdana"/>
          <w:sz w:val="22"/>
          <w:szCs w:val="22"/>
        </w:rPr>
        <w:t xml:space="preserve">Offering vaccinations in a different way for those unable to attend the routine model of delivery </w:t>
      </w:r>
    </w:p>
    <w:p w:rsidR="00687426" w:rsidRPr="007359E9" w:rsidP="004F3C89">
      <w:pPr>
        <w:spacing w:after="120" w:line="20" w:lineRule="atLeast"/>
        <w:ind w:left="357"/>
        <w:rPr>
          <w:rFonts w:ascii="Verdana" w:hAnsi="Verdana"/>
          <w:sz w:val="22"/>
          <w:szCs w:val="22"/>
        </w:rPr>
      </w:pPr>
      <w:r w:rsidRPr="007359E9">
        <w:rPr>
          <w:rFonts w:ascii="Verdana" w:hAnsi="Verdana"/>
          <w:sz w:val="22"/>
          <w:szCs w:val="22"/>
        </w:rPr>
        <w:t xml:space="preserve">The many barriers to these are </w:t>
      </w:r>
    </w:p>
    <w:p w:rsidR="00687426" w:rsidRPr="007359E9" w:rsidP="004F3C89">
      <w:pPr>
        <w:spacing w:after="120" w:line="20" w:lineRule="atLeast"/>
        <w:ind w:left="357"/>
        <w:rPr>
          <w:rFonts w:ascii="Verdana" w:hAnsi="Verdana"/>
          <w:sz w:val="22"/>
          <w:szCs w:val="22"/>
        </w:rPr>
      </w:pPr>
      <w:r w:rsidRPr="007359E9">
        <w:rPr>
          <w:rFonts w:ascii="Verdana" w:hAnsi="Verdana"/>
          <w:sz w:val="22"/>
          <w:szCs w:val="22"/>
        </w:rPr>
        <w:t xml:space="preserve">Have data available at a more granular level to understand </w:t>
      </w:r>
      <w:r w:rsidRPr="007359E9">
        <w:rPr>
          <w:rFonts w:ascii="Verdana" w:hAnsi="Verdana"/>
          <w:sz w:val="22"/>
          <w:szCs w:val="22"/>
        </w:rPr>
        <w:t xml:space="preserve">who isn’t accessing vaccinations, which would enable development of services which would be more appropriate for these groups </w:t>
      </w:r>
    </w:p>
    <w:p w:rsidR="00687426" w:rsidRPr="007359E9" w:rsidP="004F3C89">
      <w:pPr>
        <w:spacing w:after="120" w:line="20" w:lineRule="atLeast"/>
        <w:ind w:left="357"/>
        <w:rPr>
          <w:rFonts w:ascii="Verdana" w:hAnsi="Verdana"/>
          <w:sz w:val="22"/>
          <w:szCs w:val="22"/>
        </w:rPr>
      </w:pPr>
      <w:r w:rsidRPr="007359E9">
        <w:rPr>
          <w:rFonts w:ascii="Verdana" w:hAnsi="Verdana"/>
          <w:sz w:val="22"/>
          <w:szCs w:val="22"/>
        </w:rPr>
        <w:t>Funding available for a flexible approach to offering vaccinations, currently funding for childhood vaccinations is focused on vaccinations given, however additional funding needed for additional outreach and invitation to those not currently attending which may not lead to vaccination at that time</w:t>
      </w:r>
    </w:p>
    <w:p w:rsidR="00687426" w:rsidRPr="007359E9" w:rsidP="004F3C89">
      <w:pPr>
        <w:spacing w:after="120" w:line="20" w:lineRule="atLeast"/>
        <w:ind w:left="357"/>
        <w:rPr>
          <w:rFonts w:ascii="Verdana" w:hAnsi="Verdana"/>
          <w:sz w:val="22"/>
          <w:szCs w:val="22"/>
        </w:rPr>
      </w:pPr>
      <w:r w:rsidRPr="007359E9">
        <w:rPr>
          <w:rFonts w:ascii="Verdana" w:hAnsi="Verdana"/>
          <w:sz w:val="22"/>
          <w:szCs w:val="22"/>
        </w:rPr>
        <w:t>One of the main barriers to offering childhood vaccination which is</w:t>
      </w:r>
      <w:r w:rsidRPr="007359E9">
        <w:rPr>
          <w:rFonts w:ascii="Verdana" w:hAnsi="Verdana"/>
          <w:sz w:val="22"/>
          <w:szCs w:val="22"/>
        </w:rPr>
        <w:t xml:space="preserve"> more accessible to under-served groups would be access to complete and timely vaccination history and allowing the recording of the vaccination events which will flow back to all systems which need to be updated. e.g. vaccinating in community models or pharmacy settings.</w:t>
      </w:r>
    </w:p>
    <w:p w:rsidR="00687426" w:rsidRPr="007359E9" w:rsidP="004F3C89">
      <w:pPr>
        <w:spacing w:after="120" w:line="20" w:lineRule="atLeast"/>
        <w:ind w:left="357"/>
        <w:rPr>
          <w:rFonts w:ascii="Verdana" w:hAnsi="Verdana"/>
          <w:kern w:val="0"/>
          <w:sz w:val="22"/>
          <w:szCs w:val="22"/>
        </w:rPr>
      </w:pPr>
      <w:r w:rsidRPr="007359E9">
        <w:rPr>
          <w:rFonts w:ascii="Verdana" w:hAnsi="Verdana"/>
          <w:sz w:val="22"/>
          <w:szCs w:val="22"/>
        </w:rPr>
        <w:t>As mentioned above, a</w:t>
      </w:r>
      <w:r w:rsidRPr="007359E9">
        <w:rPr>
          <w:rFonts w:ascii="Verdana" w:hAnsi="Verdana"/>
          <w:sz w:val="22"/>
          <w:szCs w:val="22"/>
        </w:rPr>
        <w:t xml:space="preserve"> key factor in enhancing the accessibility of childhood vaccination services within General Practice is the need for increased Practice Nurse capacity. By expanding the number of Practice Nurses, General Practices can offer greater flexibility in appointment scheduling, enabling more families to find convenient times for their children’s vaccinations. This flexibility is crucial in ensuring that children receive their vaccinations promptly, reducing delays and helping to maintain high co</w:t>
      </w:r>
      <w:r w:rsidRPr="007359E9">
        <w:rPr>
          <w:rFonts w:ascii="Verdana" w:hAnsi="Verdana"/>
          <w:sz w:val="22"/>
          <w:szCs w:val="22"/>
        </w:rPr>
        <w:t>verage rates. Timely vaccination not only protects individual children but also supports overall community health by minimising gaps in immunisation.</w:t>
      </w:r>
    </w:p>
    <w:p w:rsidR="00687426" w:rsidP="004F3C89">
      <w:pPr>
        <w:spacing w:after="0" w:line="20" w:lineRule="atLeast"/>
        <w:ind w:left="357"/>
        <w:rPr>
          <w:rFonts w:ascii="Verdana" w:hAnsi="Verdana"/>
          <w:sz w:val="22"/>
          <w:szCs w:val="22"/>
        </w:rPr>
      </w:pPr>
      <w:r w:rsidRPr="007359E9">
        <w:rPr>
          <w:rFonts w:ascii="Verdana" w:hAnsi="Verdana"/>
          <w:sz w:val="22"/>
          <w:szCs w:val="22"/>
        </w:rPr>
        <w:t xml:space="preserve">Ensuring that people can easily access their vaccination history, along with clear information about which vaccines they should have received, is a key step in empowering individuals to engage proactively with vaccination services. Rather than relying solely on external prompts or reminders, allowing people to access this information independently supports greater </w:t>
      </w:r>
      <w:r w:rsidRPr="007359E9">
        <w:rPr>
          <w:rFonts w:ascii="Verdana" w:hAnsi="Verdana"/>
          <w:sz w:val="22"/>
          <w:szCs w:val="22"/>
        </w:rPr>
        <w:t xml:space="preserve">autonomy and confidence in managing their healthcare needs. This approach helps facilitate smoother access to childhood vaccination services and </w:t>
      </w:r>
      <w:r w:rsidRPr="007359E9">
        <w:rPr>
          <w:rFonts w:ascii="Verdana" w:hAnsi="Verdana"/>
          <w:sz w:val="22"/>
          <w:szCs w:val="22"/>
        </w:rPr>
        <w:t>encourages uptake among those who may be undecided or unable to attend the routine model of delivery.</w:t>
      </w:r>
    </w:p>
    <w:p w:rsidR="00687426" w:rsidP="007359E9">
      <w:pPr>
        <w:spacing w:after="0"/>
        <w:rPr>
          <w:rFonts w:ascii="Verdana" w:hAnsi="Verdana" w:eastAsiaTheme="minorEastAsia"/>
          <w:sz w:val="22"/>
          <w:szCs w:val="22"/>
        </w:rPr>
      </w:pPr>
    </w:p>
    <w:p w:rsidR="00687426" w:rsidRPr="007359E9" w:rsidP="007359E9">
      <w:pPr>
        <w:spacing w:after="0"/>
        <w:rPr>
          <w:rFonts w:ascii="Verdana" w:hAnsi="Verdana" w:eastAsiaTheme="minorEastAsia"/>
          <w:i/>
          <w:iCs/>
          <w:sz w:val="22"/>
          <w:szCs w:val="22"/>
        </w:rPr>
      </w:pPr>
      <w:r>
        <w:rPr>
          <w:rFonts w:ascii="Verdana" w:hAnsi="Verdana" w:eastAsiaTheme="minorEastAsia"/>
          <w:i/>
          <w:iCs/>
          <w:sz w:val="22"/>
          <w:szCs w:val="22"/>
        </w:rPr>
        <w:t>6 May 2026</w:t>
      </w:r>
    </w:p>
    <w:sectPr w:rsidSect="00AB31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8828D6"/>
    <w:multiLevelType w:val="hybridMultilevel"/>
    <w:tmpl w:val="9D648C32"/>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C4A11E9"/>
    <w:multiLevelType w:val="hybridMultilevel"/>
    <w:tmpl w:val="B42C86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5DBD6AE0"/>
    <w:multiLevelType w:val="hybridMultilevel"/>
    <w:tmpl w:val="CFD0FB1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66715061"/>
    <w:multiLevelType w:val="hybridMultilevel"/>
    <w:tmpl w:val="EDF4556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B8D2576"/>
    <w:multiLevelType w:val="hybridMultilevel"/>
    <w:tmpl w:val="D5C21EE2"/>
    <w:lvl w:ilvl="0">
      <w:start w:val="8"/>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0FAB1FD-57FF-465F-9972-1F43B56DE0E9}"/>
    <w:docVar w:name="dgnword-eventsink" w:val="2836745601008"/>
  </w:docVar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AB65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B65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65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65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65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65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65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65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65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5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65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65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65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65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65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65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65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65FB"/>
    <w:rPr>
      <w:rFonts w:eastAsiaTheme="majorEastAsia" w:cstheme="majorBidi"/>
      <w:color w:val="272727" w:themeColor="text1" w:themeTint="D8"/>
    </w:rPr>
  </w:style>
  <w:style w:type="paragraph" w:styleId="Title">
    <w:name w:val="Title"/>
    <w:basedOn w:val="Normal"/>
    <w:next w:val="Normal"/>
    <w:link w:val="TitleChar"/>
    <w:uiPriority w:val="10"/>
    <w:qFormat/>
    <w:rsid w:val="00AB65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65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65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65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65FB"/>
    <w:pPr>
      <w:spacing w:before="160"/>
      <w:jc w:val="center"/>
    </w:pPr>
    <w:rPr>
      <w:i/>
      <w:iCs/>
      <w:color w:val="404040" w:themeColor="text1" w:themeTint="BF"/>
    </w:rPr>
  </w:style>
  <w:style w:type="character" w:customStyle="1" w:styleId="QuoteChar">
    <w:name w:val="Quote Char"/>
    <w:basedOn w:val="DefaultParagraphFont"/>
    <w:link w:val="Quote"/>
    <w:uiPriority w:val="29"/>
    <w:rsid w:val="00AB65FB"/>
    <w:rPr>
      <w:i/>
      <w:iCs/>
      <w:color w:val="404040" w:themeColor="text1" w:themeTint="BF"/>
    </w:rPr>
  </w:style>
  <w:style w:type="paragraph" w:styleId="ListParagraph">
    <w:name w:val="List Paragraph"/>
    <w:basedOn w:val="Normal"/>
    <w:uiPriority w:val="34"/>
    <w:qFormat/>
    <w:rsid w:val="00AB65FB"/>
    <w:pPr>
      <w:ind w:left="720"/>
      <w:contextualSpacing/>
    </w:pPr>
  </w:style>
  <w:style w:type="character" w:styleId="IntenseEmphasis">
    <w:name w:val="Intense Emphasis"/>
    <w:basedOn w:val="DefaultParagraphFont"/>
    <w:uiPriority w:val="21"/>
    <w:qFormat/>
    <w:rsid w:val="00AB65FB"/>
    <w:rPr>
      <w:i/>
      <w:iCs/>
      <w:color w:val="0F4761" w:themeColor="accent1" w:themeShade="BF"/>
    </w:rPr>
  </w:style>
  <w:style w:type="paragraph" w:styleId="IntenseQuote">
    <w:name w:val="Intense Quote"/>
    <w:basedOn w:val="Normal"/>
    <w:next w:val="Normal"/>
    <w:link w:val="IntenseQuoteChar"/>
    <w:uiPriority w:val="30"/>
    <w:qFormat/>
    <w:rsid w:val="00AB65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65FB"/>
    <w:rPr>
      <w:i/>
      <w:iCs/>
      <w:color w:val="0F4761" w:themeColor="accent1" w:themeShade="BF"/>
    </w:rPr>
  </w:style>
  <w:style w:type="character" w:styleId="IntenseReference">
    <w:name w:val="Intense Reference"/>
    <w:basedOn w:val="DefaultParagraphFont"/>
    <w:uiPriority w:val="32"/>
    <w:qFormat/>
    <w:rsid w:val="00AB65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olderOrder xmlns="eebb7817-0c9e-4e9a-8ee8-09cb727b68d6" xsi:nil="true"/>
    <TaxCatchAll xmlns="d69ecf06-fcd1-43cf-b7f9-53d3d43b3287" xsi:nil="true"/>
    <lcf76f155ced4ddcb4097134ff3c332f xmlns="eebb7817-0c9e-4e9a-8ee8-09cb727b68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7F3FE7125EEDB438C7A8E047FDF2212" ma:contentTypeVersion="10" ma:contentTypeDescription="Create a new document." ma:contentTypeScope="" ma:versionID="b1b5031a91787e69d266a6b049a2cda7">
  <xsd:schema xmlns:xsd="http://www.w3.org/2001/XMLSchema" xmlns:xs="http://www.w3.org/2001/XMLSchema" xmlns:p="http://schemas.microsoft.com/office/2006/metadata/properties" xmlns:ns2="eebb7817-0c9e-4e9a-8ee8-09cb727b68d6" xmlns:ns3="d69ecf06-fcd1-43cf-b7f9-53d3d43b3287" targetNamespace="http://schemas.microsoft.com/office/2006/metadata/properties" ma:root="true" ma:fieldsID="2f5837ab093a9b0d983b43be8287ade1" ns2:_="" ns3:_="">
    <xsd:import namespace="eebb7817-0c9e-4e9a-8ee8-09cb727b68d6"/>
    <xsd:import namespace="d69ecf06-fcd1-43cf-b7f9-53d3d43b3287"/>
    <xsd:element name="properties">
      <xsd:complexType>
        <xsd:sequence>
          <xsd:element name="documentManagement">
            <xsd:complexType>
              <xsd:all>
                <xsd:element ref="ns2:FolderOrder"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bb7817-0c9e-4e9a-8ee8-09cb727b68d6" elementFormDefault="qualified">
    <xsd:import namespace="http://schemas.microsoft.com/office/2006/documentManagement/types"/>
    <xsd:import namespace="http://schemas.microsoft.com/office/infopath/2007/PartnerControls"/>
    <xsd:element name="FolderOrder" ma:index="8" nillable="true" ma:displayName="Folder Order" ma:decimals="0" ma:hidden="true" ma:indexed="true" ma:internalName="FolderOrder" ma:readOnly="false" ma:percentage="FALSE">
      <xsd:simpleType>
        <xsd:restriction base="dms:Number"/>
      </xsd:simpleType>
    </xsd:element>
    <xsd:element name="lcf76f155ced4ddcb4097134ff3c332f" ma:index="9"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9ecf06-fcd1-43cf-b7f9-53d3d43b328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3f87f42-180b-4a0c-8eeb-1e46c6561b9c}" ma:internalName="TaxCatchAll" ma:showField="CatchAllData" ma:web="d69ecf06-fcd1-43cf-b7f9-53d3d43b3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5A80D1-9274-4573-B89B-9AB699151C20}">
  <ds:schemaRefs>
    <ds:schemaRef ds:uri="http://schemas.microsoft.com/sharepoint/v3/contenttype/forms"/>
  </ds:schemaRefs>
</ds:datastoreItem>
</file>

<file path=customXml/itemProps2.xml><?xml version="1.0" encoding="utf-8"?>
<ds:datastoreItem xmlns:ds="http://schemas.openxmlformats.org/officeDocument/2006/customXml" ds:itemID="{E366BEDC-7720-46F2-88AE-8EF41D65BE72}">
  <ds:schemaRefs>
    <ds:schemaRef ds:uri="http://schemas.microsoft.com/office/2006/metadata/properties"/>
    <ds:schemaRef ds:uri="http://schemas.microsoft.com/office/infopath/2007/PartnerControls"/>
    <ds:schemaRef ds:uri="eebb7817-0c9e-4e9a-8ee8-09cb727b68d6"/>
    <ds:schemaRef ds:uri="d69ecf06-fcd1-43cf-b7f9-53d3d43b3287"/>
  </ds:schemaRefs>
</ds:datastoreItem>
</file>

<file path=customXml/itemProps3.xml><?xml version="1.0" encoding="utf-8"?>
<ds:datastoreItem xmlns:ds="http://schemas.openxmlformats.org/officeDocument/2006/customXml" ds:itemID="{71668296-8E24-4F23-AEFC-04B153A0C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bb7817-0c9e-4e9a-8ee8-09cb727b68d6"/>
    <ds:schemaRef ds:uri="d69ecf06-fcd1-43cf-b7f9-53d3d43b3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CVX0062</dc:title>
  <cp:revision>0</cp:revision>
</cp:coreProperties>
</file>