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7440" w:rsidP="003B1AFF">
      <w:pPr>
        <w:pStyle w:val="Title"/>
        <w:jc w:val="left"/>
        <w:rPr>
          <w:rFonts w:ascii="Verdana" w:hAnsi="Verdana"/>
          <w:b/>
          <w:bCs/>
          <w:sz w:val="28"/>
          <w:szCs w:val="28"/>
        </w:rPr>
      </w:pPr>
      <w:r>
        <w:rPr>
          <w:rFonts w:ascii="Verdana" w:hAnsi="Verdana"/>
          <w:b/>
          <w:bCs/>
          <w:sz w:val="28"/>
          <w:szCs w:val="28"/>
        </w:rPr>
        <w:t>NHS England (London Region), UK Health Security Agency, and London School of Hygiene and Tropical Medicine – Written Evidence (CVX0061)</w:t>
      </w:r>
    </w:p>
    <w:p w:rsidR="00997440" w:rsidRPr="00E928D0" w:rsidP="003B1AFF">
      <w:pPr>
        <w:spacing w:after="0"/>
        <w:jc w:val="left"/>
        <w:rPr>
          <w:rFonts w:ascii="Verdana" w:hAnsi="Verdana"/>
          <w:sz w:val="28"/>
          <w:szCs w:val="28"/>
        </w:rPr>
      </w:pPr>
    </w:p>
    <w:p w:rsidR="00997440" w:rsidRPr="00597367" w:rsidP="00E928D0">
      <w:pPr>
        <w:pStyle w:val="Title"/>
        <w:spacing w:after="120" w:line="20" w:lineRule="atLeast"/>
        <w:contextualSpacing w:val="0"/>
        <w:jc w:val="left"/>
        <w:rPr>
          <w:rFonts w:ascii="Verdana" w:hAnsi="Verdana"/>
          <w:b/>
          <w:bCs/>
          <w:sz w:val="22"/>
          <w:szCs w:val="22"/>
        </w:rPr>
      </w:pPr>
      <w:r w:rsidRPr="00597367">
        <w:rPr>
          <w:rFonts w:ascii="Verdana" w:hAnsi="Verdana"/>
          <w:b/>
          <w:bCs/>
          <w:sz w:val="22"/>
          <w:szCs w:val="22"/>
        </w:rPr>
        <w:t>Cohort Inflation Affecting Child Immunisation Programmes</w:t>
      </w:r>
    </w:p>
    <w:p w:rsidR="00997440" w:rsidP="00E928D0">
      <w:pPr>
        <w:spacing w:after="120" w:line="20" w:lineRule="atLeast"/>
        <w:jc w:val="left"/>
        <w:rPr>
          <w:rStyle w:val="Emphasis"/>
          <w:rFonts w:ascii="Verdana" w:hAnsi="Verdana"/>
          <w:sz w:val="22"/>
          <w:szCs w:val="22"/>
        </w:rPr>
      </w:pPr>
      <w:r w:rsidRPr="00597367">
        <w:rPr>
          <w:rStyle w:val="Emphasis"/>
          <w:rFonts w:ascii="Verdana" w:hAnsi="Verdana"/>
          <w:sz w:val="22"/>
          <w:szCs w:val="22"/>
        </w:rPr>
        <w:t xml:space="preserve">This submission relates primarily to question </w:t>
      </w:r>
      <w:r w:rsidRPr="00597367">
        <w:rPr>
          <w:rStyle w:val="Emphasis"/>
          <w:rFonts w:ascii="Verdana" w:hAnsi="Verdana"/>
          <w:sz w:val="22"/>
          <w:szCs w:val="22"/>
        </w:rPr>
        <w:t>12,</w:t>
      </w:r>
      <w:r>
        <w:rPr>
          <w:rStyle w:val="Emphasis"/>
          <w:rFonts w:ascii="Verdana" w:hAnsi="Verdana"/>
          <w:sz w:val="22"/>
          <w:szCs w:val="22"/>
        </w:rPr>
        <w:t xml:space="preserve"> </w:t>
      </w:r>
      <w:r w:rsidRPr="00597367">
        <w:rPr>
          <w:rStyle w:val="Emphasis"/>
          <w:rFonts w:ascii="Verdana" w:hAnsi="Verdana"/>
          <w:sz w:val="22"/>
          <w:szCs w:val="22"/>
        </w:rPr>
        <w:t>but</w:t>
      </w:r>
      <w:r w:rsidRPr="00597367">
        <w:rPr>
          <w:rStyle w:val="Emphasis"/>
          <w:rFonts w:ascii="Verdana" w:hAnsi="Verdana"/>
          <w:sz w:val="22"/>
          <w:szCs w:val="22"/>
        </w:rPr>
        <w:t xml:space="preserve"> is also relevant to questions 1-4.</w:t>
      </w:r>
    </w:p>
    <w:p w:rsidR="00E928D0" w:rsidRPr="00E928D0" w:rsidP="00E928D0">
      <w:pPr>
        <w:spacing w:after="120" w:line="20" w:lineRule="atLeast"/>
        <w:jc w:val="left"/>
        <w:rPr>
          <w:rStyle w:val="Emphasis"/>
          <w:rFonts w:ascii="Verdana" w:hAnsi="Verdana"/>
          <w:i w:val="0"/>
          <w:iCs w:val="0"/>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Authors</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Simon Hailstone, Consultant in Public Health, NHS England (London Region)</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Lena Al-Shammari, Public Health Specialty Registrar, NHS England (London Region)</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Colin Campbell, Consultant Medical Epidemiologist, UK Health Security Agency</w:t>
      </w:r>
    </w:p>
    <w:p w:rsidR="00997440" w:rsidP="00E928D0">
      <w:pPr>
        <w:spacing w:after="120" w:line="20" w:lineRule="atLeast"/>
        <w:jc w:val="left"/>
        <w:rPr>
          <w:rFonts w:ascii="Verdana" w:hAnsi="Verdana"/>
          <w:sz w:val="22"/>
          <w:szCs w:val="22"/>
        </w:rPr>
      </w:pPr>
      <w:r w:rsidRPr="00597367">
        <w:rPr>
          <w:rFonts w:ascii="Verdana" w:hAnsi="Verdana"/>
          <w:sz w:val="22"/>
          <w:szCs w:val="22"/>
        </w:rPr>
        <w:t>Edward Parker, Associate Professor, London School of Hygiene &amp; Tropical Medicine</w:t>
      </w:r>
    </w:p>
    <w:p w:rsidR="00997440" w:rsidRPr="00597367" w:rsidP="00E928D0">
      <w:pPr>
        <w:spacing w:after="120" w:line="20" w:lineRule="atLeast"/>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Introduction</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Ongoing investigative work by NHS England (London Region), UK Health Security Agency (UKHSA) and the London School of Hygiene &amp; Tropical Medicine has identified shortcomings in NHS data systems which appear to be artificially inflating the NHS child population cohort. This may be contributing to the marked decline in childhood vaccination coverage over the past decade. However, due to the nature of the issue it is highly challenging to confidently measure its true impact.</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Until recently the topic of ‘cohort inflation’ in immunisation programmes has not been well described. Following initial investigations, we believe this issue warrants being considered alongside other high-priority public health challenges for immunisation programmes.</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Central to the issue is that there is no single population register of children in England. Therefore, NHS systems are used to create a proxy population cohort. This approach works well for most of the population, but errors can arise in scenarios when people move into or out of the country, or from one part of the country to another.</w:t>
      </w:r>
    </w:p>
    <w:p w:rsidR="00997440" w:rsidP="00E928D0">
      <w:pPr>
        <w:spacing w:after="120" w:line="20" w:lineRule="atLeast"/>
        <w:jc w:val="left"/>
        <w:rPr>
          <w:rFonts w:ascii="Verdana" w:hAnsi="Verdana"/>
          <w:sz w:val="22"/>
          <w:szCs w:val="22"/>
        </w:rPr>
      </w:pPr>
      <w:r w:rsidRPr="00597367">
        <w:rPr>
          <w:rFonts w:ascii="Verdana" w:hAnsi="Verdana"/>
          <w:sz w:val="22"/>
          <w:szCs w:val="22"/>
        </w:rPr>
        <w:t>Here we describe underlying mechanisms, implications for programme evaluation, resource allocation, and reducing health inequalities, as well as proposals for work to address the underlying issues.</w:t>
      </w:r>
    </w:p>
    <w:p w:rsidR="00997440" w:rsidRPr="00597367" w:rsidP="00E928D0">
      <w:pPr>
        <w:spacing w:after="120" w:line="20" w:lineRule="atLeast"/>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Key Points</w:t>
      </w:r>
    </w:p>
    <w:p w:rsidR="00997440" w:rsidRPr="00597367" w:rsidP="00E928D0">
      <w:pPr>
        <w:pStyle w:val="ListParagraph"/>
        <w:numPr>
          <w:ilvl w:val="0"/>
          <w:numId w:val="7"/>
        </w:numPr>
        <w:spacing w:after="120" w:line="20" w:lineRule="atLeast"/>
        <w:contextualSpacing w:val="0"/>
        <w:jc w:val="left"/>
        <w:rPr>
          <w:rFonts w:ascii="Verdana" w:hAnsi="Verdana"/>
          <w:sz w:val="22"/>
          <w:szCs w:val="22"/>
        </w:rPr>
      </w:pPr>
      <w:r w:rsidRPr="00597367">
        <w:rPr>
          <w:rFonts w:ascii="Verdana" w:hAnsi="Verdana"/>
          <w:sz w:val="22"/>
          <w:szCs w:val="22"/>
        </w:rPr>
        <w:t>Cohort inflation refers to over-estimation of the total number of children eligible for vaccination programmes</w:t>
      </w:r>
    </w:p>
    <w:p w:rsidR="00997440" w:rsidRPr="00597367" w:rsidP="00E928D0">
      <w:pPr>
        <w:pStyle w:val="ListParagraph"/>
        <w:numPr>
          <w:ilvl w:val="0"/>
          <w:numId w:val="7"/>
        </w:numPr>
        <w:spacing w:after="120" w:line="20" w:lineRule="atLeast"/>
        <w:contextualSpacing w:val="0"/>
        <w:jc w:val="left"/>
        <w:rPr>
          <w:rFonts w:ascii="Verdana" w:hAnsi="Verdana"/>
          <w:sz w:val="22"/>
          <w:szCs w:val="22"/>
        </w:rPr>
      </w:pPr>
      <w:r w:rsidRPr="00597367">
        <w:rPr>
          <w:rFonts w:ascii="Verdana" w:hAnsi="Verdana"/>
          <w:sz w:val="22"/>
          <w:szCs w:val="22"/>
        </w:rPr>
        <w:t>Inflation of the cohort leads to an erroneous under-assessment of vaccination coverage</w:t>
      </w:r>
    </w:p>
    <w:p w:rsidR="00997440" w:rsidRPr="00597367" w:rsidP="00E928D0">
      <w:pPr>
        <w:pStyle w:val="ListParagraph"/>
        <w:numPr>
          <w:ilvl w:val="0"/>
          <w:numId w:val="7"/>
        </w:numPr>
        <w:spacing w:after="120" w:line="20" w:lineRule="atLeast"/>
        <w:contextualSpacing w:val="0"/>
        <w:jc w:val="left"/>
        <w:rPr>
          <w:rFonts w:ascii="Verdana" w:hAnsi="Verdana"/>
          <w:sz w:val="22"/>
          <w:szCs w:val="22"/>
        </w:rPr>
      </w:pPr>
      <w:r w:rsidRPr="00597367">
        <w:rPr>
          <w:rFonts w:ascii="Verdana" w:hAnsi="Verdana"/>
          <w:sz w:val="22"/>
          <w:szCs w:val="22"/>
        </w:rPr>
        <w:t>This has a number of real-world implications:</w:t>
      </w:r>
    </w:p>
    <w:p w:rsidR="00997440" w:rsidRPr="00597367" w:rsidP="00E928D0">
      <w:pPr>
        <w:pStyle w:val="ListParagraph"/>
        <w:numPr>
          <w:ilvl w:val="1"/>
          <w:numId w:val="7"/>
        </w:numPr>
        <w:spacing w:after="120" w:line="20" w:lineRule="atLeast"/>
        <w:contextualSpacing w:val="0"/>
        <w:jc w:val="left"/>
        <w:rPr>
          <w:rStyle w:val="SubtleEmphasis"/>
          <w:rFonts w:ascii="Verdana" w:hAnsi="Verdana"/>
          <w:sz w:val="22"/>
          <w:szCs w:val="22"/>
        </w:rPr>
      </w:pPr>
      <w:r w:rsidRPr="00597367">
        <w:rPr>
          <w:rFonts w:ascii="Verdana" w:hAnsi="Verdana"/>
          <w:sz w:val="22"/>
          <w:szCs w:val="22"/>
        </w:rPr>
        <w:t>Misdirection of scarce resources</w:t>
      </w:r>
      <w:r w:rsidRPr="00597367">
        <w:rPr>
          <w:rFonts w:ascii="Verdana" w:hAnsi="Verdana"/>
          <w:sz w:val="22"/>
          <w:szCs w:val="22"/>
        </w:rPr>
        <w:br/>
      </w:r>
      <w:r w:rsidRPr="00597367">
        <w:rPr>
          <w:rStyle w:val="SubtleEmphasis"/>
          <w:rFonts w:ascii="Verdana" w:hAnsi="Verdana"/>
          <w:sz w:val="22"/>
          <w:szCs w:val="22"/>
        </w:rPr>
        <w:t>e.g. vaccination catch-up campaigns focusing on areas of high population turnover because they appear to have lower vaccination coverage</w:t>
      </w:r>
    </w:p>
    <w:p w:rsidR="00997440" w:rsidRPr="00597367" w:rsidP="00E928D0">
      <w:pPr>
        <w:pStyle w:val="ListParagraph"/>
        <w:numPr>
          <w:ilvl w:val="1"/>
          <w:numId w:val="7"/>
        </w:numPr>
        <w:spacing w:after="120" w:line="20" w:lineRule="atLeast"/>
        <w:contextualSpacing w:val="0"/>
        <w:jc w:val="left"/>
        <w:rPr>
          <w:rFonts w:ascii="Verdana" w:hAnsi="Verdana"/>
          <w:sz w:val="22"/>
          <w:szCs w:val="22"/>
        </w:rPr>
      </w:pPr>
      <w:r w:rsidRPr="00597367">
        <w:rPr>
          <w:rFonts w:ascii="Verdana" w:hAnsi="Verdana"/>
          <w:sz w:val="22"/>
          <w:szCs w:val="22"/>
        </w:rPr>
        <w:t>Inaccuracies in programme performance evaluation</w:t>
      </w:r>
      <w:r w:rsidRPr="00597367">
        <w:rPr>
          <w:rFonts w:ascii="Verdana" w:hAnsi="Verdana"/>
          <w:sz w:val="22"/>
          <w:szCs w:val="22"/>
        </w:rPr>
        <w:br/>
      </w:r>
      <w:r w:rsidRPr="00597367">
        <w:rPr>
          <w:rStyle w:val="SubtleEmphasis"/>
          <w:rFonts w:ascii="Verdana" w:hAnsi="Verdana"/>
          <w:sz w:val="22"/>
          <w:szCs w:val="22"/>
        </w:rPr>
        <w:t>e.g. records included in coverage statistics for children who will never respond</w:t>
      </w:r>
    </w:p>
    <w:p w:rsidR="00997440" w:rsidRPr="00597367" w:rsidP="00E928D0">
      <w:pPr>
        <w:pStyle w:val="ListParagraph"/>
        <w:numPr>
          <w:ilvl w:val="1"/>
          <w:numId w:val="7"/>
        </w:numPr>
        <w:spacing w:after="120" w:line="20" w:lineRule="atLeast"/>
        <w:contextualSpacing w:val="0"/>
        <w:jc w:val="left"/>
        <w:rPr>
          <w:rStyle w:val="SubtleEmphasis"/>
          <w:rFonts w:ascii="Verdana" w:hAnsi="Verdana"/>
          <w:sz w:val="22"/>
          <w:szCs w:val="22"/>
        </w:rPr>
      </w:pPr>
      <w:r w:rsidRPr="00597367">
        <w:rPr>
          <w:rFonts w:ascii="Verdana" w:hAnsi="Verdana"/>
          <w:sz w:val="22"/>
          <w:szCs w:val="22"/>
        </w:rPr>
        <w:t>Obfuscation of genuine need and inequalities</w:t>
      </w:r>
      <w:r w:rsidRPr="00597367">
        <w:rPr>
          <w:rFonts w:ascii="Verdana" w:hAnsi="Verdana"/>
          <w:sz w:val="22"/>
          <w:szCs w:val="22"/>
        </w:rPr>
        <w:br/>
      </w:r>
      <w:r w:rsidRPr="00597367">
        <w:rPr>
          <w:rStyle w:val="SubtleEmphasis"/>
          <w:rFonts w:ascii="Verdana" w:hAnsi="Verdana"/>
          <w:sz w:val="22"/>
          <w:szCs w:val="22"/>
        </w:rPr>
        <w:t>e.g. ‘ghost’ records that overlap with and distort genuine inequalities</w:t>
      </w:r>
    </w:p>
    <w:p w:rsidR="00997440" w:rsidP="00E928D0">
      <w:pPr>
        <w:pStyle w:val="ListParagraph"/>
        <w:numPr>
          <w:ilvl w:val="1"/>
          <w:numId w:val="7"/>
        </w:numPr>
        <w:spacing w:after="120" w:line="20" w:lineRule="atLeast"/>
        <w:ind w:left="1434" w:hanging="357"/>
        <w:contextualSpacing w:val="0"/>
        <w:jc w:val="left"/>
        <w:rPr>
          <w:rFonts w:ascii="Verdana" w:hAnsi="Verdana"/>
          <w:sz w:val="22"/>
          <w:szCs w:val="22"/>
        </w:rPr>
      </w:pPr>
      <w:r w:rsidRPr="00597367">
        <w:rPr>
          <w:rFonts w:ascii="Verdana" w:hAnsi="Verdana"/>
          <w:sz w:val="22"/>
          <w:szCs w:val="22"/>
        </w:rPr>
        <w:t>Compromise of the system’s ability to make informed decisions on policy and programme design</w:t>
      </w:r>
    </w:p>
    <w:p w:rsidR="00997440" w:rsidRPr="00E928D0" w:rsidP="00E928D0">
      <w:pPr>
        <w:spacing w:after="120" w:line="20" w:lineRule="atLeast"/>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S</w:t>
      </w:r>
      <w:r w:rsidRPr="00597367">
        <w:rPr>
          <w:rFonts w:ascii="Verdana" w:hAnsi="Verdana"/>
          <w:b/>
          <w:bCs/>
          <w:color w:val="auto"/>
          <w:sz w:val="22"/>
          <w:szCs w:val="22"/>
        </w:rPr>
        <w:t>ource of childhood vaccination statistics</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Childhood vaccination coverage data are published on a quarterly and annual basis as part of the ‘cover of vaccination evaluated rapidly’ (COVER) programme</w:t>
      </w:r>
      <w:r>
        <w:rPr>
          <w:rStyle w:val="FootnoteReference1"/>
        </w:rPr>
        <w:footnoteReference w:id="2"/>
      </w:r>
      <w:r w:rsidRPr="00597367">
        <w:rPr>
          <w:rFonts w:ascii="Verdana" w:hAnsi="Verdana"/>
          <w:sz w:val="22"/>
          <w:szCs w:val="22"/>
        </w:rPr>
        <w:t>. The source for these statistics are NHS Child Health Information Services (CHIS), which provide data on:</w:t>
      </w:r>
    </w:p>
    <w:p w:rsidR="00997440" w:rsidRPr="00597367" w:rsidP="00E928D0">
      <w:pPr>
        <w:pStyle w:val="ListParagraph"/>
        <w:numPr>
          <w:ilvl w:val="0"/>
          <w:numId w:val="8"/>
        </w:numPr>
        <w:spacing w:after="120" w:line="20" w:lineRule="atLeast"/>
        <w:contextualSpacing w:val="0"/>
        <w:jc w:val="left"/>
        <w:rPr>
          <w:rFonts w:ascii="Verdana" w:hAnsi="Verdana"/>
          <w:sz w:val="22"/>
          <w:szCs w:val="22"/>
        </w:rPr>
      </w:pPr>
      <w:r w:rsidRPr="00597367">
        <w:rPr>
          <w:rFonts w:ascii="Verdana" w:hAnsi="Verdana"/>
          <w:sz w:val="22"/>
          <w:szCs w:val="22"/>
        </w:rPr>
        <w:t>Number of children vaccinated (numerator)</w:t>
      </w:r>
    </w:p>
    <w:p w:rsidR="00997440" w:rsidRPr="00597367" w:rsidP="00E928D0">
      <w:pPr>
        <w:pStyle w:val="ListParagraph"/>
        <w:numPr>
          <w:ilvl w:val="0"/>
          <w:numId w:val="8"/>
        </w:numPr>
        <w:spacing w:after="120" w:line="20" w:lineRule="atLeast"/>
        <w:contextualSpacing w:val="0"/>
        <w:jc w:val="left"/>
        <w:rPr>
          <w:rFonts w:ascii="Verdana" w:hAnsi="Verdana"/>
          <w:sz w:val="22"/>
          <w:szCs w:val="22"/>
        </w:rPr>
      </w:pPr>
      <w:r w:rsidRPr="00597367">
        <w:rPr>
          <w:rFonts w:ascii="Verdana" w:hAnsi="Verdana"/>
          <w:sz w:val="22"/>
          <w:szCs w:val="22"/>
        </w:rPr>
        <w:t xml:space="preserve">Total number of eligible children (denominator) </w:t>
      </w:r>
    </w:p>
    <w:p w:rsidR="00997440" w:rsidP="00E928D0">
      <w:pPr>
        <w:spacing w:after="120" w:line="20" w:lineRule="atLeast"/>
        <w:jc w:val="left"/>
        <w:rPr>
          <w:rFonts w:ascii="Verdana" w:hAnsi="Verdana"/>
          <w:sz w:val="22"/>
          <w:szCs w:val="22"/>
        </w:rPr>
      </w:pPr>
      <w:r w:rsidRPr="00597367">
        <w:rPr>
          <w:rFonts w:ascii="Verdana" w:hAnsi="Verdana"/>
          <w:sz w:val="22"/>
          <w:szCs w:val="22"/>
        </w:rPr>
        <w:t>Children are automatically entered onto their local CHIS when allocated an NHS number (usually at birth). This process is closely linked to the NHS Spine Patient Demographic System (PDS)</w:t>
      </w:r>
      <w:r>
        <w:rPr>
          <w:rStyle w:val="FootnoteReference1"/>
        </w:rPr>
        <w:footnoteReference w:id="3"/>
      </w:r>
      <w:r w:rsidRPr="00597367">
        <w:rPr>
          <w:rFonts w:ascii="Verdana" w:hAnsi="Verdana"/>
          <w:sz w:val="22"/>
          <w:szCs w:val="22"/>
        </w:rPr>
        <w:t>.</w:t>
      </w:r>
    </w:p>
    <w:p w:rsidR="00997440" w:rsidRPr="00597367" w:rsidP="00E928D0">
      <w:pPr>
        <w:spacing w:after="120" w:line="20" w:lineRule="atLeast"/>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 xml:space="preserve">Indication of inaccuracies in coverage denominator </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Over the past 24 months, NHSE (London Region) and partners have identified and investigated signs of inaccuracies in the cohort of children recorded on regional CHIS systems. Whilst there are several active lines of enquiry, here we provide a single illustrative example.</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 xml:space="preserve">The Office for National Statistics (ONS) provides regular population estimates for England. These can be compared against the population denominator reported in official COVER statistics. </w:t>
      </w:r>
    </w:p>
    <w:p w:rsidR="00997440" w:rsidRPr="00597367" w:rsidP="00E928D0">
      <w:pPr>
        <w:pStyle w:val="ListParagraph"/>
        <w:numPr>
          <w:ilvl w:val="0"/>
          <w:numId w:val="10"/>
        </w:numPr>
        <w:spacing w:after="120" w:line="20" w:lineRule="atLeast"/>
        <w:contextualSpacing w:val="0"/>
        <w:jc w:val="left"/>
        <w:rPr>
          <w:rFonts w:ascii="Verdana" w:hAnsi="Verdana"/>
          <w:sz w:val="22"/>
          <w:szCs w:val="22"/>
        </w:rPr>
      </w:pPr>
      <w:r w:rsidRPr="00597367">
        <w:rPr>
          <w:rFonts w:ascii="Verdana" w:hAnsi="Verdana"/>
          <w:sz w:val="22"/>
          <w:szCs w:val="22"/>
        </w:rPr>
        <w:t>For London, 117,751 5-year-old children were reported as being eligible for MMR dose 1 in 2023/24</w:t>
      </w:r>
      <w:r>
        <w:rPr>
          <w:rStyle w:val="FootnoteReference1"/>
        </w:rPr>
        <w:footnoteReference w:id="4"/>
      </w:r>
    </w:p>
    <w:p w:rsidR="00997440" w:rsidRPr="00597367" w:rsidP="00E928D0">
      <w:pPr>
        <w:pStyle w:val="ListParagraph"/>
        <w:numPr>
          <w:ilvl w:val="0"/>
          <w:numId w:val="10"/>
        </w:numPr>
        <w:spacing w:after="120" w:line="20" w:lineRule="atLeast"/>
        <w:ind w:left="714" w:hanging="357"/>
        <w:contextualSpacing w:val="0"/>
        <w:jc w:val="left"/>
        <w:rPr>
          <w:rFonts w:ascii="Verdana" w:hAnsi="Verdana"/>
          <w:sz w:val="22"/>
          <w:szCs w:val="22"/>
        </w:rPr>
      </w:pPr>
      <w:r w:rsidRPr="00597367">
        <w:rPr>
          <w:rFonts w:ascii="Verdana" w:hAnsi="Verdana"/>
          <w:sz w:val="22"/>
          <w:szCs w:val="22"/>
        </w:rPr>
        <w:t>For the same period, the ONS estimate there were 103,862</w:t>
      </w:r>
      <w:r>
        <w:rPr>
          <w:rStyle w:val="FootnoteReference1"/>
        </w:rPr>
        <w:footnoteReference w:id="5"/>
      </w:r>
      <w:r w:rsidRPr="00597367">
        <w:rPr>
          <w:rFonts w:ascii="Verdana" w:hAnsi="Verdana"/>
          <w:sz w:val="22"/>
          <w:szCs w:val="22"/>
        </w:rPr>
        <w:t xml:space="preserve"> 5-year-olds, giving a net discrepancy of 13,889 children</w:t>
      </w:r>
    </w:p>
    <w:p w:rsidR="00997440" w:rsidRPr="00597367" w:rsidP="00E928D0">
      <w:pPr>
        <w:pStyle w:val="ListParagraph"/>
        <w:numPr>
          <w:ilvl w:val="0"/>
          <w:numId w:val="10"/>
        </w:numPr>
        <w:spacing w:after="120" w:line="20" w:lineRule="atLeast"/>
        <w:ind w:left="714" w:hanging="357"/>
        <w:contextualSpacing w:val="0"/>
        <w:jc w:val="left"/>
        <w:rPr>
          <w:rFonts w:ascii="Verdana" w:hAnsi="Verdana"/>
          <w:sz w:val="22"/>
          <w:szCs w:val="22"/>
        </w:rPr>
      </w:pPr>
      <w:r w:rsidRPr="00597367">
        <w:rPr>
          <w:rFonts w:ascii="Verdana" w:hAnsi="Verdana"/>
          <w:sz w:val="22"/>
          <w:szCs w:val="22"/>
        </w:rPr>
        <w:t>The magnitude of this estimate is comparable to the figure of 17,402 5-year-old children reported as being unvaccinated for MMR dose 1 in London COVER data for 2023/24</w:t>
      </w:r>
    </w:p>
    <w:p w:rsidR="00997440" w:rsidRPr="00597367" w:rsidP="00E928D0">
      <w:pPr>
        <w:keepNext/>
        <w:spacing w:after="120" w:line="20" w:lineRule="atLeast"/>
        <w:jc w:val="left"/>
        <w:rPr>
          <w:rFonts w:ascii="Verdana" w:hAnsi="Verdana"/>
          <w:sz w:val="22"/>
          <w:szCs w:val="22"/>
        </w:rPr>
      </w:pPr>
      <w:r w:rsidRPr="00597367">
        <w:rPr>
          <w:rFonts w:ascii="Verdana" w:hAnsi="Verdana"/>
          <w:sz w:val="22"/>
          <w:szCs w:val="22"/>
        </w:rPr>
        <w:t>Initial analysis indicates the following:</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The scale of inflation varies significantly by region, with London most heavily affected. This likely reflects underlying patterns of population movement</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The scale of inflation has changed significantly over time, with a marked increase in inflation observable across several regions from 2017 onwards</w:t>
      </w:r>
    </w:p>
    <w:p w:rsidR="00997440" w:rsidP="00E928D0">
      <w:pPr>
        <w:pStyle w:val="ListParagraph"/>
        <w:numPr>
          <w:ilvl w:val="0"/>
          <w:numId w:val="9"/>
        </w:numPr>
        <w:spacing w:after="120" w:line="20" w:lineRule="atLeast"/>
        <w:ind w:left="714" w:hanging="357"/>
        <w:contextualSpacing w:val="0"/>
        <w:jc w:val="left"/>
        <w:rPr>
          <w:rFonts w:ascii="Verdana" w:hAnsi="Verdana"/>
          <w:sz w:val="22"/>
          <w:szCs w:val="22"/>
        </w:rPr>
      </w:pPr>
      <w:r w:rsidRPr="00597367">
        <w:rPr>
          <w:rFonts w:ascii="Verdana" w:hAnsi="Verdana"/>
          <w:sz w:val="22"/>
          <w:szCs w:val="22"/>
        </w:rPr>
        <w:t>Increasing inflation appears to be negatively correlated with immunisation coverage</w:t>
      </w:r>
    </w:p>
    <w:p w:rsidR="00997440" w:rsidRPr="00E928D0" w:rsidP="00E928D0">
      <w:pPr>
        <w:spacing w:after="120" w:line="20" w:lineRule="atLeast"/>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S</w:t>
      </w:r>
      <w:r w:rsidRPr="00597367">
        <w:rPr>
          <w:rFonts w:ascii="Verdana" w:hAnsi="Verdana"/>
          <w:b/>
          <w:bCs/>
          <w:color w:val="auto"/>
          <w:sz w:val="22"/>
          <w:szCs w:val="22"/>
        </w:rPr>
        <w:t>uspected mechanisms for cohort inaccuracies</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There are several routes by which an inaccurate child record may be generated and/or maintained:</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D46F98">
        <w:rPr>
          <w:rFonts w:ascii="Verdana" w:hAnsi="Verdana"/>
          <w:sz w:val="22"/>
          <w:szCs w:val="22"/>
        </w:rPr>
        <w:t>A child who has never entered the country can have an NHS number allocated and therefore be counted as part of the eligible cohort on CHIS</w:t>
      </w:r>
      <w:r w:rsidRPr="00597367">
        <w:rPr>
          <w:rFonts w:ascii="Verdana" w:hAnsi="Verdana"/>
          <w:b/>
          <w:bCs/>
          <w:sz w:val="22"/>
          <w:szCs w:val="22"/>
        </w:rPr>
        <w:t>.</w:t>
      </w:r>
      <w:r w:rsidRPr="00597367">
        <w:rPr>
          <w:rFonts w:ascii="Verdana" w:hAnsi="Verdana"/>
          <w:sz w:val="22"/>
          <w:szCs w:val="22"/>
        </w:rPr>
        <w:t xml:space="preserve"> This is due to the allocation of NHS numbers at the point of visa application to support NHS cost recovery processes</w:t>
      </w:r>
      <w:r>
        <w:rPr>
          <w:rStyle w:val="FootnoteReference1"/>
        </w:rPr>
        <w:footnoteReference w:id="6"/>
      </w:r>
      <w:r w:rsidRPr="00597367">
        <w:rPr>
          <w:rFonts w:ascii="Verdana" w:hAnsi="Verdana"/>
          <w:sz w:val="22"/>
          <w:szCs w:val="22"/>
        </w:rPr>
        <w:t>. Critically, there is no system to cross-reference this against data on entry into the country.</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D46F98">
        <w:rPr>
          <w:rFonts w:ascii="Verdana" w:hAnsi="Verdana"/>
          <w:sz w:val="22"/>
          <w:szCs w:val="22"/>
        </w:rPr>
        <w:t>A child’s CHIS record can remain active, and the child counted as part of the eligible cohort, even after leaving the country.</w:t>
      </w:r>
      <w:r w:rsidRPr="00597367">
        <w:rPr>
          <w:rFonts w:ascii="Verdana" w:hAnsi="Verdana"/>
          <w:sz w:val="22"/>
          <w:szCs w:val="22"/>
        </w:rPr>
        <w:t xml:space="preserve"> This is due to a lack of systems for sharing information about emigration with the NHS. Even when a GP knows and records that a child has left the country, this does not trigger the automated removal of the child’s record from the eligible population cohort.</w:t>
      </w:r>
    </w:p>
    <w:p w:rsidR="00997440" w:rsidRPr="00597367" w:rsidP="00E928D0">
      <w:pPr>
        <w:pStyle w:val="ListParagraph"/>
        <w:keepNext/>
        <w:numPr>
          <w:ilvl w:val="0"/>
          <w:numId w:val="9"/>
        </w:numPr>
        <w:spacing w:after="120" w:line="20" w:lineRule="atLeast"/>
        <w:contextualSpacing w:val="0"/>
        <w:jc w:val="left"/>
        <w:rPr>
          <w:rFonts w:ascii="Verdana" w:hAnsi="Verdana"/>
          <w:b/>
          <w:bCs/>
          <w:sz w:val="22"/>
          <w:szCs w:val="22"/>
        </w:rPr>
      </w:pPr>
      <w:r w:rsidRPr="00D46F98">
        <w:rPr>
          <w:rFonts w:ascii="Verdana" w:hAnsi="Verdana"/>
          <w:sz w:val="22"/>
          <w:szCs w:val="22"/>
        </w:rPr>
        <w:t xml:space="preserve">GP list cleansing processes specifically exclude under-18s. </w:t>
      </w:r>
      <w:r w:rsidRPr="00597367">
        <w:rPr>
          <w:rFonts w:ascii="Verdana" w:hAnsi="Verdana"/>
          <w:sz w:val="22"/>
          <w:szCs w:val="22"/>
        </w:rPr>
        <w:t>Currently guidance for GPs is to retain children who are under 18 years old under the paramountcy of the child within the Children and Families Act 2014, until such time that they understand how the children might be cared for by another NHS or private GP, especially if vaccinations or screening are still indicated</w:t>
      </w:r>
      <w:r>
        <w:rPr>
          <w:rStyle w:val="FootnoteReference1"/>
        </w:rPr>
        <w:footnoteReference w:id="7"/>
      </w:r>
      <w:r w:rsidRPr="00597367">
        <w:rPr>
          <w:rFonts w:ascii="Verdana" w:hAnsi="Verdana"/>
          <w:sz w:val="22"/>
          <w:szCs w:val="22"/>
        </w:rPr>
        <w:t>. Similarly, child records are excluded from the national ‘FP69’ list cleansing process</w:t>
      </w:r>
      <w:r>
        <w:rPr>
          <w:rStyle w:val="FootnoteReference1"/>
        </w:rPr>
        <w:footnoteReference w:id="8"/>
      </w:r>
      <w:r w:rsidRPr="00597367">
        <w:rPr>
          <w:rFonts w:ascii="Verdana" w:hAnsi="Verdana"/>
          <w:sz w:val="22"/>
          <w:szCs w:val="22"/>
        </w:rPr>
        <w:t>.</w:t>
      </w:r>
    </w:p>
    <w:p w:rsidR="00E928D0" w:rsidRPr="00E928D0" w:rsidP="00E928D0">
      <w:pPr>
        <w:spacing w:after="120" w:line="20" w:lineRule="atLeast"/>
        <w:jc w:val="left"/>
        <w:rPr>
          <w:rFonts w:ascii="Verdana" w:hAnsi="Verdana"/>
          <w:b/>
          <w:bCs/>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I</w:t>
      </w:r>
      <w:r w:rsidRPr="00597367">
        <w:rPr>
          <w:rFonts w:ascii="Verdana" w:hAnsi="Verdana"/>
          <w:b/>
          <w:bCs/>
          <w:color w:val="auto"/>
          <w:sz w:val="22"/>
          <w:szCs w:val="22"/>
        </w:rPr>
        <w:t>mplications of cohort inaccuracy</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An inflated CHIS cohort size affects accurate assessment of coverage. Adding children to the denominator who cannot be vaccinated will inevitably lead to an under-estimate of actual coverage</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This affects the utility of COVER data for policy development and evaluation, and for strategic and operational uses</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It also makes it more challenging to accurately identify the unvaccinated population and may lead to inefficient resource allocation, for example if catch-up programmes are targeted to specific areas, or health visitors are tasked with contacting unregistered children, when in fact the unvaccinated records are those of children no longer/never resident in England</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The systematic problems with cohort accuracy may overlap with real drivers of health inequalities (e.g. English language proficiency). A CHIS record for an unregistered child may represent a child who has deregistered with their GP and left England, or it may represent a child who is vulnerable and has poorer access to health and care services</w:t>
      </w:r>
    </w:p>
    <w:p w:rsidR="00997440" w:rsidRPr="00597367" w:rsidP="00E928D0">
      <w:pPr>
        <w:pStyle w:val="ListParagraph"/>
        <w:keepNext/>
        <w:numPr>
          <w:ilvl w:val="0"/>
          <w:numId w:val="9"/>
        </w:numPr>
        <w:spacing w:after="120" w:line="20" w:lineRule="atLeast"/>
        <w:contextualSpacing w:val="0"/>
        <w:jc w:val="left"/>
        <w:rPr>
          <w:rFonts w:ascii="Verdana" w:hAnsi="Verdana"/>
          <w:sz w:val="22"/>
          <w:szCs w:val="22"/>
        </w:rPr>
      </w:pPr>
      <w:r w:rsidRPr="00597367">
        <w:rPr>
          <w:rFonts w:ascii="Verdana" w:hAnsi="Verdana"/>
          <w:sz w:val="22"/>
          <w:szCs w:val="22"/>
        </w:rPr>
        <w:t>Cohort inaccuracies may particularly affect those areas with genuine low or declining coverage. The recent resurgence of several vaccine-preventable diseases in England highlights the persistence and severe consequences of key gaps in vaccination coverage</w:t>
      </w:r>
    </w:p>
    <w:p w:rsidR="00997440" w:rsidP="00E928D0">
      <w:pPr>
        <w:pStyle w:val="ListParagraph"/>
        <w:numPr>
          <w:ilvl w:val="0"/>
          <w:numId w:val="5"/>
        </w:numPr>
        <w:spacing w:after="120" w:line="20" w:lineRule="atLeast"/>
        <w:ind w:left="714" w:hanging="357"/>
        <w:contextualSpacing w:val="0"/>
        <w:jc w:val="left"/>
        <w:rPr>
          <w:rFonts w:ascii="Verdana" w:hAnsi="Verdana"/>
          <w:sz w:val="22"/>
          <w:szCs w:val="22"/>
        </w:rPr>
      </w:pPr>
      <w:r w:rsidRPr="00597367">
        <w:rPr>
          <w:rFonts w:ascii="Verdana" w:hAnsi="Verdana"/>
          <w:sz w:val="22"/>
          <w:szCs w:val="22"/>
        </w:rPr>
        <w:t>It is likely to affect other programmes, such as health visiting and newborn screening</w:t>
      </w:r>
    </w:p>
    <w:p w:rsidR="00997440" w:rsidRPr="00597367" w:rsidP="00E928D0">
      <w:pPr>
        <w:pStyle w:val="ListParagraph"/>
        <w:spacing w:after="120" w:line="20" w:lineRule="atLeast"/>
        <w:ind w:left="714"/>
        <w:contextualSpacing w:val="0"/>
        <w:jc w:val="left"/>
        <w:rPr>
          <w:rFonts w:ascii="Verdana" w:hAnsi="Verdana"/>
          <w:sz w:val="22"/>
          <w:szCs w:val="22"/>
        </w:rPr>
      </w:pPr>
    </w:p>
    <w:p w:rsidR="00997440" w:rsidRPr="00597367" w:rsidP="00E928D0">
      <w:pPr>
        <w:pStyle w:val="Heading1"/>
        <w:spacing w:before="0" w:after="120" w:line="20" w:lineRule="atLeast"/>
        <w:jc w:val="left"/>
        <w:rPr>
          <w:rFonts w:ascii="Verdana" w:hAnsi="Verdana"/>
          <w:b/>
          <w:bCs/>
          <w:color w:val="auto"/>
          <w:sz w:val="22"/>
          <w:szCs w:val="22"/>
        </w:rPr>
      </w:pPr>
      <w:r w:rsidRPr="00597367">
        <w:rPr>
          <w:rFonts w:ascii="Verdana" w:hAnsi="Verdana"/>
          <w:b/>
          <w:bCs/>
          <w:color w:val="auto"/>
          <w:sz w:val="22"/>
          <w:szCs w:val="22"/>
        </w:rPr>
        <w:t>Response to cohort inaccuracy</w:t>
      </w:r>
    </w:p>
    <w:p w:rsidR="00997440" w:rsidRPr="00597367" w:rsidP="00E928D0">
      <w:pPr>
        <w:spacing w:after="120" w:line="20" w:lineRule="atLeast"/>
        <w:jc w:val="left"/>
        <w:rPr>
          <w:rFonts w:ascii="Verdana" w:hAnsi="Verdana"/>
          <w:sz w:val="22"/>
          <w:szCs w:val="22"/>
        </w:rPr>
      </w:pPr>
      <w:r w:rsidRPr="00597367">
        <w:rPr>
          <w:rFonts w:ascii="Verdana" w:hAnsi="Verdana"/>
          <w:sz w:val="22"/>
          <w:szCs w:val="22"/>
        </w:rPr>
        <w:t>NHS England, UKHSA and the London School of Hygiene &amp; Tropical Medicine are developing plans for further investigative work to more fully describe the underlying mechanisms contributing to cohort inflation, and to inform potential strategies for mitigation.</w:t>
      </w:r>
    </w:p>
    <w:p w:rsidR="00997440" w:rsidP="003B1AFF">
      <w:pPr>
        <w:spacing w:after="0"/>
        <w:jc w:val="left"/>
        <w:rPr>
          <w:rFonts w:ascii="Verdana" w:hAnsi="Verdana"/>
          <w:sz w:val="22"/>
          <w:szCs w:val="22"/>
        </w:rPr>
      </w:pPr>
      <w:r w:rsidRPr="00597367">
        <w:rPr>
          <w:rFonts w:ascii="Verdana" w:hAnsi="Verdana"/>
          <w:sz w:val="22"/>
          <w:szCs w:val="22"/>
        </w:rPr>
        <w:t xml:space="preserve">Given the uncertain accuracy of a proportion of CHIS records (and therefore COVER data), it is likely to not be appropriate to simply remove records from CHIS. Instead, a novel approach to assess and categorise the quality of records would provide a clearer picture of denominator uncertainty in coverage </w:t>
      </w:r>
      <w:r w:rsidRPr="00597367">
        <w:rPr>
          <w:rFonts w:ascii="Verdana" w:hAnsi="Verdana"/>
          <w:sz w:val="22"/>
          <w:szCs w:val="22"/>
        </w:rPr>
        <w:t>estimates and enable a nuanced approach to how records should be used in different contexts. The findings thus far are already informing existing programmes of work to enhance the accuracy and interoperability of CHIS, GP and NHS systems. Whilst mitigations are developed, a caveat will be considered for inclusion in London’s COVER data to ensure recipients are aware of this matter.</w:t>
      </w:r>
    </w:p>
    <w:p w:rsidR="00997440" w:rsidP="003B1AFF">
      <w:pPr>
        <w:spacing w:after="0"/>
        <w:jc w:val="left"/>
        <w:rPr>
          <w:rFonts w:ascii="Verdana" w:hAnsi="Verdana"/>
          <w:sz w:val="22"/>
          <w:szCs w:val="22"/>
        </w:rPr>
      </w:pPr>
    </w:p>
    <w:p w:rsidR="00997440" w:rsidRPr="00597367" w:rsidP="003B1AFF">
      <w:pPr>
        <w:spacing w:after="0"/>
        <w:jc w:val="left"/>
        <w:rPr>
          <w:rFonts w:ascii="Verdana" w:hAnsi="Verdana"/>
          <w:i/>
          <w:iCs/>
          <w:sz w:val="22"/>
          <w:szCs w:val="22"/>
        </w:rPr>
      </w:pPr>
      <w:r>
        <w:rPr>
          <w:rFonts w:ascii="Verdana" w:hAnsi="Verdana"/>
          <w:i/>
          <w:iCs/>
          <w:sz w:val="22"/>
          <w:szCs w:val="22"/>
        </w:rPr>
        <w:t>6 May 2026</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7440">
      <w:pPr>
        <w:spacing w:after="0" w:line="240" w:lineRule="auto"/>
      </w:pPr>
      <w:r>
        <w:separator/>
      </w:r>
    </w:p>
  </w:footnote>
  <w:footnote w:type="continuationSeparator" w:id="1">
    <w:p w:rsidR="00997440">
      <w:pPr>
        <w:spacing w:after="0" w:line="240" w:lineRule="auto"/>
      </w:pPr>
      <w:r>
        <w:continuationSeparator/>
      </w:r>
    </w:p>
  </w:footnote>
  <w:footnote w:id="2">
    <w:p w:rsidR="00997440" w:rsidRPr="00E928D0"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eastAsia="Arial" w:hAnsi="Verdana" w:cs="Arial"/>
          <w:color w:val="0B0C0C"/>
          <w:sz w:val="18"/>
          <w:szCs w:val="18"/>
        </w:rPr>
        <w:t xml:space="preserve"> </w:t>
      </w:r>
      <w:r>
        <w:fldChar w:fldCharType="begin"/>
      </w:r>
      <w:r>
        <w:instrText xml:space="preserve"> HYPERLINK "https://www.gov.uk/government/collections/vaccine-uptake" \l "cover-of-vaccination-evaluated-rapidly-programme" </w:instrText>
      </w:r>
      <w:r>
        <w:fldChar w:fldCharType="separate"/>
      </w:r>
      <w:r w:rsidRPr="00E928D0">
        <w:rPr>
          <w:rStyle w:val="Hyperlink"/>
          <w:rFonts w:ascii="Verdana" w:hAnsi="Verdana"/>
          <w:sz w:val="18"/>
          <w:szCs w:val="18"/>
        </w:rPr>
        <w:t>Vaccine uptake guidance and the latest coverage data - GOV.UK</w:t>
      </w:r>
      <w:r>
        <w:fldChar w:fldCharType="end"/>
      </w:r>
    </w:p>
  </w:footnote>
  <w:footnote w:id="3">
    <w:p w:rsidR="00997440" w:rsidRPr="00E928D0"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w:t>
      </w:r>
      <w:r>
        <w:fldChar w:fldCharType="begin"/>
      </w:r>
      <w:r>
        <w:instrText xml:space="preserve"> HYPERLINK "https://digital.nhs.uk/services/personal-demographics-service" </w:instrText>
      </w:r>
      <w:r>
        <w:fldChar w:fldCharType="separate"/>
      </w:r>
      <w:r w:rsidRPr="00E928D0">
        <w:rPr>
          <w:rStyle w:val="Hyperlink"/>
          <w:rFonts w:ascii="Verdana" w:hAnsi="Verdana"/>
          <w:sz w:val="18"/>
          <w:szCs w:val="18"/>
        </w:rPr>
        <w:t>https://digital.nhs.uk/services/personal-demographics-service</w:t>
      </w:r>
      <w:r>
        <w:fldChar w:fldCharType="end"/>
      </w:r>
    </w:p>
  </w:footnote>
  <w:footnote w:id="4">
    <w:p w:rsidR="00997440" w:rsidRPr="00E928D0"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w:t>
      </w:r>
      <w:r>
        <w:fldChar w:fldCharType="begin"/>
      </w:r>
      <w:r>
        <w:instrText xml:space="preserve"> HYPERLINK "https://fingertips.phe.org.uk/search/mmr" \l "page/4/gid/1/pat/15/par/E92000001/ati/6/are/E12000007/iid/30310/age/34/sex/4/cat/-1/ctp/-1/yrr/1/cid/4/tbm/1/page-options/car-do-0" </w:instrText>
      </w:r>
      <w:r>
        <w:fldChar w:fldCharType="separate"/>
      </w:r>
      <w:r w:rsidRPr="00E928D0">
        <w:rPr>
          <w:rStyle w:val="Hyperlink"/>
          <w:rFonts w:ascii="Verdana" w:hAnsi="Verdana"/>
          <w:sz w:val="18"/>
          <w:szCs w:val="18"/>
        </w:rPr>
        <w:t>Fingertips | Department of Health and Social Care</w:t>
      </w:r>
      <w:r>
        <w:fldChar w:fldCharType="end"/>
      </w:r>
    </w:p>
  </w:footnote>
  <w:footnote w:id="5">
    <w:p w:rsidR="00997440" w:rsidRPr="007F722B"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Based on weighted average of ONS 2023 and 2024 population estimates, 103,593 and 103,952 respectively. </w:t>
      </w:r>
      <w:r>
        <w:fldChar w:fldCharType="begin"/>
      </w:r>
      <w:r>
        <w:instrText xml:space="preserve"> HYPERLINK "https://www.ons.gov.uk/peoplepopulationandcommunity/populationandmigration/populationestimates/datasets/populationestimatesforukenglandandwalesscotlandandnorthernireland" </w:instrText>
      </w:r>
      <w:r>
        <w:fldChar w:fldCharType="separate"/>
      </w:r>
      <w:r w:rsidRPr="00E928D0">
        <w:rPr>
          <w:rStyle w:val="Hyperlink"/>
          <w:rFonts w:ascii="Verdana" w:hAnsi="Verdana"/>
          <w:sz w:val="18"/>
          <w:szCs w:val="18"/>
        </w:rPr>
        <w:t>Estimates of the population for the UK, England, Wales, Scotland, and Northern Ireland - Office for National Statistics</w:t>
      </w:r>
      <w:r>
        <w:fldChar w:fldCharType="end"/>
      </w:r>
    </w:p>
  </w:footnote>
  <w:footnote w:id="6">
    <w:p w:rsidR="00997440" w:rsidRPr="00E928D0"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w:t>
      </w:r>
      <w:r>
        <w:fldChar w:fldCharType="begin"/>
      </w:r>
      <w:r>
        <w:instrText xml:space="preserve"> HYPERLINK "https://www.gov.uk/government/publications/nhs-cost-recovery-overseas-visitors/charging-overseas-visitors-in-england-guidance-for-providers-of-nhs-services" </w:instrText>
      </w:r>
      <w:r>
        <w:fldChar w:fldCharType="separate"/>
      </w:r>
      <w:r w:rsidRPr="00E928D0">
        <w:rPr>
          <w:rStyle w:val="Hyperlink"/>
          <w:rFonts w:ascii="Verdana" w:hAnsi="Verdana"/>
          <w:sz w:val="18"/>
          <w:szCs w:val="18"/>
        </w:rPr>
        <w:t>https://www.gov.uk/government/publications/nhs-cost-recovery-overseas-visitors/charging-overseas-visitors-in-england-guidance-for-providers-of-nhs-services</w:t>
      </w:r>
      <w:r>
        <w:fldChar w:fldCharType="end"/>
      </w:r>
    </w:p>
  </w:footnote>
  <w:footnote w:id="7">
    <w:p w:rsidR="00997440" w:rsidRPr="00E928D0"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w:t>
      </w:r>
      <w:r>
        <w:fldChar w:fldCharType="begin"/>
      </w:r>
      <w:r>
        <w:instrText xml:space="preserve"> HYPERLINK "https://www.england.nhs.uk/long-read/primary-medical-services-policy-and-guidance-manual-pgm-2/" \l "3-managing-patient-lists" </w:instrText>
      </w:r>
      <w:r>
        <w:fldChar w:fldCharType="separate"/>
      </w:r>
      <w:r w:rsidRPr="00E928D0">
        <w:rPr>
          <w:rStyle w:val="Hyperlink"/>
          <w:rFonts w:ascii="Verdana" w:hAnsi="Verdana"/>
          <w:sz w:val="18"/>
          <w:szCs w:val="18"/>
        </w:rPr>
        <w:t>https://www.england.nhs.uk/long-read/primary-medical-services-policy-and-guidance-manual-pgm-2/#3-managing-patient-lists</w:t>
      </w:r>
      <w:r>
        <w:fldChar w:fldCharType="end"/>
      </w:r>
    </w:p>
  </w:footnote>
  <w:footnote w:id="8">
    <w:p w:rsidR="00997440" w:rsidRPr="007F722B" w:rsidP="003B1AFF">
      <w:pPr>
        <w:pStyle w:val="FootnoteText"/>
        <w:jc w:val="left"/>
        <w:rPr>
          <w:rFonts w:ascii="Verdana" w:hAnsi="Verdana"/>
          <w:sz w:val="18"/>
          <w:szCs w:val="18"/>
        </w:rPr>
      </w:pPr>
      <w:r w:rsidRPr="00E928D0">
        <w:rPr>
          <w:rStyle w:val="FootnoteReference"/>
          <w:rFonts w:ascii="Verdana" w:hAnsi="Verdana"/>
          <w:sz w:val="18"/>
          <w:szCs w:val="18"/>
        </w:rPr>
        <w:footnoteRef/>
      </w:r>
      <w:r w:rsidRPr="00E928D0">
        <w:rPr>
          <w:rFonts w:ascii="Verdana" w:hAnsi="Verdana"/>
          <w:sz w:val="18"/>
          <w:szCs w:val="18"/>
        </w:rPr>
        <w:t xml:space="preserve"> </w:t>
      </w:r>
      <w:r>
        <w:fldChar w:fldCharType="begin"/>
      </w:r>
      <w:r>
        <w:instrText xml:space="preserve"> HYPERLINK "https://pcse.england.nhs.uk/services/patient-registrations/patient-removals/fp69-flags" </w:instrText>
      </w:r>
      <w:r>
        <w:fldChar w:fldCharType="separate"/>
      </w:r>
      <w:r w:rsidRPr="00E928D0">
        <w:rPr>
          <w:rStyle w:val="Hyperlink"/>
          <w:rFonts w:ascii="Verdana" w:hAnsi="Verdana"/>
          <w:sz w:val="18"/>
          <w:szCs w:val="18"/>
        </w:rPr>
        <w:t>https://pcse.england.nhs.uk/services/patient-registrations/patient-removals/fp69-flags</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1D75AA"/>
    <w:multiLevelType w:val="hybridMultilevel"/>
    <w:tmpl w:val="74B48B0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1A083D"/>
    <w:multiLevelType w:val="hybridMultilevel"/>
    <w:tmpl w:val="605AF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8C329D"/>
    <w:multiLevelType w:val="hybridMultilevel"/>
    <w:tmpl w:val="BE067D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430C1C"/>
    <w:multiLevelType w:val="hybridMultilevel"/>
    <w:tmpl w:val="708E96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5C6C39"/>
    <w:multiLevelType w:val="hybridMultilevel"/>
    <w:tmpl w:val="0D68B6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D3015E"/>
    <w:multiLevelType w:val="hybridMultilevel"/>
    <w:tmpl w:val="56F2D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7E15E9"/>
    <w:multiLevelType w:val="hybridMultilevel"/>
    <w:tmpl w:val="66647D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10237D"/>
    <w:multiLevelType w:val="hybridMultilevel"/>
    <w:tmpl w:val="6A40761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5571509"/>
    <w:multiLevelType w:val="hybridMultilevel"/>
    <w:tmpl w:val="F9908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5545760"/>
    <w:multiLevelType w:val="hybridMultilevel"/>
    <w:tmpl w:val="A5D218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7"/>
  </w:num>
  <w:num w:numId="5">
    <w:abstractNumId w:val="2"/>
  </w:num>
  <w:num w:numId="6">
    <w:abstractNumId w:val="0"/>
  </w:num>
  <w:num w:numId="7">
    <w:abstractNumId w:val="8"/>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6F6A498-0DBF-4BE2-A3AB-6EF702BE29B5}"/>
    <w:docVar w:name="dgnword-eventsink" w:val="1536920351840"/>
  </w:docVar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61A"/>
    <w:pPr>
      <w:spacing w:line="278" w:lineRule="auto"/>
      <w:jc w:val="both"/>
    </w:pPr>
  </w:style>
  <w:style w:type="paragraph" w:styleId="Heading1">
    <w:name w:val="heading 1"/>
    <w:basedOn w:val="Normal"/>
    <w:next w:val="Normal"/>
    <w:link w:val="Heading1Char"/>
    <w:uiPriority w:val="9"/>
    <w:qFormat/>
    <w:rsid w:val="001D1B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C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D1BC2"/>
    <w:rPr>
      <w:color w:val="0563C1" w:themeColor="hyperlink"/>
      <w:u w:val="single"/>
    </w:rPr>
  </w:style>
  <w:style w:type="character" w:customStyle="1" w:styleId="UnresolvedMention1">
    <w:name w:val="Unresolved Mention1"/>
    <w:basedOn w:val="DefaultParagraphFont"/>
    <w:uiPriority w:val="99"/>
    <w:semiHidden/>
    <w:unhideWhenUsed/>
    <w:rsid w:val="001D1BC2"/>
    <w:rPr>
      <w:color w:val="605E5C"/>
      <w:shd w:val="clear" w:color="auto" w:fill="E1DFDD"/>
    </w:rPr>
  </w:style>
  <w:style w:type="paragraph" w:styleId="Quote">
    <w:name w:val="Quote"/>
    <w:basedOn w:val="Normal"/>
    <w:next w:val="Normal"/>
    <w:link w:val="QuoteChar"/>
    <w:uiPriority w:val="29"/>
    <w:qFormat/>
    <w:rsid w:val="00D41C48"/>
    <w:pPr>
      <w:spacing w:before="200"/>
    </w:pPr>
    <w:rPr>
      <w:i/>
      <w:iCs/>
      <w:color w:val="595959" w:themeColor="text1" w:themeTint="A6"/>
    </w:rPr>
  </w:style>
  <w:style w:type="character" w:customStyle="1" w:styleId="QuoteChar">
    <w:name w:val="Quote Char"/>
    <w:basedOn w:val="DefaultParagraphFont"/>
    <w:link w:val="Quote"/>
    <w:uiPriority w:val="29"/>
    <w:rsid w:val="00D41C48"/>
    <w:rPr>
      <w:i/>
      <w:iCs/>
      <w:color w:val="595959" w:themeColor="text1" w:themeTint="A6"/>
    </w:rPr>
  </w:style>
  <w:style w:type="paragraph" w:styleId="Title">
    <w:name w:val="Title"/>
    <w:basedOn w:val="Normal"/>
    <w:next w:val="Normal"/>
    <w:link w:val="TitleChar"/>
    <w:uiPriority w:val="10"/>
    <w:qFormat/>
    <w:rsid w:val="00DF2FBC"/>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DF2FBC"/>
    <w:rPr>
      <w:rFonts w:asciiTheme="majorHAnsi" w:eastAsiaTheme="majorEastAsia" w:hAnsiTheme="majorHAnsi" w:cstheme="majorBidi"/>
      <w:spacing w:val="-10"/>
      <w:kern w:val="28"/>
      <w:sz w:val="36"/>
      <w:szCs w:val="56"/>
    </w:rPr>
  </w:style>
  <w:style w:type="paragraph" w:styleId="Header">
    <w:name w:val="header"/>
    <w:basedOn w:val="Normal"/>
    <w:link w:val="HeaderChar"/>
    <w:uiPriority w:val="99"/>
    <w:semiHidden/>
    <w:unhideWhenUsed/>
    <w:rsid w:val="00E515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1538"/>
  </w:style>
  <w:style w:type="paragraph" w:styleId="Footer">
    <w:name w:val="footer"/>
    <w:basedOn w:val="Normal"/>
    <w:link w:val="FooterChar"/>
    <w:uiPriority w:val="99"/>
    <w:semiHidden/>
    <w:unhideWhenUsed/>
    <w:rsid w:val="00E5153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51538"/>
  </w:style>
  <w:style w:type="paragraph" w:styleId="FootnoteText">
    <w:name w:val="footnote text"/>
    <w:basedOn w:val="Normal"/>
    <w:link w:val="FootnoteTextChar"/>
    <w:uiPriority w:val="99"/>
    <w:semiHidden/>
    <w:unhideWhenUsed/>
    <w:rsid w:val="00DA5A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5A85"/>
    <w:rPr>
      <w:sz w:val="20"/>
      <w:szCs w:val="20"/>
    </w:rPr>
  </w:style>
  <w:style w:type="character" w:styleId="FootnoteReference">
    <w:name w:val="footnote reference"/>
    <w:basedOn w:val="DefaultParagraphFont"/>
    <w:uiPriority w:val="99"/>
    <w:semiHidden/>
    <w:unhideWhenUsed/>
    <w:rsid w:val="00E51538"/>
    <w:rPr>
      <w:vertAlign w:val="superscript"/>
    </w:rPr>
  </w:style>
  <w:style w:type="paragraph" w:styleId="ListParagraph">
    <w:name w:val="List Paragraph"/>
    <w:basedOn w:val="Normal"/>
    <w:uiPriority w:val="34"/>
    <w:qFormat/>
    <w:rsid w:val="006679EA"/>
    <w:pPr>
      <w:ind w:left="720"/>
      <w:contextualSpacing/>
    </w:pPr>
  </w:style>
  <w:style w:type="character" w:styleId="CommentReference">
    <w:name w:val="annotation reference"/>
    <w:basedOn w:val="DefaultParagraphFont"/>
    <w:uiPriority w:val="99"/>
    <w:semiHidden/>
    <w:unhideWhenUsed/>
    <w:rsid w:val="00AF63AF"/>
    <w:rPr>
      <w:sz w:val="16"/>
      <w:szCs w:val="16"/>
    </w:rPr>
  </w:style>
  <w:style w:type="paragraph" w:styleId="CommentText">
    <w:name w:val="annotation text"/>
    <w:basedOn w:val="Normal"/>
    <w:link w:val="CommentTextChar"/>
    <w:uiPriority w:val="99"/>
    <w:unhideWhenUsed/>
    <w:rsid w:val="00AF63AF"/>
    <w:pPr>
      <w:spacing w:line="240" w:lineRule="auto"/>
    </w:pPr>
    <w:rPr>
      <w:sz w:val="20"/>
      <w:szCs w:val="20"/>
    </w:rPr>
  </w:style>
  <w:style w:type="character" w:customStyle="1" w:styleId="CommentTextChar">
    <w:name w:val="Comment Text Char"/>
    <w:basedOn w:val="DefaultParagraphFont"/>
    <w:link w:val="CommentText"/>
    <w:uiPriority w:val="99"/>
    <w:rsid w:val="00AF63AF"/>
    <w:rPr>
      <w:sz w:val="20"/>
      <w:szCs w:val="20"/>
    </w:rPr>
  </w:style>
  <w:style w:type="paragraph" w:styleId="CommentSubject">
    <w:name w:val="annotation subject"/>
    <w:basedOn w:val="CommentText"/>
    <w:next w:val="CommentText"/>
    <w:link w:val="CommentSubjectChar"/>
    <w:uiPriority w:val="99"/>
    <w:semiHidden/>
    <w:unhideWhenUsed/>
    <w:rsid w:val="00AF63AF"/>
    <w:rPr>
      <w:b/>
      <w:bCs/>
    </w:rPr>
  </w:style>
  <w:style w:type="character" w:customStyle="1" w:styleId="CommentSubjectChar">
    <w:name w:val="Comment Subject Char"/>
    <w:basedOn w:val="CommentTextChar"/>
    <w:link w:val="CommentSubject"/>
    <w:uiPriority w:val="99"/>
    <w:semiHidden/>
    <w:rsid w:val="00AF63AF"/>
    <w:rPr>
      <w:b/>
      <w:bCs/>
      <w:sz w:val="20"/>
      <w:szCs w:val="20"/>
    </w:rPr>
  </w:style>
  <w:style w:type="table" w:styleId="TableGrid">
    <w:name w:val="Table Grid"/>
    <w:basedOn w:val="TableNormal"/>
    <w:uiPriority w:val="39"/>
    <w:rsid w:val="00B54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34B7B"/>
    <w:rPr>
      <w:i/>
      <w:iCs/>
    </w:rPr>
  </w:style>
  <w:style w:type="character" w:styleId="SubtleEmphasis">
    <w:name w:val="Subtle Emphasis"/>
    <w:basedOn w:val="DefaultParagraphFont"/>
    <w:uiPriority w:val="19"/>
    <w:qFormat/>
    <w:rsid w:val="00DC2A44"/>
    <w:rPr>
      <w:i/>
      <w:iCs/>
      <w:color w:val="404040" w:themeColor="text1" w:themeTint="BF"/>
    </w:rPr>
  </w:style>
  <w:style w:type="paragraph" w:styleId="Revision">
    <w:name w:val="Revision"/>
    <w:hidden/>
    <w:uiPriority w:val="99"/>
    <w:semiHidden/>
    <w:rsid w:val="00CD36C3"/>
    <w:pPr>
      <w:spacing w:after="0" w:line="240" w:lineRule="auto"/>
    </w:pPr>
  </w:style>
  <w:style w:type="character" w:styleId="FollowedHyperlink">
    <w:name w:val="FollowedHyperlink"/>
    <w:basedOn w:val="DefaultParagraphFont"/>
    <w:uiPriority w:val="99"/>
    <w:semiHidden/>
    <w:unhideWhenUsed/>
    <w:rsid w:val="0093509B"/>
    <w:rPr>
      <w:color w:val="954F72" w:themeColor="followedHyperlink"/>
      <w:u w:val="single"/>
    </w:rPr>
  </w:style>
  <w:style w:type="character" w:customStyle="1" w:styleId="FootnoteReference1">
    <w:name w:val="Footnote Reference1"/>
    <w:basedOn w:val="FootnoteReference"/>
    <w:uiPriority w:val="1"/>
    <w:qFormat/>
    <w:rsid w:val="00D742E7"/>
    <w:rPr>
      <w:rFonts w:ascii="Verdana" w:hAnsi="Verdana"/>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E588BEA746E5478D72F5CB7138C078" ma:contentTypeVersion="16" ma:contentTypeDescription="Create a new document." ma:contentTypeScope="" ma:versionID="2bbf94b1c6068c682420e211ca48d4d9">
  <xsd:schema xmlns:xsd="http://www.w3.org/2001/XMLSchema" xmlns:xs="http://www.w3.org/2001/XMLSchema" xmlns:p="http://schemas.microsoft.com/office/2006/metadata/properties" xmlns:ns2="aef99bcc-b18b-44f1-a241-8f12d7ea7976" xmlns:ns3="e5e4dbf6-565d-4406-8fdd-77d94833c6da" targetNamespace="http://schemas.microsoft.com/office/2006/metadata/properties" ma:root="true" ma:fieldsID="c2b7d44f2adfec726e48237accbf5386" ns2:_="" ns3:_="">
    <xsd:import namespace="aef99bcc-b18b-44f1-a241-8f12d7ea7976"/>
    <xsd:import namespace="e5e4dbf6-565d-4406-8fdd-77d94833c6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99bcc-b18b-44f1-a241-8f12d7ea7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e4dbf6-565d-4406-8fdd-77d94833c6da"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element name="TaxCatchAll" ma:index="20" nillable="true" ma:displayName="Taxonomy Catch All Column" ma:hidden="true" ma:list="{e857c73d-935c-47f9-ae2f-0098558f0582}" ma:internalName="TaxCatchAll" ma:showField="CatchAllData" ma:web="e5e4dbf6-565d-4406-8fdd-77d94833c6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e5e4dbf6-565d-4406-8fdd-77d94833c6da" xsi:nil="true"/>
    <lcf76f155ced4ddcb4097134ff3c332f xmlns="aef99bcc-b18b-44f1-a241-8f12d7ea7976">
      <Terms xmlns="http://schemas.microsoft.com/office/infopath/2007/PartnerControls"/>
    </lcf76f155ced4ddcb4097134ff3c332f>
    <TaxCatchAll xmlns="e5e4dbf6-565d-4406-8fdd-77d94833c6da" xsi:nil="true"/>
    <_ip_UnifiedCompliancePolicyProperties xmlns="e5e4dbf6-565d-4406-8fdd-77d94833c6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6EB93-942F-449C-9D78-A4616C0E6153}">
  <ds:schemaRefs>
    <ds:schemaRef ds:uri="http://schemas.openxmlformats.org/officeDocument/2006/bibliography"/>
  </ds:schemaRefs>
</ds:datastoreItem>
</file>

<file path=customXml/itemProps2.xml><?xml version="1.0" encoding="utf-8"?>
<ds:datastoreItem xmlns:ds="http://schemas.openxmlformats.org/officeDocument/2006/customXml" ds:itemID="{642394B4-780B-457E-A068-05154DF32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99bcc-b18b-44f1-a241-8f12d7ea7976"/>
    <ds:schemaRef ds:uri="e5e4dbf6-565d-4406-8fdd-77d94833c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319C9-43A5-4BFC-A7CB-EB98D0442621}">
  <ds:schemaRefs>
    <ds:schemaRef ds:uri="http://schemas.microsoft.com/office/2006/metadata/properties"/>
    <ds:schemaRef ds:uri="http://schemas.microsoft.com/office/infopath/2007/PartnerControls"/>
    <ds:schemaRef ds:uri="e5e4dbf6-565d-4406-8fdd-77d94833c6da"/>
    <ds:schemaRef ds:uri="aef99bcc-b18b-44f1-a241-8f12d7ea7976"/>
  </ds:schemaRefs>
</ds:datastoreItem>
</file>

<file path=customXml/itemProps4.xml><?xml version="1.0" encoding="utf-8"?>
<ds:datastoreItem xmlns:ds="http://schemas.openxmlformats.org/officeDocument/2006/customXml" ds:itemID="{182A529A-BFA0-43E1-A692-7523E38325D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CVX0061</dc:title>
  <cp:revision>0</cp:revision>
</cp:coreProperties>
</file>