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B65BB" w:rsidRPr="00A46051" w:rsidP="002B1C7B">
      <w:pPr>
        <w:spacing w:after="0" w:line="240" w:lineRule="auto"/>
        <w:jc w:val="right"/>
      </w:pPr>
    </w:p>
    <w:p w:rsidR="006B65BB" w:rsidRPr="00A73086" w:rsidP="00A73086">
      <w:pPr>
        <w:spacing w:after="0" w:line="240" w:lineRule="auto"/>
        <w:jc w:val="center"/>
        <w:rPr>
          <w:rFonts w:ascii="Aptos" w:hAnsi="Aptos"/>
        </w:rPr>
      </w:pPr>
    </w:p>
    <w:p w:rsidR="00A73086" w:rsidP="00A73086">
      <w:pPr>
        <w:spacing w:after="0" w:line="240" w:lineRule="auto"/>
        <w:jc w:val="center"/>
        <w:rPr>
          <w:rFonts w:ascii="Aptos" w:hAnsi="Aptos" w:cstheme="majorHAnsi"/>
          <w:b/>
        </w:rPr>
      </w:pPr>
    </w:p>
    <w:p w:rsidR="00A73086" w:rsidRPr="00A73086" w:rsidP="00A73086">
      <w:pPr>
        <w:spacing w:after="0" w:line="240" w:lineRule="auto"/>
        <w:jc w:val="center"/>
        <w:rPr>
          <w:rFonts w:ascii="Aptos" w:hAnsi="Aptos" w:cstheme="majorHAnsi"/>
          <w:b/>
        </w:rPr>
      </w:pPr>
      <w:r w:rsidRPr="00A73086">
        <w:rPr>
          <w:rFonts w:ascii="Aptos" w:hAnsi="Aptos" w:cstheme="majorHAnsi"/>
          <w:b/>
        </w:rPr>
        <w:t>WRITTEN EVIDENCE SUBMITTED BY BRITISH ASSOCIATION OF SOCIAL WORKERS ENGLAND</w:t>
      </w:r>
    </w:p>
    <w:p w:rsidR="00A73086" w:rsidRPr="00A73086" w:rsidP="00A73086">
      <w:pPr>
        <w:spacing w:after="0" w:line="240" w:lineRule="auto"/>
        <w:jc w:val="center"/>
        <w:rPr>
          <w:rFonts w:ascii="Aptos" w:hAnsi="Aptos" w:cstheme="majorHAnsi"/>
          <w:b/>
        </w:rPr>
      </w:pPr>
      <w:r w:rsidRPr="00A73086">
        <w:rPr>
          <w:rFonts w:ascii="Aptos" w:hAnsi="Aptos" w:cstheme="majorHAnsi"/>
          <w:b/>
        </w:rPr>
        <w:t>(CSC0097)</w:t>
      </w:r>
    </w:p>
    <w:p w:rsidR="00A73086" w:rsidP="005826BE">
      <w:pPr>
        <w:spacing w:after="0" w:line="240" w:lineRule="auto"/>
        <w:jc w:val="both"/>
        <w:rPr>
          <w:sz w:val="24"/>
          <w:szCs w:val="24"/>
        </w:rPr>
      </w:pPr>
    </w:p>
    <w:p w:rsidR="006B65BB" w:rsidRPr="00B3543C" w:rsidP="005826BE">
      <w:pPr>
        <w:spacing w:after="0" w:line="240" w:lineRule="auto"/>
        <w:jc w:val="both"/>
        <w:rPr>
          <w:sz w:val="24"/>
          <w:szCs w:val="24"/>
        </w:rPr>
      </w:pPr>
      <w:r w:rsidRPr="00B3543C">
        <w:rPr>
          <w:sz w:val="24"/>
          <w:szCs w:val="24"/>
        </w:rPr>
        <w:t xml:space="preserve">Dear Lord Alton, </w:t>
      </w:r>
    </w:p>
    <w:p w:rsidR="006B65BB" w:rsidRPr="00B3543C" w:rsidP="00BC2CB5">
      <w:pPr>
        <w:spacing w:after="0" w:line="240" w:lineRule="auto"/>
        <w:jc w:val="both"/>
        <w:rPr>
          <w:sz w:val="24"/>
          <w:szCs w:val="24"/>
        </w:rPr>
      </w:pPr>
    </w:p>
    <w:p w:rsidR="006B65BB" w:rsidRPr="00B3543C" w:rsidP="00BC2CB5">
      <w:pPr>
        <w:spacing w:after="0" w:line="240" w:lineRule="auto"/>
        <w:jc w:val="both"/>
        <w:rPr>
          <w:b/>
          <w:bCs/>
          <w:sz w:val="24"/>
          <w:szCs w:val="24"/>
          <w:u w:val="single"/>
        </w:rPr>
      </w:pPr>
      <w:r w:rsidRPr="00B3543C">
        <w:rPr>
          <w:b/>
          <w:bCs/>
          <w:sz w:val="24"/>
          <w:szCs w:val="24"/>
          <w:u w:val="single"/>
        </w:rPr>
        <w:t>Re: Enquiry into Human Rights in Children’s Social Work</w:t>
      </w:r>
    </w:p>
    <w:p w:rsidR="006B65BB" w:rsidRPr="00B3543C" w:rsidP="00BC2CB5">
      <w:pPr>
        <w:spacing w:after="0" w:line="240" w:lineRule="auto"/>
        <w:jc w:val="both"/>
        <w:rPr>
          <w:sz w:val="24"/>
          <w:szCs w:val="24"/>
        </w:rPr>
      </w:pPr>
      <w:r w:rsidRPr="00B3543C">
        <w:rPr>
          <w:sz w:val="24"/>
          <w:szCs w:val="24"/>
        </w:rPr>
        <w:t xml:space="preserve">On the </w:t>
      </w:r>
      <w:r w:rsidRPr="00B3543C">
        <w:rPr>
          <w:sz w:val="24"/>
          <w:szCs w:val="24"/>
        </w:rPr>
        <w:t>11</w:t>
      </w:r>
      <w:r w:rsidRPr="00B3543C">
        <w:rPr>
          <w:sz w:val="24"/>
          <w:szCs w:val="24"/>
          <w:vertAlign w:val="superscript"/>
        </w:rPr>
        <w:t>th</w:t>
      </w:r>
      <w:r w:rsidRPr="00B3543C">
        <w:rPr>
          <w:sz w:val="24"/>
          <w:szCs w:val="24"/>
        </w:rPr>
        <w:t xml:space="preserve"> March this year I had the honour of giving verbal evidence to your committee on behalf of the British Association of Social Workers (BASW): this was in addition to the written evidence we had already submitted.</w:t>
      </w:r>
    </w:p>
    <w:p w:rsidR="006B65BB" w:rsidRPr="00B3543C" w:rsidP="00BC2CB5">
      <w:pPr>
        <w:spacing w:after="0" w:line="240" w:lineRule="auto"/>
        <w:jc w:val="both"/>
        <w:rPr>
          <w:sz w:val="24"/>
          <w:szCs w:val="24"/>
        </w:rPr>
      </w:pPr>
    </w:p>
    <w:p w:rsidR="006B65BB" w:rsidRPr="0081349F" w:rsidP="00BC2CB5">
      <w:pPr>
        <w:spacing w:after="0" w:line="240" w:lineRule="auto"/>
        <w:jc w:val="both"/>
        <w:rPr>
          <w:sz w:val="24"/>
          <w:szCs w:val="24"/>
        </w:rPr>
      </w:pPr>
      <w:r w:rsidRPr="00B3543C">
        <w:rPr>
          <w:sz w:val="24"/>
          <w:szCs w:val="24"/>
        </w:rPr>
        <w:t xml:space="preserve">During my evidence you asked me on several occasions if I could provide you with further written evidence to contextualise the points I was making. To the best of my recollection, the issues you wished to hear more </w:t>
      </w:r>
      <w:r w:rsidRPr="0081349F">
        <w:rPr>
          <w:sz w:val="24"/>
          <w:szCs w:val="24"/>
        </w:rPr>
        <w:t>about were as follows.</w:t>
      </w:r>
    </w:p>
    <w:p w:rsidR="006B65BB" w:rsidRPr="0081349F" w:rsidP="00BC2CB5">
      <w:pPr>
        <w:spacing w:after="0" w:line="240" w:lineRule="auto"/>
        <w:jc w:val="both"/>
        <w:rPr>
          <w:sz w:val="24"/>
          <w:szCs w:val="24"/>
        </w:rPr>
      </w:pPr>
    </w:p>
    <w:p w:rsidR="006B65BB" w:rsidRPr="0081349F" w:rsidP="001D1F13">
      <w:pPr>
        <w:pStyle w:val="Heading2"/>
        <w:numPr>
          <w:ilvl w:val="0"/>
          <w:numId w:val="5"/>
        </w:numPr>
        <w:rPr>
          <w:color w:val="auto"/>
          <w:sz w:val="28"/>
          <w:szCs w:val="28"/>
        </w:rPr>
      </w:pPr>
      <w:r w:rsidRPr="0081349F">
        <w:rPr>
          <w:color w:val="auto"/>
          <w:sz w:val="28"/>
          <w:szCs w:val="28"/>
        </w:rPr>
        <w:t xml:space="preserve">Age Based legislation and regulation of services </w:t>
      </w:r>
    </w:p>
    <w:p w:rsidR="006B65BB" w:rsidRPr="0081349F" w:rsidP="001D1F13">
      <w:pPr>
        <w:rPr>
          <w:sz w:val="24"/>
          <w:szCs w:val="24"/>
        </w:rPr>
      </w:pPr>
      <w:r w:rsidRPr="0081349F">
        <w:rPr>
          <w:sz w:val="24"/>
          <w:szCs w:val="24"/>
        </w:rPr>
        <w:t xml:space="preserve">In my evidence to your committee, I suggested that the current chronological age based legislative framework of the Children Act (0-18), the Care Act (18+), OFSTED’s regulation of both children’s social work and children’s providers (0-18) and CQC’s regulation of Adult Social Work and adult care providers (18+) is inherently discriminatory. </w:t>
      </w:r>
    </w:p>
    <w:p w:rsidR="006B65BB" w:rsidRPr="00B3543C" w:rsidP="001D1F13">
      <w:pPr>
        <w:rPr>
          <w:sz w:val="24"/>
          <w:szCs w:val="24"/>
        </w:rPr>
      </w:pPr>
      <w:r w:rsidRPr="0081349F">
        <w:rPr>
          <w:sz w:val="24"/>
          <w:szCs w:val="24"/>
        </w:rPr>
        <w:t xml:space="preserve">I informed the committee that our members are regularly </w:t>
      </w:r>
      <w:r w:rsidRPr="00B3543C">
        <w:rPr>
          <w:sz w:val="24"/>
          <w:szCs w:val="24"/>
        </w:rPr>
        <w:t xml:space="preserve">frustrated by having to force a young person to leave a successful placement simply because they are turning 18 and not because they are developmentally ready to move. </w:t>
      </w:r>
    </w:p>
    <w:p w:rsidR="006B65BB" w:rsidRPr="00B3543C" w:rsidP="006514FE">
      <w:pPr>
        <w:rPr>
          <w:sz w:val="24"/>
          <w:szCs w:val="24"/>
        </w:rPr>
      </w:pPr>
      <w:r w:rsidRPr="00B3543C">
        <w:rPr>
          <w:sz w:val="24"/>
          <w:szCs w:val="24"/>
        </w:rPr>
        <w:t xml:space="preserve">You asked for an estimate of the number of children impacted by the harmful application of </w:t>
      </w:r>
      <w:r w:rsidRPr="00B3543C">
        <w:rPr>
          <w:sz w:val="24"/>
          <w:szCs w:val="24"/>
        </w:rPr>
        <w:t>age based</w:t>
      </w:r>
      <w:r w:rsidRPr="00B3543C">
        <w:rPr>
          <w:sz w:val="24"/>
          <w:szCs w:val="24"/>
        </w:rPr>
        <w:t xml:space="preserve"> criteria each year. While our members </w:t>
      </w:r>
      <w:r w:rsidRPr="00B3543C">
        <w:rPr>
          <w:sz w:val="24"/>
          <w:szCs w:val="24"/>
        </w:rPr>
        <w:t>are not able to</w:t>
      </w:r>
      <w:r w:rsidRPr="00B3543C">
        <w:rPr>
          <w:sz w:val="24"/>
          <w:szCs w:val="24"/>
        </w:rPr>
        <w:t xml:space="preserve"> develop a national quantitative estimate, they tell us that all young people known to the Social Work system at age 17 are likely to be harmed by this to some extent and many will be caused significant harm. One Social Worker estimated that in their experience, of the disabled young people who transition each year to adult services, at least half are forced to leave services they are not ready to leave and about a quarter end up needing some sort of crisis management plan to deal with this harm.</w:t>
      </w:r>
    </w:p>
    <w:p w:rsidR="006B65BB" w:rsidRPr="0081349F" w:rsidP="001D1F13">
      <w:pPr>
        <w:rPr>
          <w:sz w:val="24"/>
          <w:szCs w:val="24"/>
        </w:rPr>
      </w:pPr>
      <w:r w:rsidRPr="00B3543C">
        <w:rPr>
          <w:sz w:val="24"/>
          <w:szCs w:val="24"/>
        </w:rPr>
        <w:t xml:space="preserve">You also asked if I could provide real examples of the harm caused to young people by this strict application of chronological age criteria and being forced to change provision. Having contacted our members and the people with lived experience who support our work, I have selected a few representative examples from the many submitted that illustrate the broad range of risks and harm caused by the strict application of age based criteria: the examples in italics (1.1 to 1.3) are from Social Workers in practice, the other examples (1.4 on) are from </w:t>
      </w:r>
      <w:r w:rsidRPr="0081349F">
        <w:rPr>
          <w:sz w:val="24"/>
          <w:szCs w:val="24"/>
        </w:rPr>
        <w:t>Social Worker in academic positions, reflecting the wider evidence collected through their research activities.</w:t>
      </w:r>
    </w:p>
    <w:p w:rsidR="006B65BB" w:rsidRPr="0081349F" w:rsidP="0024755D">
      <w:pPr>
        <w:pStyle w:val="Heading3"/>
        <w:numPr>
          <w:ilvl w:val="1"/>
          <w:numId w:val="6"/>
        </w:numPr>
        <w:rPr>
          <w:color w:val="auto"/>
          <w:sz w:val="28"/>
          <w:szCs w:val="28"/>
        </w:rPr>
      </w:pPr>
      <w:r w:rsidRPr="0081349F">
        <w:rPr>
          <w:color w:val="auto"/>
          <w:sz w:val="28"/>
          <w:szCs w:val="28"/>
        </w:rPr>
        <w:t xml:space="preserve">Autistic young person ending up in a ‘restricted’ setting far from home </w:t>
      </w:r>
    </w:p>
    <w:p w:rsidR="006B65BB" w:rsidRPr="00B3543C" w:rsidP="004D5978">
      <w:pPr>
        <w:rPr>
          <w:i/>
          <w:iCs/>
          <w:sz w:val="24"/>
          <w:szCs w:val="24"/>
        </w:rPr>
      </w:pPr>
      <w:r w:rsidRPr="0081349F">
        <w:rPr>
          <w:sz w:val="24"/>
          <w:szCs w:val="24"/>
        </w:rPr>
        <w:t>‘</w:t>
      </w:r>
      <w:r w:rsidRPr="0081349F">
        <w:rPr>
          <w:i/>
          <w:iCs/>
          <w:sz w:val="24"/>
          <w:szCs w:val="24"/>
        </w:rPr>
        <w:t xml:space="preserve">An Autistic young person with learning disabilities who had lived successfully in a residential care home for children had to move to a new placement when they turned 18. The move was carefully planned by the children’s teams and health colleagues supported the planning. The young person’s parents were central to the planning process, but they were very clear that what they really wanted was for the young person to stay where they were for a few more years until they were ready to move to a supported living placement. The residential care provider was clear that this was not possible due to OFSTED regulations, as to breach these regulations would put their OFSTED registration at </w:t>
      </w:r>
      <w:r w:rsidRPr="00B3543C">
        <w:rPr>
          <w:i/>
          <w:iCs/>
          <w:sz w:val="24"/>
          <w:szCs w:val="24"/>
        </w:rPr>
        <w:t>risk.</w:t>
      </w:r>
    </w:p>
    <w:p w:rsidR="006B65BB" w:rsidRPr="00B3543C" w:rsidP="004D5978">
      <w:pPr>
        <w:rPr>
          <w:i/>
          <w:iCs/>
          <w:sz w:val="24"/>
          <w:szCs w:val="24"/>
        </w:rPr>
      </w:pPr>
      <w:r w:rsidRPr="00B3543C">
        <w:rPr>
          <w:i/>
          <w:iCs/>
          <w:sz w:val="24"/>
          <w:szCs w:val="24"/>
        </w:rPr>
        <w:t>Once the new placement was identified the parents visited and agreed it was appropriate. A programme of transition to the new care home was put in place, but due to the person’s capacity, and that they were not able to understand the need to move, or be introduced to a new care home that they ‘might’ move to, the actual moved happened very quickly but with staff from the new care home working with the young person in the old care home to get to know them before they moved. As a ‘Plan B’ in case things went wrong, it was agreed that the young person would stay with their parents, with additional support, until another care home could be found.</w:t>
      </w:r>
    </w:p>
    <w:p w:rsidR="006B65BB" w:rsidRPr="00B3543C" w:rsidP="004D5978">
      <w:pPr>
        <w:rPr>
          <w:i/>
          <w:iCs/>
          <w:sz w:val="24"/>
          <w:szCs w:val="24"/>
        </w:rPr>
      </w:pPr>
      <w:r w:rsidRPr="00B3543C">
        <w:rPr>
          <w:i/>
          <w:iCs/>
          <w:sz w:val="24"/>
          <w:szCs w:val="24"/>
        </w:rPr>
        <w:t xml:space="preserve">Despite this ‘best practice’ in planning, the move to the new care home broke down </w:t>
      </w:r>
      <w:r w:rsidRPr="00B3543C">
        <w:rPr>
          <w:i/>
          <w:iCs/>
          <w:sz w:val="24"/>
          <w:szCs w:val="24"/>
        </w:rPr>
        <w:t>really quickly</w:t>
      </w:r>
      <w:r w:rsidRPr="00B3543C">
        <w:rPr>
          <w:i/>
          <w:iCs/>
          <w:sz w:val="24"/>
          <w:szCs w:val="24"/>
        </w:rPr>
        <w:t xml:space="preserve"> as the young person was so agitated by being removed from what they considered to be their home and being separated from all their friends.</w:t>
      </w:r>
    </w:p>
    <w:p w:rsidR="006B65BB" w:rsidRPr="0081349F" w:rsidP="004D5978">
      <w:pPr>
        <w:rPr>
          <w:sz w:val="24"/>
          <w:szCs w:val="24"/>
        </w:rPr>
      </w:pPr>
      <w:r w:rsidRPr="00B3543C">
        <w:rPr>
          <w:i/>
          <w:iCs/>
          <w:sz w:val="24"/>
          <w:szCs w:val="24"/>
        </w:rPr>
        <w:t xml:space="preserve">As it was not possible to find an alternative care home immediately, Plan B was put in place and the young person moved to live with their family. The level of agitation caused by the move remained, and as a result the young </w:t>
      </w:r>
      <w:r w:rsidRPr="0081349F">
        <w:rPr>
          <w:i/>
          <w:iCs/>
          <w:sz w:val="24"/>
          <w:szCs w:val="24"/>
        </w:rPr>
        <w:t xml:space="preserve">person started assaulting their parents and siblings and self-harming. The need to find a new care home quickly meant the young person had to move a long way from home and to be supported with 2:1 or 3:1 staffing </w:t>
      </w:r>
      <w:r w:rsidRPr="0081349F">
        <w:rPr>
          <w:i/>
          <w:iCs/>
          <w:sz w:val="24"/>
          <w:szCs w:val="24"/>
        </w:rPr>
        <w:t>in order to</w:t>
      </w:r>
      <w:r w:rsidRPr="0081349F">
        <w:rPr>
          <w:i/>
          <w:iCs/>
          <w:sz w:val="24"/>
          <w:szCs w:val="24"/>
        </w:rPr>
        <w:t xml:space="preserve"> keep the young person, the staff and the other residents safe. Before moving, the young person had never needed 2:1 or 3:1 support’</w:t>
      </w:r>
      <w:r w:rsidRPr="0081349F">
        <w:rPr>
          <w:sz w:val="24"/>
          <w:szCs w:val="24"/>
        </w:rPr>
        <w:t>.</w:t>
      </w:r>
    </w:p>
    <w:p w:rsidR="006B65BB" w:rsidRPr="0081349F" w:rsidP="007B1F11">
      <w:pPr>
        <w:pStyle w:val="Heading3"/>
        <w:numPr>
          <w:ilvl w:val="1"/>
          <w:numId w:val="6"/>
        </w:numPr>
        <w:rPr>
          <w:color w:val="auto"/>
          <w:sz w:val="28"/>
          <w:szCs w:val="28"/>
        </w:rPr>
      </w:pPr>
      <w:r w:rsidRPr="0081349F">
        <w:rPr>
          <w:color w:val="auto"/>
          <w:sz w:val="28"/>
          <w:szCs w:val="28"/>
        </w:rPr>
        <w:t>Care Experienced young person forced to move</w:t>
      </w:r>
    </w:p>
    <w:p w:rsidR="006B65BB" w:rsidRPr="0081349F" w:rsidP="005826BE">
      <w:pPr>
        <w:spacing w:after="0" w:line="240" w:lineRule="auto"/>
        <w:jc w:val="both"/>
        <w:rPr>
          <w:i/>
          <w:iCs/>
          <w:sz w:val="24"/>
          <w:szCs w:val="24"/>
        </w:rPr>
      </w:pPr>
      <w:r w:rsidRPr="0081349F">
        <w:rPr>
          <w:i/>
          <w:iCs/>
          <w:sz w:val="24"/>
          <w:szCs w:val="24"/>
        </w:rPr>
        <w:t xml:space="preserve">‘A Care Experienced young person had to move into supported accommodation at 16, being forced to leave her successful residential care home where she had lived for three years, in preparation for the withdrawal of support when she turned 18. This was the longest she had lived anywhere after a </w:t>
      </w:r>
      <w:r w:rsidRPr="0081349F">
        <w:rPr>
          <w:i/>
          <w:iCs/>
          <w:sz w:val="24"/>
          <w:szCs w:val="24"/>
        </w:rPr>
        <w:t>really traumatic</w:t>
      </w:r>
      <w:r w:rsidRPr="0081349F">
        <w:rPr>
          <w:i/>
          <w:iCs/>
          <w:sz w:val="24"/>
          <w:szCs w:val="24"/>
        </w:rPr>
        <w:t xml:space="preserve"> childhood, and it took a massive toll on her already fragile mental health. As a direct result she began to drink excessively to cope with the uncertainty of where she would live, to numb the pain and to deal with her anxiety. </w:t>
      </w:r>
    </w:p>
    <w:p w:rsidR="006B65BB" w:rsidRPr="0081349F" w:rsidP="005826BE">
      <w:pPr>
        <w:spacing w:after="0" w:line="240" w:lineRule="auto"/>
        <w:jc w:val="both"/>
        <w:rPr>
          <w:i/>
          <w:iCs/>
          <w:sz w:val="24"/>
          <w:szCs w:val="24"/>
        </w:rPr>
      </w:pPr>
    </w:p>
    <w:p w:rsidR="006B65BB" w:rsidRPr="0081349F" w:rsidP="005826BE">
      <w:pPr>
        <w:spacing w:after="0" w:line="240" w:lineRule="auto"/>
        <w:jc w:val="both"/>
        <w:rPr>
          <w:i/>
          <w:iCs/>
          <w:sz w:val="24"/>
          <w:szCs w:val="24"/>
        </w:rPr>
      </w:pPr>
      <w:r w:rsidRPr="0081349F">
        <w:rPr>
          <w:i/>
          <w:iCs/>
          <w:sz w:val="24"/>
          <w:szCs w:val="24"/>
        </w:rPr>
        <w:t xml:space="preserve">The same young person was then forced to move again from her supported accommodation at 18 once the funding for the rent from children’s Social Work was no longer available as the rent was more than the limit that can be funded by Universal Credit. </w:t>
      </w:r>
    </w:p>
    <w:p w:rsidR="006B65BB" w:rsidRPr="0081349F" w:rsidP="005826BE">
      <w:pPr>
        <w:spacing w:after="0" w:line="240" w:lineRule="auto"/>
        <w:jc w:val="both"/>
        <w:rPr>
          <w:i/>
          <w:iCs/>
          <w:sz w:val="24"/>
          <w:szCs w:val="24"/>
        </w:rPr>
      </w:pPr>
    </w:p>
    <w:p w:rsidR="006B65BB" w:rsidRPr="0081349F" w:rsidP="005826BE">
      <w:pPr>
        <w:spacing w:after="0" w:line="240" w:lineRule="auto"/>
        <w:jc w:val="both"/>
        <w:rPr>
          <w:i/>
          <w:iCs/>
          <w:sz w:val="24"/>
          <w:szCs w:val="24"/>
        </w:rPr>
      </w:pPr>
      <w:r w:rsidRPr="0081349F">
        <w:rPr>
          <w:i/>
          <w:iCs/>
          <w:sz w:val="24"/>
          <w:szCs w:val="24"/>
        </w:rPr>
        <w:t xml:space="preserve">By this </w:t>
      </w:r>
      <w:r w:rsidRPr="0081349F">
        <w:rPr>
          <w:i/>
          <w:iCs/>
          <w:sz w:val="24"/>
          <w:szCs w:val="24"/>
        </w:rPr>
        <w:t>time</w:t>
      </w:r>
      <w:r w:rsidRPr="0081349F">
        <w:rPr>
          <w:i/>
          <w:iCs/>
          <w:sz w:val="24"/>
          <w:szCs w:val="24"/>
        </w:rPr>
        <w:t xml:space="preserve"> she had managed to build a great relationship with her support worker linked to the accommodation and the linked education worker for that area. All of which will change if she </w:t>
      </w:r>
      <w:r w:rsidRPr="0081349F">
        <w:rPr>
          <w:i/>
          <w:iCs/>
          <w:sz w:val="24"/>
          <w:szCs w:val="24"/>
        </w:rPr>
        <w:t>has to</w:t>
      </w:r>
      <w:r w:rsidRPr="0081349F">
        <w:rPr>
          <w:i/>
          <w:iCs/>
          <w:sz w:val="24"/>
          <w:szCs w:val="24"/>
        </w:rPr>
        <w:t xml:space="preserve"> move out of the area she is in now which seems inevitable. It took months to find the accommodation she’s got due to her very poor mental health presentation, and we are struggling to find her anywhere else suitable locally. </w:t>
      </w:r>
    </w:p>
    <w:p w:rsidR="006B65BB" w:rsidRPr="0081349F" w:rsidP="005826BE">
      <w:pPr>
        <w:spacing w:after="0" w:line="240" w:lineRule="auto"/>
        <w:jc w:val="both"/>
        <w:rPr>
          <w:i/>
          <w:iCs/>
          <w:sz w:val="24"/>
          <w:szCs w:val="24"/>
        </w:rPr>
      </w:pPr>
    </w:p>
    <w:p w:rsidR="006B65BB" w:rsidRPr="0081349F" w:rsidP="000B35AD">
      <w:pPr>
        <w:spacing w:after="0" w:line="240" w:lineRule="auto"/>
        <w:jc w:val="both"/>
        <w:rPr>
          <w:i/>
          <w:iCs/>
          <w:sz w:val="24"/>
          <w:szCs w:val="24"/>
        </w:rPr>
      </w:pPr>
      <w:r w:rsidRPr="0081349F">
        <w:rPr>
          <w:i/>
          <w:iCs/>
          <w:sz w:val="24"/>
          <w:szCs w:val="24"/>
        </w:rPr>
        <w:t xml:space="preserve">She has developmental delays and does not present as would be expected for her chronological age: she is just not ready for these changes, and the two forced moves have caused her real harm from which she will take a long time to recover’. </w:t>
      </w:r>
    </w:p>
    <w:p w:rsidR="006B65BB" w:rsidRPr="0081349F" w:rsidP="005826BE">
      <w:pPr>
        <w:spacing w:after="0" w:line="240" w:lineRule="auto"/>
        <w:jc w:val="both"/>
        <w:rPr>
          <w:sz w:val="24"/>
          <w:szCs w:val="24"/>
        </w:rPr>
      </w:pPr>
    </w:p>
    <w:p w:rsidR="006B65BB" w:rsidRPr="0081349F" w:rsidP="00026FD1">
      <w:pPr>
        <w:pStyle w:val="Heading3"/>
        <w:numPr>
          <w:ilvl w:val="1"/>
          <w:numId w:val="6"/>
        </w:numPr>
        <w:rPr>
          <w:color w:val="auto"/>
          <w:sz w:val="28"/>
          <w:szCs w:val="28"/>
        </w:rPr>
      </w:pPr>
      <w:r w:rsidRPr="0081349F">
        <w:rPr>
          <w:color w:val="auto"/>
          <w:sz w:val="28"/>
          <w:szCs w:val="28"/>
        </w:rPr>
        <w:t>Autistic victim of child sexual exploitation left without any support</w:t>
      </w:r>
    </w:p>
    <w:p w:rsidR="006B65BB" w:rsidRPr="0081349F" w:rsidP="00114659">
      <w:pPr>
        <w:rPr>
          <w:rFonts w:eastAsia="Times New Roman"/>
          <w:i/>
          <w:iCs/>
          <w:sz w:val="24"/>
          <w:szCs w:val="24"/>
        </w:rPr>
      </w:pPr>
      <w:r w:rsidRPr="0081349F">
        <w:rPr>
          <w:rFonts w:eastAsia="Times New Roman"/>
          <w:i/>
          <w:iCs/>
          <w:sz w:val="24"/>
          <w:szCs w:val="24"/>
        </w:rPr>
        <w:t>‘An Autistic young person was also a victim of Child Sexual Exploitation (CSE). The Social Worker started working with her at 17 just prior to her 18</w:t>
      </w:r>
      <w:r w:rsidRPr="0081349F">
        <w:rPr>
          <w:rFonts w:eastAsia="Times New Roman"/>
          <w:i/>
          <w:iCs/>
          <w:sz w:val="24"/>
          <w:szCs w:val="24"/>
          <w:vertAlign w:val="superscript"/>
        </w:rPr>
        <w:t>th</w:t>
      </w:r>
      <w:r w:rsidRPr="0081349F">
        <w:rPr>
          <w:rFonts w:eastAsia="Times New Roman"/>
          <w:i/>
          <w:iCs/>
          <w:sz w:val="24"/>
          <w:szCs w:val="24"/>
        </w:rPr>
        <w:t xml:space="preserve"> birthday. Due to her having selective mutism it took until around 3 weeks before her birthday to get even a hello from her.</w:t>
      </w:r>
    </w:p>
    <w:p w:rsidR="006B65BB" w:rsidRPr="0081349F" w:rsidP="00114659">
      <w:pPr>
        <w:rPr>
          <w:rFonts w:eastAsia="Times New Roman"/>
          <w:i/>
          <w:iCs/>
          <w:sz w:val="24"/>
          <w:szCs w:val="24"/>
        </w:rPr>
      </w:pPr>
      <w:r w:rsidRPr="0081349F">
        <w:rPr>
          <w:rFonts w:eastAsia="Times New Roman"/>
          <w:i/>
          <w:iCs/>
          <w:sz w:val="24"/>
          <w:szCs w:val="24"/>
        </w:rPr>
        <w:t xml:space="preserve">Slow progress was made with the Social Worker visiting her a few times each week. The young person also had an education outreach worker and a specialist CSE social worker. Between them, they were starting to build the foundations for a good relationship with the young person. </w:t>
      </w:r>
    </w:p>
    <w:p w:rsidR="006B65BB" w:rsidRPr="0081349F" w:rsidP="00114659">
      <w:pPr>
        <w:rPr>
          <w:rFonts w:eastAsia="Times New Roman"/>
          <w:i/>
          <w:iCs/>
          <w:sz w:val="24"/>
          <w:szCs w:val="24"/>
        </w:rPr>
      </w:pPr>
      <w:r w:rsidRPr="0081349F">
        <w:rPr>
          <w:rFonts w:eastAsia="Times New Roman"/>
          <w:i/>
          <w:iCs/>
          <w:sz w:val="24"/>
          <w:szCs w:val="24"/>
        </w:rPr>
        <w:t xml:space="preserve">At 18 all the support services around her CSE and lack of education and social anxiety stopped. The Social Worker was advised that the responsibility for this support </w:t>
      </w:r>
      <w:r w:rsidRPr="0081349F">
        <w:rPr>
          <w:rFonts w:eastAsia="Times New Roman"/>
          <w:i/>
          <w:iCs/>
          <w:sz w:val="24"/>
          <w:szCs w:val="24"/>
        </w:rPr>
        <w:t>would to</w:t>
      </w:r>
      <w:r w:rsidRPr="0081349F">
        <w:rPr>
          <w:rFonts w:eastAsia="Times New Roman"/>
          <w:i/>
          <w:iCs/>
          <w:sz w:val="24"/>
          <w:szCs w:val="24"/>
        </w:rPr>
        <w:t xml:space="preserve"> transfer to an </w:t>
      </w:r>
      <w:r w:rsidRPr="0081349F">
        <w:rPr>
          <w:rFonts w:eastAsia="Times New Roman"/>
          <w:i/>
          <w:iCs/>
          <w:sz w:val="24"/>
          <w:szCs w:val="24"/>
        </w:rPr>
        <w:t>adults</w:t>
      </w:r>
      <w:r w:rsidRPr="0081349F">
        <w:rPr>
          <w:rFonts w:eastAsia="Times New Roman"/>
          <w:i/>
          <w:iCs/>
          <w:sz w:val="24"/>
          <w:szCs w:val="24"/>
        </w:rPr>
        <w:t xml:space="preserve"> team. </w:t>
      </w:r>
      <w:r w:rsidRPr="0081349F">
        <w:rPr>
          <w:rFonts w:eastAsia="Times New Roman"/>
          <w:i/>
          <w:iCs/>
          <w:sz w:val="24"/>
          <w:szCs w:val="24"/>
        </w:rPr>
        <w:t>However</w:t>
      </w:r>
      <w:r w:rsidRPr="0081349F">
        <w:rPr>
          <w:rFonts w:eastAsia="Times New Roman"/>
          <w:i/>
          <w:iCs/>
          <w:sz w:val="24"/>
          <w:szCs w:val="24"/>
        </w:rPr>
        <w:t xml:space="preserve"> there was no equivalent team in adults and the outreach offered was limited. Her mother was in touch with the Social Worker several times in the year following her 18</w:t>
      </w:r>
      <w:r w:rsidRPr="0081349F">
        <w:rPr>
          <w:rFonts w:eastAsia="Times New Roman"/>
          <w:i/>
          <w:iCs/>
          <w:sz w:val="24"/>
          <w:szCs w:val="24"/>
          <w:vertAlign w:val="superscript"/>
        </w:rPr>
        <w:t>th</w:t>
      </w:r>
      <w:r w:rsidRPr="0081349F">
        <w:rPr>
          <w:rFonts w:eastAsia="Times New Roman"/>
          <w:i/>
          <w:iCs/>
          <w:sz w:val="24"/>
          <w:szCs w:val="24"/>
        </w:rPr>
        <w:t xml:space="preserve"> birthday as she was frustrated and was </w:t>
      </w:r>
      <w:r w:rsidRPr="0081349F">
        <w:rPr>
          <w:rFonts w:eastAsia="Times New Roman"/>
          <w:i/>
          <w:iCs/>
          <w:sz w:val="24"/>
          <w:szCs w:val="24"/>
        </w:rPr>
        <w:t xml:space="preserve">struggling with the same issues which were getting </w:t>
      </w:r>
      <w:r w:rsidRPr="0081349F">
        <w:rPr>
          <w:rFonts w:eastAsia="Times New Roman"/>
          <w:i/>
          <w:iCs/>
          <w:sz w:val="24"/>
          <w:szCs w:val="24"/>
        </w:rPr>
        <w:t>worse and worse</w:t>
      </w:r>
      <w:r w:rsidRPr="0081349F">
        <w:rPr>
          <w:rFonts w:eastAsia="Times New Roman"/>
          <w:i/>
          <w:iCs/>
          <w:sz w:val="24"/>
          <w:szCs w:val="24"/>
        </w:rPr>
        <w:t xml:space="preserve">. Her mother felt that if the plan had continued for another year or </w:t>
      </w:r>
      <w:r w:rsidRPr="0081349F">
        <w:rPr>
          <w:rFonts w:eastAsia="Times New Roman"/>
          <w:i/>
          <w:iCs/>
          <w:sz w:val="24"/>
          <w:szCs w:val="24"/>
        </w:rPr>
        <w:t>two</w:t>
      </w:r>
      <w:r w:rsidRPr="0081349F">
        <w:rPr>
          <w:rFonts w:eastAsia="Times New Roman"/>
          <w:i/>
          <w:iCs/>
          <w:sz w:val="24"/>
          <w:szCs w:val="24"/>
        </w:rPr>
        <w:t xml:space="preserve"> she would have had positive results as she was just starting to engage, and that as she had developmental delays, she should have continued to be supported by children’s services until she was ready and </w:t>
      </w:r>
      <w:r w:rsidRPr="0081349F">
        <w:rPr>
          <w:rFonts w:eastAsia="Times New Roman"/>
          <w:i/>
          <w:iCs/>
          <w:sz w:val="24"/>
          <w:szCs w:val="24"/>
        </w:rPr>
        <w:t>settled ’</w:t>
      </w:r>
      <w:r w:rsidRPr="0081349F">
        <w:rPr>
          <w:rFonts w:eastAsia="Times New Roman"/>
          <w:i/>
          <w:iCs/>
          <w:sz w:val="24"/>
          <w:szCs w:val="24"/>
        </w:rPr>
        <w:t xml:space="preserve">. </w:t>
      </w:r>
    </w:p>
    <w:p w:rsidR="006B65BB" w:rsidRPr="0081349F" w:rsidP="00372524">
      <w:pPr>
        <w:pStyle w:val="Heading3"/>
        <w:numPr>
          <w:ilvl w:val="1"/>
          <w:numId w:val="6"/>
        </w:numPr>
        <w:rPr>
          <w:color w:val="auto"/>
          <w:sz w:val="28"/>
          <w:szCs w:val="28"/>
        </w:rPr>
      </w:pPr>
      <w:r w:rsidRPr="0081349F">
        <w:rPr>
          <w:color w:val="auto"/>
          <w:sz w:val="28"/>
          <w:szCs w:val="28"/>
        </w:rPr>
        <w:t>Social care cut off at 18 for young people at risk of exploitation</w:t>
      </w:r>
    </w:p>
    <w:p w:rsidR="006B65BB" w:rsidRPr="0081349F" w:rsidP="00372524">
      <w:pPr>
        <w:rPr>
          <w:rFonts w:eastAsia="Times New Roman"/>
          <w:sz w:val="24"/>
          <w:szCs w:val="24"/>
        </w:rPr>
      </w:pPr>
      <w:r w:rsidRPr="0081349F">
        <w:rPr>
          <w:rFonts w:eastAsia="Times New Roman"/>
          <w:sz w:val="24"/>
          <w:szCs w:val="24"/>
        </w:rPr>
        <w:t xml:space="preserve">When young people under 18 are identified by Social Workers as being at risk of exploitation they are ‘flagged’ across the multi-agency safeguarding partnership and may receive specific safeguarding support.  But there are very few equivalent partnerships in place for those over 18, meaning that their ‘flag’ expires, despite the risk continuing. This can mean, for example the ending of youth work support for a young person facing criminal charges and sentencing, with no trusted adult to help contextualise their needs, or a child who is being held within a safeguarding system being closed because of their age. When such support is removed solely based on age, recognition and protection related to the lived realities of exploitation are systemically erased overnight despite the harm continuing. </w:t>
      </w:r>
    </w:p>
    <w:p w:rsidR="006B65BB" w:rsidRPr="0081349F" w:rsidP="00372524">
      <w:pPr>
        <w:rPr>
          <w:rFonts w:eastAsia="Times New Roman"/>
          <w:sz w:val="24"/>
          <w:szCs w:val="24"/>
        </w:rPr>
      </w:pPr>
      <w:r w:rsidRPr="0081349F">
        <w:rPr>
          <w:rFonts w:eastAsia="Times New Roman"/>
          <w:sz w:val="24"/>
          <w:szCs w:val="24"/>
        </w:rPr>
        <w:t xml:space="preserve">Whilst there are problems with health and education transitions, the situation with children’s social care is starker because there is rarely any ‘equivalent’ service for adults, meaning that this service completely drops off after a child turns 18. Adult safeguarding under the Care Act is limited to people who are eligible for support under the Care Act, which excludes all but disabled young people: even then, this is more focused on vulnerabilities linked to self-neglect and financial abuse rather than harms experienced by young people, such as criminal and/or sexual exploitation. </w:t>
      </w:r>
    </w:p>
    <w:p w:rsidR="006B65BB" w:rsidRPr="0081349F" w:rsidP="00372524">
      <w:pPr>
        <w:spacing w:after="0" w:line="240" w:lineRule="auto"/>
        <w:jc w:val="both"/>
        <w:rPr>
          <w:sz w:val="24"/>
          <w:szCs w:val="24"/>
        </w:rPr>
      </w:pPr>
    </w:p>
    <w:p w:rsidR="006B65BB" w:rsidRPr="0081349F" w:rsidP="00B94D85">
      <w:pPr>
        <w:pStyle w:val="Heading3"/>
        <w:numPr>
          <w:ilvl w:val="1"/>
          <w:numId w:val="6"/>
        </w:numPr>
        <w:rPr>
          <w:color w:val="auto"/>
          <w:sz w:val="28"/>
          <w:szCs w:val="28"/>
        </w:rPr>
      </w:pPr>
      <w:r w:rsidRPr="0081349F">
        <w:rPr>
          <w:color w:val="auto"/>
          <w:sz w:val="28"/>
          <w:szCs w:val="28"/>
        </w:rPr>
        <w:t>Criminalisation of vulnerable young people after 18</w:t>
      </w:r>
    </w:p>
    <w:p w:rsidR="006B65BB" w:rsidRPr="0081349F" w:rsidP="00B94D85">
      <w:pPr>
        <w:spacing w:after="0" w:line="240" w:lineRule="auto"/>
        <w:jc w:val="both"/>
        <w:rPr>
          <w:sz w:val="24"/>
          <w:szCs w:val="24"/>
        </w:rPr>
      </w:pPr>
      <w:r w:rsidRPr="0081349F">
        <w:rPr>
          <w:sz w:val="24"/>
          <w:szCs w:val="24"/>
        </w:rPr>
        <w:t xml:space="preserve">In extra-familial harm, young people are both harmed and cause harm to others – they exist in a chain of exploitation and grooming, where harming others can be a way to defend against further harm.  </w:t>
      </w:r>
      <w:r w:rsidRPr="0081349F">
        <w:rPr>
          <w:sz w:val="24"/>
          <w:szCs w:val="24"/>
        </w:rPr>
        <w:t>In light of</w:t>
      </w:r>
      <w:r w:rsidRPr="0081349F">
        <w:rPr>
          <w:sz w:val="24"/>
          <w:szCs w:val="24"/>
        </w:rPr>
        <w:t xml:space="preserve"> this complex form of harm, a restorative, welfare led approach is needed, rather than one that treats people as either a ‘victim’ or a ‘perpetrator’.  Sometimes it’s possible to achieve a restorative approach for those under 18 (though different legal frameworks around child ‘offending’ and child ‘safeguarding’ make this hard). But the punitive/binary approach is always applied to those over 18.  </w:t>
      </w:r>
    </w:p>
    <w:p w:rsidR="006B65BB" w:rsidRPr="0081349F" w:rsidP="00372524">
      <w:pPr>
        <w:spacing w:after="0" w:line="240" w:lineRule="auto"/>
        <w:jc w:val="both"/>
        <w:rPr>
          <w:sz w:val="24"/>
          <w:szCs w:val="24"/>
        </w:rPr>
      </w:pPr>
    </w:p>
    <w:p w:rsidR="006B65BB" w:rsidRPr="0081349F" w:rsidP="00372524">
      <w:pPr>
        <w:spacing w:after="0" w:line="240" w:lineRule="auto"/>
        <w:jc w:val="both"/>
        <w:rPr>
          <w:sz w:val="24"/>
          <w:szCs w:val="24"/>
        </w:rPr>
      </w:pPr>
      <w:r w:rsidRPr="0081349F">
        <w:rPr>
          <w:sz w:val="24"/>
          <w:szCs w:val="24"/>
        </w:rPr>
        <w:t xml:space="preserve">So young people who before 18 might have been regarded as vulnerable and at risk, once they are 18, not only do they lose any safeguarding oversight and support, but they are also at risk of being criminalised as an exploiter of children. Such young people have had their needs erased and are now held responsible for harm they themselves will have experienced and may </w:t>
      </w:r>
      <w:r w:rsidRPr="0081349F">
        <w:rPr>
          <w:sz w:val="24"/>
          <w:szCs w:val="24"/>
        </w:rPr>
        <w:t>still continue</w:t>
      </w:r>
      <w:r w:rsidRPr="0081349F">
        <w:rPr>
          <w:sz w:val="24"/>
          <w:szCs w:val="24"/>
        </w:rPr>
        <w:t xml:space="preserve"> to experience. </w:t>
      </w:r>
    </w:p>
    <w:p w:rsidR="006B65BB" w:rsidRPr="0081349F" w:rsidP="0F96FD2A">
      <w:pPr>
        <w:spacing w:after="0" w:line="240" w:lineRule="auto"/>
        <w:jc w:val="both"/>
        <w:rPr>
          <w:sz w:val="24"/>
          <w:szCs w:val="24"/>
        </w:rPr>
      </w:pPr>
    </w:p>
    <w:p w:rsidR="006B65BB" w:rsidRPr="0081349F" w:rsidP="00372524">
      <w:pPr>
        <w:spacing w:after="0" w:line="240" w:lineRule="auto"/>
        <w:jc w:val="both"/>
        <w:rPr>
          <w:sz w:val="24"/>
          <w:szCs w:val="24"/>
        </w:rPr>
      </w:pPr>
      <w:r w:rsidRPr="0081349F">
        <w:rPr>
          <w:sz w:val="24"/>
          <w:szCs w:val="24"/>
        </w:rPr>
        <w:t>This systemic harm is compounded by the fact that since services may have gathered extensive information about at-risk young people – in the name of protection – this information can be used to prosecute young people once they turn 18.  This is because of the multi-agency element within extra-familial harm where joint work takes place between social care and criminal justice agencies. It is as if these agencies are waiting for young people to turn 18, gathering as much information on them as possible so that they can be arrested once they are legally ‘</w:t>
      </w:r>
      <w:r w:rsidRPr="0081349F">
        <w:rPr>
          <w:sz w:val="24"/>
          <w:szCs w:val="24"/>
        </w:rPr>
        <w:t>adults’</w:t>
      </w:r>
      <w:r w:rsidRPr="0081349F">
        <w:rPr>
          <w:sz w:val="24"/>
          <w:szCs w:val="24"/>
        </w:rPr>
        <w:t>.  Identities shift -- from ‘child’ and ‘victim’ to ‘adult’ and ‘criminal’ – quite literally overnight. This highlights the potentially harmful side effects of our systems on young people and the life course impacts, which strike on an eighteenth birthday, that are directly related to our safeguarding and child protection practices and responses.</w:t>
      </w:r>
    </w:p>
    <w:p w:rsidR="006B65BB" w:rsidRPr="0081349F" w:rsidP="00372524">
      <w:pPr>
        <w:spacing w:after="0" w:line="240" w:lineRule="auto"/>
        <w:jc w:val="both"/>
        <w:rPr>
          <w:sz w:val="24"/>
          <w:szCs w:val="24"/>
        </w:rPr>
      </w:pPr>
    </w:p>
    <w:p w:rsidR="006B65BB" w:rsidRPr="0081349F" w:rsidP="00003C03">
      <w:pPr>
        <w:pStyle w:val="Heading3"/>
        <w:numPr>
          <w:ilvl w:val="1"/>
          <w:numId w:val="6"/>
        </w:numPr>
        <w:rPr>
          <w:color w:val="auto"/>
          <w:sz w:val="28"/>
          <w:szCs w:val="28"/>
        </w:rPr>
      </w:pPr>
      <w:r w:rsidRPr="0081349F">
        <w:rPr>
          <w:color w:val="auto"/>
          <w:sz w:val="28"/>
          <w:szCs w:val="28"/>
        </w:rPr>
        <w:t xml:space="preserve">Transitioning to adult services often inadequate, discriminatory or absent   </w:t>
      </w:r>
    </w:p>
    <w:p w:rsidR="006B65BB" w:rsidRPr="0081349F" w:rsidP="00003C03">
      <w:pPr>
        <w:spacing w:after="0" w:line="240" w:lineRule="auto"/>
        <w:jc w:val="both"/>
        <w:rPr>
          <w:sz w:val="24"/>
          <w:szCs w:val="24"/>
        </w:rPr>
      </w:pPr>
      <w:r w:rsidRPr="0081349F">
        <w:rPr>
          <w:sz w:val="24"/>
          <w:szCs w:val="24"/>
        </w:rPr>
        <w:t xml:space="preserve">Vulnerable young people are expected to move between </w:t>
      </w:r>
      <w:r w:rsidRPr="0081349F">
        <w:rPr>
          <w:sz w:val="24"/>
          <w:szCs w:val="24"/>
          <w:u w:val="single"/>
        </w:rPr>
        <w:t>CAMHS and adult mental health services</w:t>
      </w:r>
      <w:r w:rsidRPr="0081349F">
        <w:rPr>
          <w:sz w:val="24"/>
          <w:szCs w:val="24"/>
        </w:rPr>
        <w:t xml:space="preserve">, which is very challenging, especially when a trusting relationship has been built.  There is little or no support for this and research shows that many young people fall between the cracks and fail to make the transition.  </w:t>
      </w:r>
    </w:p>
    <w:p w:rsidR="006B65BB" w:rsidRPr="0081349F" w:rsidP="00372524">
      <w:pPr>
        <w:spacing w:after="0" w:line="240" w:lineRule="auto"/>
        <w:jc w:val="both"/>
        <w:rPr>
          <w:sz w:val="24"/>
          <w:szCs w:val="24"/>
        </w:rPr>
      </w:pPr>
    </w:p>
    <w:p w:rsidR="006B65BB" w:rsidRPr="0081349F" w:rsidP="00836C22">
      <w:pPr>
        <w:spacing w:after="0" w:line="240" w:lineRule="auto"/>
        <w:jc w:val="both"/>
        <w:rPr>
          <w:sz w:val="24"/>
          <w:szCs w:val="24"/>
        </w:rPr>
      </w:pPr>
      <w:r w:rsidRPr="0081349F">
        <w:rPr>
          <w:sz w:val="24"/>
          <w:szCs w:val="24"/>
          <w:u w:val="single"/>
        </w:rPr>
        <w:t>Drug and Alcohol</w:t>
      </w:r>
      <w:r w:rsidRPr="0081349F">
        <w:rPr>
          <w:sz w:val="24"/>
          <w:szCs w:val="24"/>
        </w:rPr>
        <w:t xml:space="preserve"> services for young people who have experienced drug related exploitation face a ‘3 strikes and you’re out’ approach during the transition from youth to adult services. This contrasts starkly with youth services which are much more flexible in and tune with their developmental and experiences of trauma. With adult services young people are faced overnight with much more strict rules, which means they can’t cope/don’t engage. In services funded to take on care-experienced YP up to the age of 25 this is much more successful as a model for all young people as most users of these services have additional needs and have experienced trauma, even if not care-experienced.</w:t>
      </w:r>
    </w:p>
    <w:p w:rsidR="006B65BB" w:rsidRPr="0081349F" w:rsidP="00372524">
      <w:pPr>
        <w:spacing w:after="0" w:line="240" w:lineRule="auto"/>
        <w:jc w:val="both"/>
        <w:rPr>
          <w:sz w:val="24"/>
          <w:szCs w:val="24"/>
        </w:rPr>
      </w:pPr>
    </w:p>
    <w:p w:rsidR="006B65BB" w:rsidRPr="0081349F" w:rsidP="001B71B3">
      <w:pPr>
        <w:spacing w:after="0" w:line="240" w:lineRule="auto"/>
        <w:jc w:val="both"/>
        <w:rPr>
          <w:sz w:val="24"/>
          <w:szCs w:val="24"/>
        </w:rPr>
      </w:pPr>
      <w:r w:rsidRPr="0081349F">
        <w:rPr>
          <w:sz w:val="24"/>
          <w:szCs w:val="24"/>
        </w:rPr>
        <w:t xml:space="preserve">In the context of the education needs for young people known to </w:t>
      </w:r>
      <w:r w:rsidRPr="0081349F">
        <w:rPr>
          <w:sz w:val="24"/>
          <w:szCs w:val="24"/>
          <w:u w:val="single"/>
        </w:rPr>
        <w:t>youth justice</w:t>
      </w:r>
      <w:r w:rsidRPr="0081349F">
        <w:rPr>
          <w:sz w:val="24"/>
          <w:szCs w:val="24"/>
        </w:rPr>
        <w:t xml:space="preserve">, many young people will have undiagnosed learning difficulties/neurodivergences due to gaps in schooling and no Education and Health Care Plans in place. This means that those children have limited funding available to support them when they turn 18 to access services (which if it were in place would run to 25). </w:t>
      </w:r>
    </w:p>
    <w:p w:rsidR="006B65BB" w:rsidRPr="0081349F" w:rsidP="00372524">
      <w:pPr>
        <w:spacing w:after="0" w:line="240" w:lineRule="auto"/>
        <w:jc w:val="both"/>
        <w:rPr>
          <w:sz w:val="24"/>
          <w:szCs w:val="24"/>
        </w:rPr>
      </w:pPr>
    </w:p>
    <w:p w:rsidR="006B65BB" w:rsidRPr="0081349F" w:rsidP="001B71B3">
      <w:pPr>
        <w:spacing w:after="0" w:line="240" w:lineRule="auto"/>
        <w:jc w:val="both"/>
        <w:rPr>
          <w:sz w:val="24"/>
          <w:szCs w:val="24"/>
        </w:rPr>
      </w:pPr>
      <w:r w:rsidRPr="0081349F">
        <w:rPr>
          <w:sz w:val="24"/>
          <w:szCs w:val="24"/>
        </w:rPr>
        <w:t xml:space="preserve">When young people are </w:t>
      </w:r>
      <w:r w:rsidRPr="0081349F">
        <w:rPr>
          <w:sz w:val="24"/>
          <w:szCs w:val="24"/>
          <w:u w:val="single"/>
        </w:rPr>
        <w:t>leaving care</w:t>
      </w:r>
      <w:r w:rsidRPr="0081349F">
        <w:rPr>
          <w:sz w:val="24"/>
          <w:szCs w:val="24"/>
        </w:rPr>
        <w:t xml:space="preserve"> there is very little support for their transition which coincides with the withdrawal of support at 18. In these instances, young people's safety and welfare can be compromised and they can be left vulnerable to exploitation, including criminal and/ or sexual exploitation. Turning 18 does not negate these risks. </w:t>
      </w:r>
    </w:p>
    <w:p w:rsidR="006B65BB" w:rsidRPr="0081349F" w:rsidP="001B71B3">
      <w:pPr>
        <w:spacing w:after="0" w:line="240" w:lineRule="auto"/>
        <w:jc w:val="both"/>
        <w:rPr>
          <w:sz w:val="24"/>
          <w:szCs w:val="24"/>
        </w:rPr>
      </w:pPr>
    </w:p>
    <w:p w:rsidR="006B65BB" w:rsidRPr="0081349F" w:rsidP="00C96332">
      <w:pPr>
        <w:pStyle w:val="Heading3"/>
        <w:numPr>
          <w:ilvl w:val="1"/>
          <w:numId w:val="6"/>
        </w:numPr>
        <w:rPr>
          <w:color w:val="auto"/>
          <w:sz w:val="28"/>
          <w:szCs w:val="28"/>
        </w:rPr>
      </w:pPr>
      <w:r w:rsidRPr="0081349F">
        <w:rPr>
          <w:color w:val="auto"/>
          <w:sz w:val="28"/>
          <w:szCs w:val="28"/>
        </w:rPr>
        <w:t>System out of sync with parental understanding of young people’s intersectional needs</w:t>
      </w:r>
    </w:p>
    <w:p w:rsidR="006B65BB" w:rsidRPr="0081349F" w:rsidP="00C96332">
      <w:pPr>
        <w:spacing w:after="0" w:line="240" w:lineRule="auto"/>
        <w:jc w:val="both"/>
        <w:rPr>
          <w:sz w:val="24"/>
          <w:szCs w:val="24"/>
        </w:rPr>
      </w:pPr>
      <w:r w:rsidRPr="0081349F">
        <w:rPr>
          <w:sz w:val="24"/>
          <w:szCs w:val="24"/>
        </w:rPr>
        <w:t>Parents of young people experiencing extra-familial harm are deeply understanding of child and adolescent development and their complex transitions from childhood into adulthood. Parents tell us about the lack of understanding and compassion afforded to young people as young adults who are still learning about the world. As people who have lost their children to prison or worse, they recognise the evidence that supports brain development up to twenty-five which renders the age 18 ‘cliff edge’ as being arbitrary, out of date and not reflecting the lived experience of their children.</w:t>
      </w:r>
    </w:p>
    <w:p w:rsidR="006B65BB" w:rsidRPr="0081349F" w:rsidP="00C96332">
      <w:pPr>
        <w:spacing w:after="0" w:line="240" w:lineRule="auto"/>
        <w:jc w:val="both"/>
        <w:rPr>
          <w:bCs/>
          <w:sz w:val="24"/>
          <w:szCs w:val="24"/>
        </w:rPr>
      </w:pPr>
    </w:p>
    <w:p w:rsidR="006B65BB" w:rsidRPr="0081349F" w:rsidP="00372524">
      <w:pPr>
        <w:spacing w:after="0" w:line="240" w:lineRule="auto"/>
        <w:jc w:val="both"/>
        <w:rPr>
          <w:sz w:val="24"/>
          <w:szCs w:val="24"/>
        </w:rPr>
      </w:pPr>
      <w:r w:rsidRPr="0081349F">
        <w:rPr>
          <w:bCs/>
          <w:sz w:val="24"/>
          <w:szCs w:val="24"/>
        </w:rPr>
        <w:t xml:space="preserve">This is particularly important in the context of social and structural harm, including the ‘adultification’ of Black and minoritised young people. For these children the cliff-edge of turning eighteen/adulthood looms earlier than their white peers. Parents from minoritised backgrounds recognise that their children are dealt with like adults even from a primary school age. ‘Adultified’ young people with complex contextual needs who are nearing 18 meet overwhelmed safeguarding and youth justice services who are not resourced to meet these needs.  In this situation, such young people are at risk of having their needs overlooked or ‘bracketed’ while professionals wait for them to become ‘adults’ and no longer the responsibility of children’s services. </w:t>
      </w:r>
    </w:p>
    <w:p w:rsidR="006B65BB" w:rsidRPr="0081349F" w:rsidP="00372524">
      <w:pPr>
        <w:spacing w:after="0" w:line="240" w:lineRule="auto"/>
        <w:jc w:val="both"/>
        <w:rPr>
          <w:sz w:val="24"/>
          <w:szCs w:val="24"/>
        </w:rPr>
      </w:pPr>
    </w:p>
    <w:p w:rsidR="006B65BB" w:rsidRPr="0081349F" w:rsidP="00F017C4">
      <w:pPr>
        <w:pStyle w:val="Heading2"/>
        <w:numPr>
          <w:ilvl w:val="0"/>
          <w:numId w:val="5"/>
        </w:numPr>
        <w:rPr>
          <w:color w:val="auto"/>
          <w:sz w:val="28"/>
          <w:szCs w:val="28"/>
        </w:rPr>
      </w:pPr>
      <w:r w:rsidRPr="0081349F">
        <w:rPr>
          <w:color w:val="auto"/>
          <w:sz w:val="28"/>
          <w:szCs w:val="28"/>
        </w:rPr>
        <w:t>The case for national eligibility criteria for disabled young people</w:t>
      </w:r>
    </w:p>
    <w:p w:rsidR="006B65BB" w:rsidRPr="0081349F" w:rsidP="005826BE">
      <w:pPr>
        <w:spacing w:after="0" w:line="240" w:lineRule="auto"/>
        <w:jc w:val="both"/>
        <w:rPr>
          <w:sz w:val="24"/>
          <w:szCs w:val="24"/>
        </w:rPr>
      </w:pPr>
      <w:r w:rsidRPr="0081349F">
        <w:rPr>
          <w:sz w:val="24"/>
          <w:szCs w:val="24"/>
        </w:rPr>
        <w:t>This evidence from the parent of a disabled child is simply one of many examples we have heard about the harm caused by a post code lottery of eligibility for support for disabled children, but it exemplifies both the frustration and harm caused to disabled children and their families. We are particularly worried about the evidence shown in this example, that when appropriate support is denied, families are pushed into poverty, which causes lifelong harm to both the disabled child and their siblings, and the wider impact on the ‘productivity’ of the economy as a whole caused by family carers and parents having to stop work.</w:t>
      </w:r>
    </w:p>
    <w:p w:rsidR="006B65BB" w:rsidRPr="0081349F" w:rsidP="005826BE">
      <w:pPr>
        <w:spacing w:after="0" w:line="240" w:lineRule="auto"/>
        <w:jc w:val="both"/>
        <w:rPr>
          <w:sz w:val="24"/>
          <w:szCs w:val="24"/>
        </w:rPr>
      </w:pPr>
    </w:p>
    <w:p w:rsidR="006B65BB" w:rsidRPr="0081349F" w:rsidP="005826BE">
      <w:pPr>
        <w:spacing w:after="0" w:line="240" w:lineRule="auto"/>
        <w:jc w:val="both"/>
        <w:rPr>
          <w:i/>
          <w:iCs/>
          <w:sz w:val="24"/>
          <w:szCs w:val="24"/>
        </w:rPr>
      </w:pPr>
      <w:r w:rsidRPr="0081349F">
        <w:rPr>
          <w:i/>
          <w:iCs/>
          <w:sz w:val="24"/>
          <w:szCs w:val="24"/>
        </w:rPr>
        <w:t xml:space="preserve">‘To counter the ‘post code lottery’ of support in adult social care, the Care Act introduced the concept the portability of assessments and support plans. This means a local authority has a duty to continue with the same support when a disabled person moves into their area. </w:t>
      </w:r>
    </w:p>
    <w:p w:rsidR="006B65BB" w:rsidRPr="0081349F" w:rsidP="005826BE">
      <w:pPr>
        <w:spacing w:after="0" w:line="240" w:lineRule="auto"/>
        <w:jc w:val="both"/>
        <w:rPr>
          <w:i/>
          <w:iCs/>
          <w:sz w:val="24"/>
          <w:szCs w:val="24"/>
        </w:rPr>
      </w:pPr>
    </w:p>
    <w:p w:rsidR="006B65BB" w:rsidRPr="0081349F" w:rsidP="005826BE">
      <w:pPr>
        <w:spacing w:after="0" w:line="240" w:lineRule="auto"/>
        <w:jc w:val="both"/>
        <w:rPr>
          <w:i/>
          <w:iCs/>
          <w:sz w:val="24"/>
          <w:szCs w:val="24"/>
        </w:rPr>
      </w:pPr>
      <w:r w:rsidRPr="0081349F">
        <w:rPr>
          <w:i/>
          <w:iCs/>
          <w:sz w:val="24"/>
          <w:szCs w:val="24"/>
        </w:rPr>
        <w:t xml:space="preserve">The parents of disabled children tell us that this post code lottery blights their lives. One parent described to us how a move just 250m down the road ruined their lives. For several years their child had a successful support plan from their local authority. The parents assumed that when they moved the new local authority, </w:t>
      </w:r>
      <w:r w:rsidRPr="0081349F">
        <w:rPr>
          <w:i/>
          <w:iCs/>
          <w:sz w:val="24"/>
          <w:szCs w:val="24"/>
        </w:rPr>
        <w:t>as it was so close, the support workers and provider would still be local, so the support would automatically continue.</w:t>
      </w:r>
    </w:p>
    <w:p w:rsidR="006B65BB" w:rsidRPr="0081349F" w:rsidP="005826BE">
      <w:pPr>
        <w:spacing w:after="0" w:line="240" w:lineRule="auto"/>
        <w:jc w:val="both"/>
        <w:rPr>
          <w:i/>
          <w:iCs/>
          <w:sz w:val="24"/>
          <w:szCs w:val="24"/>
        </w:rPr>
      </w:pPr>
    </w:p>
    <w:p w:rsidR="006B65BB" w:rsidRPr="0081349F" w:rsidP="005826BE">
      <w:pPr>
        <w:spacing w:after="0" w:line="240" w:lineRule="auto"/>
        <w:jc w:val="both"/>
        <w:rPr>
          <w:i/>
          <w:iCs/>
          <w:sz w:val="24"/>
          <w:szCs w:val="24"/>
        </w:rPr>
      </w:pPr>
      <w:r w:rsidRPr="0081349F">
        <w:rPr>
          <w:i/>
          <w:iCs/>
          <w:sz w:val="24"/>
          <w:szCs w:val="24"/>
        </w:rPr>
        <w:t xml:space="preserve">They were shocked to find that after moving the new local authority refused to accept the old assessment of need and decided that a child they had hardly met did not in fact have any care or support needs that were eligible for support from the local authority. Despite doing everything they could to challenge this decision, no support was offered. As a result, the mother told us she had to give up work </w:t>
      </w:r>
      <w:r w:rsidRPr="0081349F">
        <w:rPr>
          <w:i/>
          <w:iCs/>
          <w:sz w:val="24"/>
          <w:szCs w:val="24"/>
        </w:rPr>
        <w:t>in order to</w:t>
      </w:r>
      <w:r w:rsidRPr="0081349F">
        <w:rPr>
          <w:i/>
          <w:iCs/>
          <w:sz w:val="24"/>
          <w:szCs w:val="24"/>
        </w:rPr>
        <w:t xml:space="preserve"> care for her child. This had the direct consequence of pushing the whole family into poverty and made a previously self-sufficient family dependent of welfare benefits.’</w:t>
      </w:r>
    </w:p>
    <w:p w:rsidR="006B65BB" w:rsidRPr="0081349F" w:rsidP="005826BE">
      <w:pPr>
        <w:spacing w:after="0" w:line="240" w:lineRule="auto"/>
        <w:jc w:val="both"/>
        <w:rPr>
          <w:i/>
          <w:iCs/>
          <w:sz w:val="24"/>
          <w:szCs w:val="24"/>
        </w:rPr>
      </w:pPr>
    </w:p>
    <w:p w:rsidR="006B65BB" w:rsidRPr="0081349F" w:rsidP="003A183D">
      <w:pPr>
        <w:pStyle w:val="Heading2"/>
        <w:numPr>
          <w:ilvl w:val="0"/>
          <w:numId w:val="5"/>
        </w:numPr>
        <w:rPr>
          <w:color w:val="auto"/>
          <w:sz w:val="28"/>
          <w:szCs w:val="28"/>
        </w:rPr>
      </w:pPr>
      <w:r w:rsidRPr="0081349F">
        <w:rPr>
          <w:color w:val="auto"/>
          <w:sz w:val="28"/>
          <w:szCs w:val="28"/>
        </w:rPr>
        <w:t>A toothless complaints systems means there is no accountability</w:t>
      </w:r>
    </w:p>
    <w:p w:rsidR="006B65BB" w:rsidRPr="0081349F" w:rsidP="00550982">
      <w:pPr>
        <w:spacing w:line="240" w:lineRule="auto"/>
        <w:rPr>
          <w:sz w:val="24"/>
          <w:szCs w:val="24"/>
        </w:rPr>
      </w:pPr>
      <w:r w:rsidRPr="0081349F">
        <w:rPr>
          <w:sz w:val="24"/>
          <w:szCs w:val="24"/>
        </w:rPr>
        <w:t>BASW England members, particularly those who are both Social Workers and parents of disabled children, told us very clearly that unless the system of ‘remedies’ can be made to work for families and young people any reform to the law or social care system risks being meaningless.</w:t>
      </w:r>
    </w:p>
    <w:p w:rsidR="006B65BB" w:rsidRPr="0081349F" w:rsidP="00550982">
      <w:pPr>
        <w:spacing w:line="240" w:lineRule="auto"/>
        <w:rPr>
          <w:sz w:val="24"/>
          <w:szCs w:val="24"/>
        </w:rPr>
      </w:pPr>
      <w:r w:rsidRPr="0081349F">
        <w:rPr>
          <w:sz w:val="24"/>
          <w:szCs w:val="24"/>
        </w:rPr>
        <w:t>Members held the clear view that changes and improvements planned would not work as intended unless the current complaints system is reformed and is given teeth. Members who are also parents of disabled children told us that currently the Ombudsman won’t take on a concern unless the Local Authority’s complaints process is complete, which means some Local Authorities seem to cynically draw out the complaint process to prevent parents going to the Ombudsman. Members also noted that the Ombudsman does not monitor implementation of their own rulings which means that their rulings continue to be ignored by Local Authorities.</w:t>
      </w:r>
    </w:p>
    <w:p w:rsidR="006B65BB" w:rsidRPr="0081349F" w:rsidP="00550982">
      <w:pPr>
        <w:spacing w:line="240" w:lineRule="auto"/>
        <w:rPr>
          <w:sz w:val="24"/>
          <w:szCs w:val="24"/>
        </w:rPr>
      </w:pPr>
      <w:r w:rsidRPr="0081349F">
        <w:rPr>
          <w:sz w:val="24"/>
          <w:szCs w:val="24"/>
        </w:rPr>
        <w:t xml:space="preserve">Members who worked in Local Authorities noted that, since the </w:t>
      </w:r>
      <w:r>
        <w:fldChar w:fldCharType="begin"/>
      </w:r>
      <w:r>
        <w:instrText xml:space="preserve"> HYPERLINK "https://www.parliament.uk/external/committees/committee-news-pre-oct-2020/2014/november/implementing-reforms-to-civil-legal-aid-tor/" </w:instrText>
      </w:r>
      <w:r>
        <w:fldChar w:fldCharType="separate"/>
      </w:r>
      <w:r w:rsidRPr="0081349F">
        <w:rPr>
          <w:rStyle w:val="Hyperlink"/>
          <w:color w:val="auto"/>
          <w:sz w:val="24"/>
          <w:szCs w:val="24"/>
        </w:rPr>
        <w:t>‘reform’ of Legal Aid</w:t>
      </w:r>
      <w:r>
        <w:fldChar w:fldCharType="end"/>
      </w:r>
      <w:r w:rsidRPr="0081349F">
        <w:rPr>
          <w:sz w:val="24"/>
          <w:szCs w:val="24"/>
        </w:rPr>
        <w:t xml:space="preserve"> in 2012, virtually no families can afford to seek a Judicial Review of Local Authority’s decisions. Members felt that this lack of affordability has led to a slow deterioration in senior managers’ attitudes to complaints and other remedies as they know there is little chance of any challenge, which has reduced public accountability. This has been compounded by the virtual disappearance of local newspapers and media, which means the chance of reputational damage in local media is no longer the motivator to do the right thing it once was.</w:t>
      </w:r>
    </w:p>
    <w:p w:rsidR="006B65BB" w:rsidRPr="0081349F" w:rsidP="00300ECE">
      <w:pPr>
        <w:spacing w:line="240" w:lineRule="auto"/>
        <w:rPr>
          <w:sz w:val="24"/>
          <w:szCs w:val="24"/>
        </w:rPr>
      </w:pPr>
      <w:r w:rsidRPr="0081349F">
        <w:rPr>
          <w:sz w:val="24"/>
          <w:szCs w:val="24"/>
        </w:rPr>
        <w:t>Below is a real and shocking example sent to us by a BASW member who is also the parent of a disabled child, which clearly illustrates the disregard paid by some local authorities to what they should see as a core statutory duty:</w:t>
      </w:r>
    </w:p>
    <w:p w:rsidR="006B65BB" w:rsidRPr="0081349F" w:rsidP="00300ECE">
      <w:pPr>
        <w:spacing w:line="240" w:lineRule="auto"/>
        <w:rPr>
          <w:i/>
          <w:iCs/>
          <w:sz w:val="24"/>
          <w:szCs w:val="24"/>
        </w:rPr>
      </w:pPr>
      <w:r w:rsidRPr="0081349F">
        <w:rPr>
          <w:i/>
          <w:iCs/>
          <w:sz w:val="24"/>
          <w:szCs w:val="24"/>
        </w:rPr>
        <w:t>"My local authority has a two-stage complaint procedure. Each stage should be resolved in a maximum of 20 working days. I believe this is standard amongst LAs. Note that 20 working days amount to a calendar month, considering that before any formal complaint, people do seek to address the problem informally, we are talking about a minimum of one third of the academic year in the VERY best-case scenario for a problem to be solved. That is a very significant amount of time in a child’s education. </w:t>
      </w:r>
    </w:p>
    <w:p w:rsidR="006B65BB" w:rsidRPr="0081349F" w:rsidP="00300ECE">
      <w:pPr>
        <w:spacing w:line="240" w:lineRule="auto"/>
        <w:rPr>
          <w:i/>
          <w:iCs/>
          <w:sz w:val="24"/>
          <w:szCs w:val="24"/>
        </w:rPr>
      </w:pPr>
      <w:r w:rsidRPr="0081349F">
        <w:rPr>
          <w:i/>
          <w:iCs/>
          <w:sz w:val="24"/>
          <w:szCs w:val="24"/>
        </w:rPr>
        <w:t>In my case, none of my complaints to the LA got resolved at the first stage. Not because I was not satisfied with the answer on the first stage, but because I have never received an answer on the first stage. I have always made a note in my calendar for the 20 working days, at which point I send an email requesting to move on to second stage since I have received no response within the 20 days of the first stage. Note as well that during these 20 days I do receive emails thanking me for my patience and understanding and assuring me that the matter is being looked at but that they are “currently” experiencing problems. I have complained several times over the years, and my LA is always “currently” experiencing problems.</w:t>
      </w:r>
    </w:p>
    <w:p w:rsidR="006B65BB" w:rsidRPr="0081349F" w:rsidP="00300ECE">
      <w:pPr>
        <w:spacing w:line="240" w:lineRule="auto"/>
        <w:rPr>
          <w:i/>
          <w:iCs/>
          <w:sz w:val="24"/>
          <w:szCs w:val="24"/>
        </w:rPr>
      </w:pPr>
      <w:r w:rsidRPr="0081349F">
        <w:rPr>
          <w:i/>
          <w:iCs/>
          <w:sz w:val="24"/>
          <w:szCs w:val="24"/>
        </w:rPr>
        <w:t>On one occasion, the cause of complaint got resolved without LA input. I did not invest time in letting them know this. The complaint was already in second stage. Since it was resolved, I stopped chasing them, but I am still waiting for a response to my complaint.</w:t>
      </w:r>
    </w:p>
    <w:p w:rsidR="006B65BB" w:rsidRPr="0081349F" w:rsidP="00300ECE">
      <w:pPr>
        <w:spacing w:line="240" w:lineRule="auto"/>
        <w:rPr>
          <w:i/>
          <w:iCs/>
          <w:sz w:val="24"/>
          <w:szCs w:val="24"/>
        </w:rPr>
      </w:pPr>
      <w:r w:rsidRPr="0081349F">
        <w:rPr>
          <w:i/>
          <w:iCs/>
          <w:sz w:val="24"/>
          <w:szCs w:val="24"/>
        </w:rPr>
        <w:t>On another occasion, once the 20 days of the second stage had passed without any response, I moved straight away into pre-proceedings for a judicial review. This action did resolve the cause of the complaint. However, a judicial review is expensive, and it does also prolong in time. One does not resort to a judicial review unless one thinks that it is the only way forward.</w:t>
      </w:r>
    </w:p>
    <w:p w:rsidR="006B65BB" w:rsidRPr="0081349F" w:rsidP="00300ECE">
      <w:pPr>
        <w:spacing w:line="240" w:lineRule="auto"/>
        <w:rPr>
          <w:i/>
          <w:iCs/>
          <w:sz w:val="24"/>
          <w:szCs w:val="24"/>
        </w:rPr>
      </w:pPr>
      <w:r w:rsidRPr="0081349F">
        <w:rPr>
          <w:i/>
          <w:iCs/>
          <w:sz w:val="24"/>
          <w:szCs w:val="24"/>
        </w:rPr>
        <w:t xml:space="preserve">On my last complaint, I wished to avoid pre-proceedings. So, after the 20 days of the second stage had passed without a response, I raised the matter with the Ombudsman. Their response was that they were unable to look at my complaint until there was a final response from the LA. I explained we were already out of timescales according to the LA’s complaint procedures. I explained that, if the LA knew the Ombudsman would not look at any complaint until the LA had provided a final response, that created a perverse incentive for any LA not to provide a final response. The Ombudsman did not change their </w:t>
      </w:r>
      <w:r w:rsidRPr="0081349F">
        <w:rPr>
          <w:i/>
          <w:iCs/>
          <w:sz w:val="24"/>
          <w:szCs w:val="24"/>
        </w:rPr>
        <w:t>response</w:t>
      </w:r>
      <w:r w:rsidRPr="0081349F">
        <w:rPr>
          <w:i/>
          <w:iCs/>
          <w:sz w:val="24"/>
          <w:szCs w:val="24"/>
        </w:rPr>
        <w:t xml:space="preserve"> and I had to resort to judicial review once more to resolve the matter.</w:t>
      </w:r>
    </w:p>
    <w:p w:rsidR="006B65BB" w:rsidRPr="0081349F" w:rsidP="00300ECE">
      <w:pPr>
        <w:spacing w:line="240" w:lineRule="auto"/>
        <w:rPr>
          <w:i/>
          <w:iCs/>
          <w:sz w:val="24"/>
          <w:szCs w:val="24"/>
        </w:rPr>
      </w:pPr>
      <w:r w:rsidRPr="0081349F">
        <w:rPr>
          <w:i/>
          <w:iCs/>
          <w:sz w:val="24"/>
          <w:szCs w:val="24"/>
        </w:rPr>
        <w:t xml:space="preserve">Please, note that the ‘system’ is not adversarial. Local Authorities’ disregard for children’s education is the problem. Where the system fails is in holding LAs to account. There should be an automatic process whereby complaints that have not been resolved by the procedural timescale are immediately and automatically moved on to the Ombudsman. Equally, where an LA has failed to fulfil its responsibility for some time, it should not be enough to just resolve the complaint and ensure that it does fulfil its responsibilities. LAs should be made to pay hefty fines or damages that reflect both the detrimental impact their inaction has had on the child’s education, as well as the emotional stress and investment in time and other resources families have had to undergo. That is, these fines or damages should act as an incentive for LAs to perform their statutory duties, and families and children, who are the ones who suffer, should benefit from those fines or damages." </w:t>
      </w:r>
    </w:p>
    <w:p w:rsidR="006B65BB" w:rsidRPr="0081349F" w:rsidP="003A183D">
      <w:pPr>
        <w:pStyle w:val="Heading2"/>
        <w:numPr>
          <w:ilvl w:val="0"/>
          <w:numId w:val="5"/>
        </w:numPr>
        <w:rPr>
          <w:color w:val="auto"/>
          <w:sz w:val="28"/>
          <w:szCs w:val="28"/>
        </w:rPr>
      </w:pPr>
      <w:r w:rsidRPr="0081349F">
        <w:rPr>
          <w:color w:val="auto"/>
          <w:sz w:val="28"/>
          <w:szCs w:val="28"/>
        </w:rPr>
        <w:t>Kinship Care</w:t>
      </w:r>
    </w:p>
    <w:p w:rsidR="006B65BB" w:rsidRPr="0081349F" w:rsidP="005826BE">
      <w:pPr>
        <w:spacing w:after="0" w:line="240" w:lineRule="auto"/>
        <w:jc w:val="both"/>
        <w:rPr>
          <w:sz w:val="24"/>
          <w:szCs w:val="24"/>
        </w:rPr>
      </w:pPr>
      <w:r w:rsidRPr="0081349F">
        <w:rPr>
          <w:sz w:val="24"/>
          <w:szCs w:val="24"/>
        </w:rPr>
        <w:t>At the session I was unable to answer Rt Hon Peter Swallow’s question about the types of formal and informal kinship care. One of our members works for an organisation called Kinship and has helpfully provided this link to their explanation of what kinship care as an umbrella term means and descriptions of some of the sub-types of kinship care</w:t>
      </w:r>
    </w:p>
    <w:p w:rsidR="006B65BB" w:rsidRPr="00B3543C" w:rsidP="005826BE">
      <w:pPr>
        <w:spacing w:after="0" w:line="240" w:lineRule="auto"/>
        <w:jc w:val="both"/>
        <w:rPr>
          <w:sz w:val="24"/>
          <w:szCs w:val="24"/>
        </w:rPr>
      </w:pPr>
      <w:r>
        <w:fldChar w:fldCharType="begin"/>
      </w:r>
      <w:r>
        <w:instrText xml:space="preserve"> HYPERLINK "https://kinship.org.uk/what-is-kinship-care/" </w:instrText>
      </w:r>
      <w:r>
        <w:fldChar w:fldCharType="separate"/>
      </w:r>
      <w:r w:rsidRPr="00B3543C">
        <w:rPr>
          <w:rStyle w:val="Hyperlink"/>
          <w:sz w:val="24"/>
          <w:szCs w:val="24"/>
        </w:rPr>
        <w:t>What is kinship care? - Kinship</w:t>
      </w:r>
      <w:r>
        <w:fldChar w:fldCharType="end"/>
      </w:r>
    </w:p>
    <w:p w:rsidR="006B65BB" w:rsidRPr="00B3543C" w:rsidP="005826BE">
      <w:pPr>
        <w:spacing w:after="0" w:line="240" w:lineRule="auto"/>
        <w:jc w:val="both"/>
        <w:rPr>
          <w:sz w:val="24"/>
          <w:szCs w:val="24"/>
        </w:rPr>
      </w:pPr>
    </w:p>
    <w:p w:rsidR="006B65BB" w:rsidRPr="00B3543C" w:rsidP="005826BE">
      <w:pPr>
        <w:spacing w:after="0" w:line="240" w:lineRule="auto"/>
        <w:jc w:val="both"/>
        <w:rPr>
          <w:sz w:val="24"/>
          <w:szCs w:val="24"/>
        </w:rPr>
      </w:pPr>
      <w:r w:rsidRPr="00B3543C">
        <w:rPr>
          <w:sz w:val="24"/>
          <w:szCs w:val="24"/>
        </w:rPr>
        <w:t>I hope that your committee finds this supplementary evidence useful and informative. Please do get back to me if there are any further issues you would like to explore in more depth with BASW and our members.</w:t>
      </w:r>
    </w:p>
    <w:p w:rsidR="006B65BB" w:rsidRPr="00B3543C" w:rsidP="005826BE">
      <w:pPr>
        <w:spacing w:after="0" w:line="240" w:lineRule="auto"/>
        <w:jc w:val="both"/>
        <w:rPr>
          <w:sz w:val="24"/>
          <w:szCs w:val="24"/>
        </w:rPr>
      </w:pPr>
    </w:p>
    <w:p w:rsidR="006B65BB" w:rsidRPr="00B3543C" w:rsidP="005826BE">
      <w:pPr>
        <w:spacing w:after="0" w:line="240" w:lineRule="auto"/>
        <w:jc w:val="both"/>
        <w:rPr>
          <w:sz w:val="24"/>
          <w:szCs w:val="24"/>
        </w:rPr>
      </w:pPr>
      <w:r w:rsidRPr="00B3543C">
        <w:rPr>
          <w:sz w:val="24"/>
          <w:szCs w:val="24"/>
        </w:rPr>
        <w:t>Yours sincerely</w:t>
      </w:r>
    </w:p>
    <w:p w:rsidR="006B65BB" w:rsidRPr="00B3543C" w:rsidP="005826BE">
      <w:pPr>
        <w:spacing w:after="0" w:line="240" w:lineRule="auto"/>
        <w:jc w:val="both"/>
        <w:rPr>
          <w:sz w:val="24"/>
          <w:szCs w:val="24"/>
        </w:rPr>
      </w:pPr>
    </w:p>
    <w:p w:rsidR="006B65BB" w:rsidRPr="00B3543C" w:rsidP="005826BE">
      <w:pPr>
        <w:spacing w:after="0" w:line="240" w:lineRule="auto"/>
        <w:jc w:val="both"/>
        <w:rPr>
          <w:sz w:val="24"/>
          <w:szCs w:val="24"/>
        </w:rPr>
      </w:pPr>
      <w:r w:rsidRPr="00B3543C">
        <w:rPr>
          <w:sz w:val="24"/>
          <w:szCs w:val="24"/>
        </w:rPr>
        <w:t xml:space="preserve">Andrew Reece, registered social worker </w:t>
      </w:r>
    </w:p>
    <w:p w:rsidR="006B65BB" w:rsidRPr="00B3543C" w:rsidP="005826BE">
      <w:pPr>
        <w:spacing w:after="0" w:line="240" w:lineRule="auto"/>
        <w:jc w:val="both"/>
        <w:rPr>
          <w:b/>
          <w:bCs/>
          <w:sz w:val="24"/>
          <w:szCs w:val="24"/>
        </w:rPr>
      </w:pPr>
      <w:r w:rsidRPr="00B3543C">
        <w:rPr>
          <w:b/>
          <w:bCs/>
          <w:sz w:val="24"/>
          <w:szCs w:val="24"/>
        </w:rPr>
        <w:t>Strategic Lead for England and Wales</w:t>
      </w:r>
    </w:p>
    <w:p w:rsidR="006B65BB" w:rsidRPr="00B3543C" w:rsidP="005826BE">
      <w:pPr>
        <w:spacing w:after="0" w:line="240" w:lineRule="auto"/>
        <w:jc w:val="both"/>
        <w:rPr>
          <w:b/>
          <w:bCs/>
          <w:sz w:val="24"/>
          <w:szCs w:val="24"/>
        </w:rPr>
      </w:pPr>
    </w:p>
    <w:p w:rsidR="00A73086" w:rsidP="005826BE">
      <w:pPr>
        <w:spacing w:after="0" w:line="240" w:lineRule="auto"/>
        <w:jc w:val="both"/>
        <w:rPr>
          <w:b/>
          <w:bCs/>
          <w:sz w:val="24"/>
          <w:szCs w:val="24"/>
        </w:rPr>
      </w:pPr>
    </w:p>
    <w:p w:rsidR="00A73086" w:rsidRPr="00A73086" w:rsidP="005826BE">
      <w:pPr>
        <w:spacing w:after="0" w:line="240" w:lineRule="auto"/>
        <w:jc w:val="both"/>
        <w:rPr>
          <w:rFonts w:ascii="Aptos" w:hAnsi="Aptos"/>
          <w:b/>
          <w:bCs/>
          <w:i/>
          <w:iCs/>
          <w:sz w:val="24"/>
          <w:szCs w:val="24"/>
        </w:rPr>
      </w:pPr>
      <w:r>
        <w:rPr>
          <w:rFonts w:ascii="Aptos" w:hAnsi="Aptos"/>
          <w:b/>
          <w:bCs/>
          <w:i/>
          <w:iCs/>
          <w:sz w:val="24"/>
          <w:szCs w:val="24"/>
        </w:rPr>
        <w:t>(</w:t>
      </w:r>
      <w:r w:rsidRPr="00A73086">
        <w:rPr>
          <w:rFonts w:ascii="Aptos" w:hAnsi="Aptos"/>
          <w:b/>
          <w:bCs/>
          <w:i/>
          <w:iCs/>
          <w:sz w:val="24"/>
          <w:szCs w:val="24"/>
        </w:rPr>
        <w:t>April 2026</w:t>
      </w:r>
      <w:r>
        <w:rPr>
          <w:rFonts w:ascii="Aptos" w:hAnsi="Aptos"/>
          <w:b/>
          <w:bCs/>
          <w:i/>
          <w:iCs/>
          <w:sz w:val="24"/>
          <w:szCs w:val="24"/>
        </w:rPr>
        <w:t>)</w:t>
      </w:r>
    </w:p>
    <w:p w:rsidR="006B65BB" w:rsidRPr="00A46051" w:rsidP="00B75D0B">
      <w:pPr>
        <w:spacing w:after="0" w:line="240" w:lineRule="auto"/>
        <w:jc w:val="both"/>
      </w:pPr>
      <w:r>
        <w:rPr>
          <w:b/>
          <w:bCs/>
        </w:rPr>
        <w:t xml:space="preserve">  </w:t>
      </w:r>
    </w:p>
    <w:p w:rsidR="006B65BB" w:rsidRPr="00A46051" w:rsidP="00DD5E1A">
      <w:pPr>
        <w:spacing w:after="0" w:line="240" w:lineRule="auto"/>
        <w:jc w:val="both"/>
      </w:pPr>
    </w:p>
    <w:sectPr w:rsidSect="00BE0CB0">
      <w:pgSz w:w="11906" w:h="16838"/>
      <w:pgMar w:top="426"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D21A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8B040A9"/>
    <w:multiLevelType w:val="hybridMultilevel"/>
    <w:tmpl w:val="BEDA24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CB32635"/>
    <w:multiLevelType w:val="hybridMultilevel"/>
    <w:tmpl w:val="E968EA7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AD80912"/>
    <w:multiLevelType w:val="hybridMultilevel"/>
    <w:tmpl w:val="5A4232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DE81F8A"/>
    <w:multiLevelType w:val="hybridMultilevel"/>
    <w:tmpl w:val="4D3A054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E533F17"/>
    <w:multiLevelType w:val="hybridMultilevel"/>
    <w:tmpl w:val="3D321244"/>
    <w:lvl w:ilvl="0">
      <w:start w:val="6"/>
      <w:numFmt w:val="bullet"/>
      <w:lvlText w:val="-"/>
      <w:lvlJc w:val="left"/>
      <w:pPr>
        <w:ind w:left="360" w:hanging="360"/>
      </w:pPr>
      <w:rPr>
        <w:rFonts w:ascii="Aptos" w:hAnsi="Aptos" w:eastAsiaTheme="minorHAnsi" w:cstheme="minorBid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72CC462F"/>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77652881"/>
    <w:multiLevelType w:val="hybridMultilevel"/>
    <w:tmpl w:val="546AC1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7"/>
  </w:num>
  <w:num w:numId="4">
    <w:abstractNumId w:val="4"/>
  </w:num>
  <w:num w:numId="5">
    <w:abstractNumId w:val="2"/>
  </w:num>
  <w:num w:numId="6">
    <w:abstractNumId w:val="0"/>
  </w:num>
  <w:num w:numId="7">
    <w:abstractNumId w:val="5"/>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44252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E05B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4755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2A61"/>
    <w:rPr>
      <w:color w:val="0563C1" w:themeColor="hyperlink"/>
      <w:u w:val="single"/>
    </w:rPr>
  </w:style>
  <w:style w:type="character" w:customStyle="1" w:styleId="Heading1Char">
    <w:name w:val="Heading 1 Char"/>
    <w:basedOn w:val="DefaultParagraphFont"/>
    <w:link w:val="Heading1"/>
    <w:uiPriority w:val="9"/>
    <w:rsid w:val="00442521"/>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DC0EFC"/>
    <w:pPr>
      <w:ind w:left="720"/>
      <w:contextualSpacing/>
    </w:pPr>
  </w:style>
  <w:style w:type="character" w:styleId="FollowedHyperlink">
    <w:name w:val="FollowedHyperlink"/>
    <w:basedOn w:val="DefaultParagraphFont"/>
    <w:uiPriority w:val="99"/>
    <w:semiHidden/>
    <w:unhideWhenUsed/>
    <w:rsid w:val="008872A2"/>
    <w:rPr>
      <w:color w:val="954F72" w:themeColor="followedHyperlink"/>
      <w:u w:val="single"/>
    </w:rPr>
  </w:style>
  <w:style w:type="character" w:customStyle="1" w:styleId="UnresolvedMention1">
    <w:name w:val="Unresolved Mention1"/>
    <w:basedOn w:val="DefaultParagraphFont"/>
    <w:uiPriority w:val="99"/>
    <w:semiHidden/>
    <w:unhideWhenUsed/>
    <w:rsid w:val="009F4922"/>
    <w:rPr>
      <w:color w:val="605E5C"/>
      <w:shd w:val="clear" w:color="auto" w:fill="E1DFDD"/>
    </w:rPr>
  </w:style>
  <w:style w:type="character" w:customStyle="1" w:styleId="UnresolvedMention2">
    <w:name w:val="Unresolved Mention2"/>
    <w:basedOn w:val="DefaultParagraphFont"/>
    <w:uiPriority w:val="99"/>
    <w:semiHidden/>
    <w:unhideWhenUsed/>
    <w:rsid w:val="007D06A5"/>
    <w:rPr>
      <w:color w:val="605E5C"/>
      <w:shd w:val="clear" w:color="auto" w:fill="E1DFDD"/>
    </w:rPr>
  </w:style>
  <w:style w:type="character" w:styleId="CommentReference">
    <w:name w:val="annotation reference"/>
    <w:basedOn w:val="DefaultParagraphFont"/>
    <w:uiPriority w:val="99"/>
    <w:semiHidden/>
    <w:unhideWhenUsed/>
    <w:rsid w:val="009E64C2"/>
    <w:rPr>
      <w:sz w:val="16"/>
      <w:szCs w:val="16"/>
    </w:rPr>
  </w:style>
  <w:style w:type="paragraph" w:styleId="CommentText">
    <w:name w:val="annotation text"/>
    <w:basedOn w:val="Normal"/>
    <w:link w:val="CommentTextChar"/>
    <w:uiPriority w:val="99"/>
    <w:unhideWhenUsed/>
    <w:rsid w:val="009E64C2"/>
    <w:pPr>
      <w:spacing w:line="240" w:lineRule="auto"/>
    </w:pPr>
    <w:rPr>
      <w:sz w:val="20"/>
      <w:szCs w:val="20"/>
    </w:rPr>
  </w:style>
  <w:style w:type="character" w:customStyle="1" w:styleId="CommentTextChar">
    <w:name w:val="Comment Text Char"/>
    <w:basedOn w:val="DefaultParagraphFont"/>
    <w:link w:val="CommentText"/>
    <w:uiPriority w:val="99"/>
    <w:rsid w:val="009E64C2"/>
    <w:rPr>
      <w:sz w:val="20"/>
      <w:szCs w:val="20"/>
    </w:rPr>
  </w:style>
  <w:style w:type="paragraph" w:styleId="CommentSubject">
    <w:name w:val="annotation subject"/>
    <w:basedOn w:val="CommentText"/>
    <w:next w:val="CommentText"/>
    <w:link w:val="CommentSubjectChar"/>
    <w:uiPriority w:val="99"/>
    <w:semiHidden/>
    <w:unhideWhenUsed/>
    <w:rsid w:val="009E64C2"/>
    <w:rPr>
      <w:b/>
      <w:bCs/>
    </w:rPr>
  </w:style>
  <w:style w:type="character" w:customStyle="1" w:styleId="CommentSubjectChar">
    <w:name w:val="Comment Subject Char"/>
    <w:basedOn w:val="CommentTextChar"/>
    <w:link w:val="CommentSubject"/>
    <w:uiPriority w:val="99"/>
    <w:semiHidden/>
    <w:rsid w:val="009E64C2"/>
    <w:rPr>
      <w:b/>
      <w:bCs/>
      <w:sz w:val="20"/>
      <w:szCs w:val="20"/>
    </w:rPr>
  </w:style>
  <w:style w:type="character" w:customStyle="1" w:styleId="Heading2Char">
    <w:name w:val="Heading 2 Char"/>
    <w:basedOn w:val="DefaultParagraphFont"/>
    <w:link w:val="Heading2"/>
    <w:uiPriority w:val="9"/>
    <w:rsid w:val="006E05B8"/>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0038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81C3B"/>
    <w:pPr>
      <w:spacing w:after="0" w:line="240" w:lineRule="auto"/>
    </w:pPr>
  </w:style>
  <w:style w:type="paragraph" w:styleId="Header">
    <w:name w:val="header"/>
    <w:basedOn w:val="Normal"/>
    <w:link w:val="HeaderChar"/>
    <w:uiPriority w:val="99"/>
    <w:unhideWhenUsed/>
    <w:rsid w:val="000A4D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D3E"/>
  </w:style>
  <w:style w:type="paragraph" w:styleId="Footer">
    <w:name w:val="footer"/>
    <w:basedOn w:val="Normal"/>
    <w:link w:val="FooterChar"/>
    <w:uiPriority w:val="99"/>
    <w:unhideWhenUsed/>
    <w:rsid w:val="000A4D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D3E"/>
  </w:style>
  <w:style w:type="character" w:customStyle="1" w:styleId="Heading3Char">
    <w:name w:val="Heading 3 Char"/>
    <w:basedOn w:val="DefaultParagraphFont"/>
    <w:link w:val="Heading3"/>
    <w:uiPriority w:val="9"/>
    <w:rsid w:val="0024755D"/>
    <w:rPr>
      <w:rFonts w:asciiTheme="majorHAnsi" w:eastAsiaTheme="majorEastAsia" w:hAnsiTheme="majorHAnsi" w:cstheme="majorBidi"/>
      <w:color w:val="1F4D78" w:themeColor="accent1" w:themeShade="7F"/>
      <w:sz w:val="24"/>
      <w:szCs w:val="24"/>
    </w:rPr>
  </w:style>
  <w:style w:type="paragraph" w:customStyle="1" w:styleId="elementtoproof">
    <w:name w:val="elementtoproof"/>
    <w:basedOn w:val="Normal"/>
    <w:rsid w:val="00300ECE"/>
    <w:pPr>
      <w:spacing w:after="0" w:line="240" w:lineRule="auto"/>
    </w:pPr>
    <w:rPr>
      <w:rFonts w:ascii="Aptos"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99FE18C0A8D74789CF79CD2B1F6D45" ma:contentTypeVersion="16" ma:contentTypeDescription="Create a new document." ma:contentTypeScope="" ma:versionID="bfa3ee347a531376351b40bacb2ce599">
  <xsd:schema xmlns:xsd="http://www.w3.org/2001/XMLSchema" xmlns:xs="http://www.w3.org/2001/XMLSchema" xmlns:p="http://schemas.microsoft.com/office/2006/metadata/properties" xmlns:ns2="10bb87f3-c026-4d25-a11a-f4947ec8869c" xmlns:ns3="349ed5c0-7d9d-4b34-9bbd-e070669ee0de" targetNamespace="http://schemas.microsoft.com/office/2006/metadata/properties" ma:root="true" ma:fieldsID="aee7469118417d847ff5f53ac08e0e98" ns2:_="" ns3:_="">
    <xsd:import namespace="10bb87f3-c026-4d25-a11a-f4947ec8869c"/>
    <xsd:import namespace="349ed5c0-7d9d-4b34-9bbd-e070669ee0d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bb87f3-c026-4d25-a11a-f4947ec886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f6f2c7-f84b-42a6-be1a-684c88b8a21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9ed5c0-7d9d-4b34-9bbd-e070669ee0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6f1e540-8c1b-4d36-9536-5f0773e9ab73}" ma:internalName="TaxCatchAll" ma:showField="CatchAllData" ma:web="349ed5c0-7d9d-4b34-9bbd-e070669ee0d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bb87f3-c026-4d25-a11a-f4947ec8869c">
      <Terms xmlns="http://schemas.microsoft.com/office/infopath/2007/PartnerControls"/>
    </lcf76f155ced4ddcb4097134ff3c332f>
    <TaxCatchAll xmlns="349ed5c0-7d9d-4b34-9bbd-e070669ee0d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B3B60F-4F29-4CEC-A0E0-62D856963A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bb87f3-c026-4d25-a11a-f4947ec8869c"/>
    <ds:schemaRef ds:uri="349ed5c0-7d9d-4b34-9bbd-e070669ee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165AAC-9FBA-4889-9EED-0E5A61C36D83}">
  <ds:schemaRefs>
    <ds:schemaRef ds:uri="http://schemas.openxmlformats.org/officeDocument/2006/bibliography"/>
  </ds:schemaRefs>
</ds:datastoreItem>
</file>

<file path=customXml/itemProps3.xml><?xml version="1.0" encoding="utf-8"?>
<ds:datastoreItem xmlns:ds="http://schemas.openxmlformats.org/officeDocument/2006/customXml" ds:itemID="{25C9C617-D9FE-4EFA-B887-7748EDB51DA5}">
  <ds:schemaRefs>
    <ds:schemaRef ds:uri="http://schemas.microsoft.com/office/2006/metadata/properties"/>
    <ds:schemaRef ds:uri="http://schemas.microsoft.com/office/infopath/2007/PartnerControls"/>
    <ds:schemaRef ds:uri="10bb87f3-c026-4d25-a11a-f4947ec8869c"/>
    <ds:schemaRef ds:uri="349ed5c0-7d9d-4b34-9bbd-e070669ee0de"/>
  </ds:schemaRefs>
</ds:datastoreItem>
</file>

<file path=customXml/itemProps4.xml><?xml version="1.0" encoding="utf-8"?>
<ds:datastoreItem xmlns:ds="http://schemas.openxmlformats.org/officeDocument/2006/customXml" ds:itemID="{DECE05D8-3E81-4881-8F96-F29605E31484}">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CSC0097</dc:title>
  <cp:revision>0</cp:revision>
</cp:coreProperties>
</file>