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0904" w:rsidRPr="00BC0904" w:rsidP="00704C15">
      <w:pPr>
        <w:rPr>
          <w:rFonts w:ascii="Calibri" w:hAnsi="Calibri" w:cs="Calibri"/>
          <w:b/>
          <w:bCs/>
          <w:lang w:val="en-US"/>
        </w:rPr>
      </w:pPr>
    </w:p>
    <w:p w:rsidR="00BC0904" w:rsidRPr="00BC0904" w:rsidP="00BC0904">
      <w:pPr>
        <w:jc w:val="center"/>
        <w:rPr>
          <w:rFonts w:ascii="Calibri" w:hAnsi="Calibri" w:cs="Calibri"/>
          <w:b/>
          <w:bCs/>
          <w:sz w:val="32"/>
          <w:szCs w:val="32"/>
          <w:lang w:val="en-US"/>
        </w:rPr>
      </w:pPr>
      <w:r w:rsidRPr="00BC0904">
        <w:rPr>
          <w:rFonts w:ascii="Calibri" w:hAnsi="Calibri" w:cs="Calibri"/>
          <w:b/>
          <w:bCs/>
          <w:sz w:val="32"/>
          <w:szCs w:val="32"/>
          <w:lang w:val="en-US"/>
        </w:rPr>
        <w:t>Written Evidence submitted by Ofsted (TRN00</w:t>
      </w:r>
      <w:r>
        <w:rPr>
          <w:rFonts w:ascii="Calibri" w:hAnsi="Calibri" w:cs="Calibri"/>
          <w:b/>
          <w:bCs/>
          <w:sz w:val="32"/>
          <w:szCs w:val="32"/>
          <w:lang w:val="en-US"/>
        </w:rPr>
        <w:t>10</w:t>
      </w:r>
      <w:r w:rsidRPr="00BC0904">
        <w:rPr>
          <w:rFonts w:ascii="Calibri" w:hAnsi="Calibri" w:cs="Calibri"/>
          <w:b/>
          <w:bCs/>
          <w:sz w:val="32"/>
          <w:szCs w:val="32"/>
          <w:lang w:val="en-US"/>
        </w:rPr>
        <w:t>)</w:t>
      </w:r>
    </w:p>
    <w:p w:rsidR="00BC0904" w:rsidRPr="00BC0904" w:rsidP="00BC0904">
      <w:pPr>
        <w:jc w:val="center"/>
        <w:rPr>
          <w:rFonts w:ascii="Calibri" w:hAnsi="Calibri" w:cs="Calibri"/>
          <w:b/>
          <w:bCs/>
          <w:sz w:val="32"/>
          <w:szCs w:val="32"/>
          <w:lang w:val="en-US"/>
        </w:rPr>
      </w:pPr>
    </w:p>
    <w:p w:rsidR="00BC0904" w:rsidRPr="00BC0904" w:rsidP="00704C15">
      <w:pPr>
        <w:rPr>
          <w:rFonts w:ascii="Calibri" w:hAnsi="Calibri" w:cs="Calibri"/>
          <w:b/>
          <w:bCs/>
          <w:lang w:val="en-US"/>
        </w:rPr>
      </w:pPr>
    </w:p>
    <w:p w:rsidR="00BC0904" w:rsidRPr="00BC0904" w:rsidP="00704C15">
      <w:pPr>
        <w:rPr>
          <w:rFonts w:ascii="Calibri" w:hAnsi="Calibri" w:cs="Calibri"/>
          <w:b/>
          <w:bCs/>
          <w:lang w:val="en-US"/>
        </w:rPr>
      </w:pPr>
    </w:p>
    <w:p w:rsidR="00BC0904" w:rsidRPr="00BC0904" w:rsidP="00704C15">
      <w:pPr>
        <w:rPr>
          <w:rFonts w:ascii="Calibri" w:hAnsi="Calibri" w:cs="Calibri"/>
          <w:b/>
          <w:bCs/>
          <w:lang w:val="en-US"/>
        </w:rPr>
      </w:pPr>
    </w:p>
    <w:p w:rsidR="00BC0904" w:rsidRPr="00BC0904" w:rsidP="00704C15">
      <w:pPr>
        <w:rPr>
          <w:rFonts w:ascii="Calibri" w:hAnsi="Calibri" w:cs="Calibri"/>
          <w:b/>
          <w:bCs/>
          <w:lang w:val="en-US"/>
        </w:rPr>
      </w:pPr>
    </w:p>
    <w:p w:rsidR="00441413" w:rsidRPr="00BC0904" w:rsidP="002F0EDD">
      <w:pPr>
        <w:rPr>
          <w:rFonts w:ascii="Calibri" w:hAnsi="Calibri" w:cs="Calibri"/>
          <w:lang w:val="en-US"/>
        </w:rPr>
      </w:pPr>
    </w:p>
    <w:p w:rsidR="00441413" w:rsidRPr="00BC0904" w:rsidP="002F0EDD">
      <w:pPr>
        <w:rPr>
          <w:rFonts w:ascii="Calibri" w:hAnsi="Calibri" w:cs="Calibri"/>
          <w:b/>
          <w:bCs/>
          <w:u w:val="single"/>
          <w:lang w:val="en-US"/>
        </w:rPr>
      </w:pPr>
      <w:r w:rsidRPr="00BC0904">
        <w:rPr>
          <w:rFonts w:ascii="Calibri" w:hAnsi="Calibri" w:cs="Calibri"/>
          <w:b/>
          <w:bCs/>
          <w:u w:val="single"/>
          <w:lang w:val="en-US"/>
        </w:rPr>
        <w:t>A</w:t>
      </w:r>
      <w:r w:rsidRPr="00BC0904">
        <w:rPr>
          <w:rFonts w:ascii="Calibri" w:hAnsi="Calibri" w:cs="Calibri"/>
          <w:b/>
          <w:bCs/>
          <w:u w:val="single"/>
          <w:lang w:val="en-US"/>
        </w:rPr>
        <w:t xml:space="preserve">rea </w:t>
      </w:r>
      <w:r w:rsidRPr="00BC0904">
        <w:rPr>
          <w:rFonts w:ascii="Calibri" w:hAnsi="Calibri" w:cs="Calibri"/>
          <w:b/>
          <w:bCs/>
          <w:u w:val="single"/>
          <w:lang w:val="en-US"/>
        </w:rPr>
        <w:t xml:space="preserve">SEND </w:t>
      </w:r>
    </w:p>
    <w:p w:rsidR="00441413" w:rsidRPr="00BC0904" w:rsidP="002F0EDD">
      <w:pPr>
        <w:rPr>
          <w:rFonts w:ascii="Calibri" w:hAnsi="Calibri" w:cs="Calibri"/>
          <w:lang w:val="en-US"/>
        </w:rPr>
      </w:pPr>
    </w:p>
    <w:p w:rsidR="00441413" w:rsidRPr="00BC0904" w:rsidP="00E56A05">
      <w:pPr>
        <w:rPr>
          <w:rFonts w:ascii="Calibri" w:hAnsi="Calibri" w:cs="Calibri"/>
        </w:rPr>
      </w:pPr>
      <w:r w:rsidRPr="00BC0904">
        <w:rPr>
          <w:rFonts w:ascii="Calibri" w:hAnsi="Calibri" w:cs="Calibri"/>
        </w:rPr>
        <w:t>O</w:t>
      </w:r>
      <w:r w:rsidRPr="00BC0904">
        <w:rPr>
          <w:rFonts w:ascii="Calibri" w:hAnsi="Calibri" w:cs="Calibri"/>
        </w:rPr>
        <w:t>fsted’s</w:t>
      </w:r>
      <w:r w:rsidRPr="00BC0904">
        <w:rPr>
          <w:rFonts w:ascii="Calibri" w:hAnsi="Calibri" w:cs="Calibri"/>
        </w:rPr>
        <w:t xml:space="preserve"> </w:t>
      </w:r>
      <w:r w:rsidRPr="00BC0904">
        <w:rPr>
          <w:rFonts w:ascii="Calibri" w:hAnsi="Calibri" w:cs="Calibri"/>
        </w:rPr>
        <w:t>‘P</w:t>
      </w:r>
      <w:r w:rsidRPr="00BC0904">
        <w:rPr>
          <w:rFonts w:ascii="Calibri" w:hAnsi="Calibri" w:cs="Calibri"/>
        </w:rPr>
        <w:t>reparation for adulthood arrangements in local areas</w:t>
      </w:r>
      <w:r w:rsidRPr="00BC0904">
        <w:rPr>
          <w:rFonts w:ascii="Calibri" w:hAnsi="Calibri" w:cs="Calibri"/>
        </w:rPr>
        <w:t>’</w:t>
      </w:r>
      <w:r w:rsidRPr="00BC0904">
        <w:rPr>
          <w:rFonts w:ascii="Calibri" w:hAnsi="Calibri" w:cs="Calibri"/>
        </w:rPr>
        <w:t xml:space="preserve"> thematic review, completed jointly with </w:t>
      </w:r>
      <w:r w:rsidRPr="00BC0904">
        <w:rPr>
          <w:rFonts w:ascii="Calibri" w:hAnsi="Calibri" w:cs="Calibri"/>
        </w:rPr>
        <w:t>the Care Quality Commission (</w:t>
      </w:r>
      <w:r w:rsidRPr="00BC0904">
        <w:rPr>
          <w:rFonts w:ascii="Calibri" w:hAnsi="Calibri" w:cs="Calibri"/>
        </w:rPr>
        <w:t>CQC</w:t>
      </w:r>
      <w:r w:rsidRPr="00BC0904">
        <w:rPr>
          <w:rFonts w:ascii="Calibri" w:hAnsi="Calibri" w:cs="Calibri"/>
        </w:rPr>
        <w:t>)</w:t>
      </w:r>
      <w:r w:rsidRPr="00BC0904">
        <w:rPr>
          <w:rFonts w:ascii="Calibri" w:hAnsi="Calibri" w:cs="Calibri"/>
        </w:rPr>
        <w:t xml:space="preserve"> in 2024, examined how effectively local systems prepare young people with </w:t>
      </w:r>
      <w:r w:rsidRPr="00BC0904">
        <w:rPr>
          <w:rFonts w:ascii="Calibri" w:hAnsi="Calibri" w:cs="Calibri"/>
        </w:rPr>
        <w:t>special educational needs and/or disabilities (</w:t>
      </w:r>
      <w:r w:rsidRPr="00BC0904">
        <w:rPr>
          <w:rFonts w:ascii="Calibri" w:hAnsi="Calibri" w:cs="Calibri"/>
        </w:rPr>
        <w:t>SEND</w:t>
      </w:r>
      <w:r w:rsidRPr="00BC0904">
        <w:rPr>
          <w:rFonts w:ascii="Calibri" w:hAnsi="Calibri" w:cs="Calibri"/>
        </w:rPr>
        <w:t>)</w:t>
      </w:r>
      <w:r w:rsidRPr="00BC0904">
        <w:rPr>
          <w:rFonts w:ascii="Calibri" w:hAnsi="Calibri" w:cs="Calibri"/>
        </w:rPr>
        <w:t xml:space="preserve"> for adult life across education, health and social care, including how they transition into adult social care services at and beyond age 18.</w:t>
      </w:r>
      <w:r>
        <w:rPr>
          <w:rStyle w:val="FootnoteReference"/>
          <w:rFonts w:ascii="Calibri" w:hAnsi="Calibri" w:cs="Calibri"/>
        </w:rPr>
        <w:footnoteReference w:id="2"/>
      </w:r>
      <w:r w:rsidRPr="00BC0904">
        <w:rPr>
          <w:rFonts w:ascii="Calibri" w:hAnsi="Calibri" w:cs="Calibri"/>
        </w:rPr>
        <w:t xml:space="preserve"> </w:t>
      </w:r>
    </w:p>
    <w:p w:rsidR="00441413" w:rsidRPr="00BC0904" w:rsidP="00E56A05">
      <w:pPr>
        <w:rPr>
          <w:rFonts w:ascii="Calibri" w:hAnsi="Calibri" w:cs="Calibri"/>
        </w:rPr>
      </w:pPr>
    </w:p>
    <w:p w:rsidR="00441413" w:rsidRPr="00BC0904" w:rsidP="00E56A05">
      <w:pPr>
        <w:rPr>
          <w:rFonts w:ascii="Calibri" w:hAnsi="Calibri" w:cs="Calibri"/>
        </w:rPr>
      </w:pPr>
      <w:r w:rsidRPr="00BC0904">
        <w:rPr>
          <w:rFonts w:ascii="Calibri" w:hAnsi="Calibri" w:cs="Calibri"/>
        </w:rPr>
        <w:t>We found that strong transition planning and preparation between adult and children’s social care helps children and young people with SEND to become increasingly independent. It helps them to make progress in all areas of their life, such as creating friendships, having work experience opportunities or learning life skills.</w:t>
      </w:r>
    </w:p>
    <w:p w:rsidR="00441413" w:rsidRPr="00BC0904" w:rsidP="00E56A05">
      <w:pPr>
        <w:rPr>
          <w:rFonts w:ascii="Calibri" w:hAnsi="Calibri" w:cs="Calibri"/>
        </w:rPr>
      </w:pPr>
    </w:p>
    <w:p w:rsidR="00441413" w:rsidRPr="00BC0904" w:rsidP="00E56A05">
      <w:pPr>
        <w:rPr>
          <w:rFonts w:ascii="Calibri" w:hAnsi="Calibri" w:cs="Calibri"/>
        </w:rPr>
      </w:pPr>
      <w:r w:rsidRPr="00BC0904">
        <w:rPr>
          <w:rFonts w:ascii="Calibri" w:hAnsi="Calibri" w:cs="Calibri"/>
        </w:rPr>
        <w:t>When teams and services work well together, it reduces the burden on families to prepare for their child’s future and allows for seamless transition to adulthood. It can enable consistent approaches across services. It should also mean that families do not need to repeat their story to different professionals.</w:t>
      </w:r>
    </w:p>
    <w:p w:rsidR="00441413" w:rsidRPr="00BC0904" w:rsidP="00E56A05">
      <w:pPr>
        <w:rPr>
          <w:rFonts w:ascii="Calibri" w:hAnsi="Calibri" w:cs="Calibri"/>
        </w:rPr>
      </w:pPr>
    </w:p>
    <w:p w:rsidR="00441413" w:rsidRPr="00BC0904" w:rsidP="00E56A05">
      <w:pPr>
        <w:rPr>
          <w:rFonts w:ascii="Calibri" w:hAnsi="Calibri" w:cs="Calibri"/>
        </w:rPr>
      </w:pPr>
      <w:r w:rsidRPr="00BC0904">
        <w:rPr>
          <w:rFonts w:ascii="Calibri" w:hAnsi="Calibri" w:cs="Calibri"/>
        </w:rPr>
        <w:t xml:space="preserve">We found that children and young people are more likely to face a ‘cliff edge’ in support when they do not meet thresholds for adult health services. Overall, we found that transition planning for those with complex learning and/or health needs who have an </w:t>
      </w:r>
      <w:r w:rsidRPr="00BC0904">
        <w:rPr>
          <w:rFonts w:ascii="Calibri" w:hAnsi="Calibri" w:cs="Calibri"/>
        </w:rPr>
        <w:t>education, health and care</w:t>
      </w:r>
      <w:r w:rsidRPr="00BC0904">
        <w:rPr>
          <w:rFonts w:ascii="Calibri" w:hAnsi="Calibri" w:cs="Calibri"/>
        </w:rPr>
        <w:t xml:space="preserve"> plan</w:t>
      </w:r>
      <w:r w:rsidRPr="00BC0904">
        <w:rPr>
          <w:rFonts w:ascii="Calibri" w:hAnsi="Calibri" w:cs="Calibri"/>
        </w:rPr>
        <w:t xml:space="preserve"> (EHCP)</w:t>
      </w:r>
      <w:r w:rsidRPr="00BC0904">
        <w:rPr>
          <w:rFonts w:ascii="Calibri" w:hAnsi="Calibri" w:cs="Calibri"/>
        </w:rPr>
        <w:t xml:space="preserve"> was often much stronger than for those without an EHC</w:t>
      </w:r>
      <w:r w:rsidRPr="00BC0904">
        <w:rPr>
          <w:rFonts w:ascii="Calibri" w:hAnsi="Calibri" w:cs="Calibri"/>
        </w:rPr>
        <w:t>P</w:t>
      </w:r>
      <w:r w:rsidRPr="00BC0904">
        <w:rPr>
          <w:rFonts w:ascii="Calibri" w:hAnsi="Calibri" w:cs="Calibri"/>
        </w:rPr>
        <w:t>.</w:t>
      </w:r>
      <w:r w:rsidRPr="00BC0904">
        <w:rPr>
          <w:rFonts w:ascii="Calibri" w:hAnsi="Calibri" w:cs="Calibri"/>
        </w:rPr>
        <w:t xml:space="preserve"> These young people were more likely to be eligible for adult services.</w:t>
      </w:r>
    </w:p>
    <w:p w:rsidR="00441413" w:rsidRPr="00BC0904" w:rsidP="00E56A05">
      <w:pPr>
        <w:rPr>
          <w:rFonts w:ascii="Calibri" w:hAnsi="Calibri" w:cs="Calibri"/>
        </w:rPr>
      </w:pPr>
    </w:p>
    <w:p w:rsidR="00441413" w:rsidRPr="00BC0904" w:rsidP="00E56A05">
      <w:pPr>
        <w:rPr>
          <w:rFonts w:ascii="Calibri" w:hAnsi="Calibri" w:cs="Calibri"/>
        </w:rPr>
      </w:pPr>
      <w:r w:rsidRPr="00BC0904">
        <w:rPr>
          <w:rFonts w:ascii="Calibri" w:hAnsi="Calibri" w:cs="Calibri"/>
        </w:rPr>
        <w:t>In conclusion, we found that local area partnerships are trying to address gaps in services and to improve provision for children and young people with SEND as they prepare for adulthood and transition to independence. We saw examples of local areas improving information-sharing and joining up services better. On the other hand, we also found some local areas that lacked a coherent strategy to meet children and young people’s needs from birth to 25.</w:t>
      </w:r>
    </w:p>
    <w:p w:rsidR="00441413" w:rsidRPr="00BC0904" w:rsidP="00E56A05">
      <w:pPr>
        <w:rPr>
          <w:rFonts w:ascii="Calibri" w:hAnsi="Calibri" w:cs="Calibri"/>
        </w:rPr>
      </w:pPr>
    </w:p>
    <w:p w:rsidR="00441413" w:rsidRPr="00BC0904" w:rsidP="00E56A05">
      <w:pPr>
        <w:rPr>
          <w:rFonts w:ascii="Calibri" w:hAnsi="Calibri" w:cs="Calibri"/>
        </w:rPr>
      </w:pPr>
      <w:r w:rsidRPr="00BC0904">
        <w:rPr>
          <w:rFonts w:ascii="Calibri" w:hAnsi="Calibri" w:cs="Calibri"/>
        </w:rPr>
        <w:t>The thematic report made a number of recommendations in response to findings. These include</w:t>
      </w:r>
      <w:r w:rsidRPr="00BC0904">
        <w:rPr>
          <w:rFonts w:ascii="Calibri" w:hAnsi="Calibri" w:cs="Calibri"/>
        </w:rPr>
        <w:t>d</w:t>
      </w:r>
      <w:r w:rsidRPr="00BC0904">
        <w:rPr>
          <w:rFonts w:ascii="Calibri" w:hAnsi="Calibri" w:cs="Calibri"/>
        </w:rPr>
        <w:t xml:space="preserve"> that the Department for Health and Social Care (DHSC) should make sure that national guidance on transition from children’s to adult health services is strengthened. The national guidance should be clear about the adjustments that adult health services should </w:t>
      </w:r>
      <w:r w:rsidRPr="00BC0904">
        <w:rPr>
          <w:rFonts w:ascii="Calibri" w:hAnsi="Calibri" w:cs="Calibri"/>
        </w:rPr>
        <w:t>make to support children and young people with SEND. This should also inform adult social care commissioning.</w:t>
      </w:r>
    </w:p>
    <w:p w:rsidR="00441413" w:rsidRPr="00BC0904" w:rsidP="00E56A05">
      <w:pPr>
        <w:rPr>
          <w:rFonts w:ascii="Calibri" w:hAnsi="Calibri" w:cs="Calibri"/>
        </w:rPr>
      </w:pPr>
    </w:p>
    <w:p w:rsidR="00441413" w:rsidRPr="00BC0904" w:rsidP="00E56A05">
      <w:pPr>
        <w:rPr>
          <w:rFonts w:ascii="Calibri" w:hAnsi="Calibri" w:cs="Calibri"/>
          <w:b/>
          <w:bCs/>
          <w:lang w:eastAsia="en-US"/>
        </w:rPr>
      </w:pPr>
      <w:r w:rsidRPr="00BC0904">
        <w:rPr>
          <w:rFonts w:ascii="Calibri" w:hAnsi="Calibri" w:cs="Calibri"/>
          <w:b/>
          <w:bCs/>
          <w:lang w:eastAsia="en-US"/>
        </w:rPr>
        <w:t>Inspecting local authority children’s services (ILACS)</w:t>
      </w:r>
    </w:p>
    <w:p w:rsidR="00441413" w:rsidRPr="00BC0904" w:rsidP="00E56A05">
      <w:pPr>
        <w:rPr>
          <w:rFonts w:ascii="Calibri" w:hAnsi="Calibri" w:cs="Calibri"/>
          <w:lang w:eastAsia="en-US"/>
        </w:rPr>
      </w:pPr>
    </w:p>
    <w:p w:rsidR="00441413" w:rsidRPr="00BC0904" w:rsidP="00E56A05">
      <w:pPr>
        <w:rPr>
          <w:rFonts w:ascii="Calibri" w:hAnsi="Calibri" w:cs="Calibri"/>
          <w:lang w:eastAsia="en-US"/>
        </w:rPr>
      </w:pPr>
      <w:r w:rsidRPr="00BC0904">
        <w:rPr>
          <w:rFonts w:ascii="Calibri" w:hAnsi="Calibri" w:cs="Calibri"/>
          <w:lang w:eastAsia="en-US"/>
        </w:rPr>
        <w:t>As part of the ILACS inspection frameworks</w:t>
      </w:r>
      <w:r w:rsidRPr="00BC0904">
        <w:rPr>
          <w:rFonts w:ascii="Calibri" w:hAnsi="Calibri" w:cs="Calibri"/>
          <w:lang w:eastAsia="en-US"/>
        </w:rPr>
        <w:t>,</w:t>
      </w:r>
      <w:r w:rsidRPr="00BC0904">
        <w:rPr>
          <w:rFonts w:ascii="Calibri" w:hAnsi="Calibri" w:cs="Calibri"/>
          <w:lang w:eastAsia="en-US"/>
        </w:rPr>
        <w:t xml:space="preserve"> Ofsted evaluates the care and progress of children who are eligible for adult social care under fairer access. </w:t>
      </w:r>
      <w:r w:rsidRPr="00BC0904">
        <w:rPr>
          <w:rFonts w:ascii="Calibri" w:hAnsi="Calibri" w:cs="Calibri"/>
          <w:lang w:eastAsia="en-US"/>
        </w:rPr>
        <w:t>These</w:t>
      </w:r>
      <w:r w:rsidRPr="00BC0904">
        <w:rPr>
          <w:rFonts w:ascii="Calibri" w:hAnsi="Calibri" w:cs="Calibri"/>
          <w:lang w:eastAsia="en-US"/>
        </w:rPr>
        <w:t xml:space="preserve"> </w:t>
      </w:r>
      <w:r w:rsidRPr="00BC0904">
        <w:rPr>
          <w:rFonts w:ascii="Calibri" w:hAnsi="Calibri" w:cs="Calibri"/>
          <w:lang w:eastAsia="en-US"/>
        </w:rPr>
        <w:t>are likely</w:t>
      </w:r>
      <w:r w:rsidRPr="00BC0904">
        <w:rPr>
          <w:rFonts w:ascii="Calibri" w:hAnsi="Calibri" w:cs="Calibri"/>
          <w:lang w:eastAsia="en-US"/>
        </w:rPr>
        <w:t xml:space="preserve"> </w:t>
      </w:r>
      <w:r w:rsidRPr="00BC0904">
        <w:rPr>
          <w:rFonts w:ascii="Calibri" w:hAnsi="Calibri" w:cs="Calibri"/>
          <w:lang w:eastAsia="en-US"/>
        </w:rPr>
        <w:t>to be quite a small number because of adult eligibility criteria.</w:t>
      </w:r>
    </w:p>
    <w:p w:rsidR="00441413" w:rsidRPr="00BC0904" w:rsidP="00E56A05">
      <w:pPr>
        <w:rPr>
          <w:rFonts w:ascii="Calibri" w:hAnsi="Calibri" w:cs="Calibri"/>
          <w:lang w:eastAsia="en-US"/>
        </w:rPr>
      </w:pPr>
    </w:p>
    <w:p w:rsidR="00441413" w:rsidRPr="00BC0904" w:rsidP="00E56A05">
      <w:pPr>
        <w:rPr>
          <w:rFonts w:ascii="Calibri" w:hAnsi="Calibri" w:cs="Calibri"/>
          <w:lang w:eastAsia="en-US"/>
        </w:rPr>
      </w:pPr>
      <w:r w:rsidRPr="00BC0904">
        <w:rPr>
          <w:rFonts w:ascii="Calibri" w:hAnsi="Calibri" w:cs="Calibri"/>
          <w:lang w:eastAsia="en-US"/>
        </w:rPr>
        <w:t xml:space="preserve">There is variability of practice across local authorities in terms of timeliness, effectiveness and meaningful engagement of </w:t>
      </w:r>
      <w:r w:rsidRPr="00BC0904">
        <w:rPr>
          <w:rFonts w:ascii="Calibri" w:hAnsi="Calibri" w:cs="Calibri"/>
          <w:lang w:eastAsia="en-US"/>
        </w:rPr>
        <w:t xml:space="preserve">these </w:t>
      </w:r>
      <w:r w:rsidRPr="00BC0904">
        <w:rPr>
          <w:rFonts w:ascii="Calibri" w:hAnsi="Calibri" w:cs="Calibri"/>
          <w:lang w:eastAsia="en-US"/>
        </w:rPr>
        <w:t xml:space="preserve">children and young people and their carers when preparing for adulthood. </w:t>
      </w:r>
    </w:p>
    <w:p w:rsidR="00441413" w:rsidRPr="00BC0904" w:rsidP="00E56A05">
      <w:pPr>
        <w:rPr>
          <w:rFonts w:ascii="Calibri" w:hAnsi="Calibri" w:cs="Calibri"/>
          <w:lang w:eastAsia="en-US"/>
        </w:rPr>
      </w:pPr>
    </w:p>
    <w:p w:rsidR="00441413" w:rsidRPr="00BC0904" w:rsidP="00E56A05">
      <w:pPr>
        <w:rPr>
          <w:rFonts w:ascii="Calibri" w:hAnsi="Calibri" w:cs="Calibri"/>
          <w:lang w:eastAsia="en-US"/>
        </w:rPr>
      </w:pPr>
      <w:r w:rsidRPr="00BC0904">
        <w:rPr>
          <w:rFonts w:ascii="Calibri" w:hAnsi="Calibri" w:cs="Calibri"/>
          <w:lang w:eastAsia="en-US"/>
        </w:rPr>
        <w:t>We have identified stronger practice in some local authorities</w:t>
      </w:r>
      <w:r w:rsidRPr="00BC0904">
        <w:rPr>
          <w:rFonts w:ascii="Calibri" w:hAnsi="Calibri" w:cs="Calibri"/>
          <w:lang w:eastAsia="en-US"/>
        </w:rPr>
        <w:t>, where</w:t>
      </w:r>
      <w:r w:rsidRPr="00BC0904">
        <w:rPr>
          <w:rFonts w:ascii="Calibri" w:hAnsi="Calibri" w:cs="Calibri"/>
          <w:lang w:eastAsia="en-US"/>
        </w:rPr>
        <w:t xml:space="preserve"> </w:t>
      </w:r>
      <w:r w:rsidRPr="00BC0904">
        <w:rPr>
          <w:rFonts w:ascii="Calibri" w:hAnsi="Calibri" w:cs="Calibri"/>
          <w:lang w:eastAsia="en-US"/>
        </w:rPr>
        <w:t>planning with adult services is clear, effective and timely for children within the disabilities service. However, where access to adult social care is delayed</w:t>
      </w:r>
      <w:r w:rsidRPr="00BC0904">
        <w:rPr>
          <w:rFonts w:ascii="Calibri" w:hAnsi="Calibri" w:cs="Calibri"/>
          <w:lang w:eastAsia="en-US"/>
        </w:rPr>
        <w:t>,</w:t>
      </w:r>
      <w:r w:rsidRPr="00BC0904">
        <w:rPr>
          <w:rFonts w:ascii="Calibri" w:hAnsi="Calibri" w:cs="Calibri"/>
          <w:lang w:eastAsia="en-US"/>
        </w:rPr>
        <w:t xml:space="preserve"> this </w:t>
      </w:r>
      <w:r w:rsidRPr="00BC0904">
        <w:rPr>
          <w:rFonts w:ascii="Calibri" w:hAnsi="Calibri" w:cs="Calibri"/>
          <w:lang w:eastAsia="en-US"/>
        </w:rPr>
        <w:t>a</w:t>
      </w:r>
      <w:r w:rsidRPr="00BC0904">
        <w:rPr>
          <w:rFonts w:ascii="Calibri" w:hAnsi="Calibri" w:cs="Calibri"/>
          <w:lang w:eastAsia="en-US"/>
        </w:rPr>
        <w:t>ffects children and families’ experiences as support is not always timely</w:t>
      </w:r>
      <w:r w:rsidRPr="00BC0904">
        <w:rPr>
          <w:rFonts w:ascii="Calibri" w:hAnsi="Calibri" w:cs="Calibri"/>
          <w:lang w:eastAsia="en-US"/>
        </w:rPr>
        <w:t>, well-planned,</w:t>
      </w:r>
      <w:r w:rsidRPr="00BC0904">
        <w:rPr>
          <w:rFonts w:ascii="Calibri" w:hAnsi="Calibri" w:cs="Calibri"/>
          <w:lang w:eastAsia="en-US"/>
        </w:rPr>
        <w:t xml:space="preserve"> or children are not always eligible. </w:t>
      </w:r>
    </w:p>
    <w:p w:rsidR="00441413" w:rsidRPr="00BC0904" w:rsidP="00E56A05">
      <w:pPr>
        <w:rPr>
          <w:rFonts w:ascii="Calibri" w:hAnsi="Calibri" w:cs="Calibri"/>
          <w:lang w:eastAsia="en-US"/>
        </w:rPr>
      </w:pPr>
    </w:p>
    <w:p w:rsidR="00441413" w:rsidP="00E56A05">
      <w:pPr>
        <w:rPr>
          <w:rFonts w:ascii="Calibri" w:hAnsi="Calibri" w:cs="Calibri"/>
          <w:lang w:eastAsia="en-US"/>
        </w:rPr>
      </w:pPr>
      <w:r w:rsidRPr="00BC0904">
        <w:rPr>
          <w:rFonts w:ascii="Calibri" w:hAnsi="Calibri" w:cs="Calibri"/>
          <w:lang w:eastAsia="en-US"/>
        </w:rPr>
        <w:t xml:space="preserve">We have seen that workforce and training are also variable with </w:t>
      </w:r>
      <w:r w:rsidRPr="00BC0904">
        <w:rPr>
          <w:rFonts w:ascii="Calibri" w:hAnsi="Calibri" w:cs="Calibri"/>
          <w:lang w:eastAsia="en-US"/>
        </w:rPr>
        <w:t>a</w:t>
      </w:r>
      <w:r w:rsidRPr="00BC0904">
        <w:rPr>
          <w:rFonts w:ascii="Calibri" w:hAnsi="Calibri" w:cs="Calibri"/>
          <w:lang w:eastAsia="en-US"/>
        </w:rPr>
        <w:t xml:space="preserve"> lack of consistent expertise and knowledge of social workers identified as contributing to variability in children and young people’s experiences when preparing for adulthood. </w:t>
      </w:r>
    </w:p>
    <w:p w:rsidR="00BC0904" w:rsidP="00E56A05">
      <w:pPr>
        <w:rPr>
          <w:rFonts w:ascii="Calibri" w:hAnsi="Calibri" w:cs="Calibri"/>
          <w:lang w:eastAsia="en-US"/>
        </w:rPr>
      </w:pPr>
    </w:p>
    <w:p w:rsidR="00BC0904" w:rsidP="00E56A05">
      <w:pPr>
        <w:rPr>
          <w:rFonts w:ascii="Calibri" w:hAnsi="Calibri" w:cs="Calibri"/>
          <w:lang w:eastAsia="en-US"/>
        </w:rPr>
      </w:pPr>
    </w:p>
    <w:p w:rsidR="00BC0904" w:rsidRPr="00BC0904" w:rsidP="00E56A05">
      <w:pPr>
        <w:rPr>
          <w:rFonts w:ascii="Calibri" w:hAnsi="Calibri" w:cs="Calibri"/>
          <w:i/>
          <w:iCs/>
          <w:lang w:eastAsia="en-US"/>
        </w:rPr>
      </w:pPr>
      <w:r w:rsidRPr="00BC0904">
        <w:rPr>
          <w:rFonts w:ascii="Calibri" w:hAnsi="Calibri" w:cs="Calibri"/>
          <w:i/>
          <w:iCs/>
          <w:lang w:eastAsia="en-US"/>
        </w:rPr>
        <w:t>June 2026</w:t>
      </w:r>
    </w:p>
    <w:p w:rsidR="00441413" w:rsidRPr="00BC0904" w:rsidP="00E56A05">
      <w:pPr>
        <w:rPr>
          <w:rFonts w:ascii="Calibri" w:hAnsi="Calibri" w:cs="Calibri"/>
        </w:rPr>
      </w:pPr>
    </w:p>
    <w:p w:rsidR="00441413" w:rsidRPr="00BC0904">
      <w:pPr>
        <w:rPr>
          <w:rFonts w:ascii="Calibri" w:hAnsi="Calibri" w:cs="Calibri"/>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1413" w:rsidP="00B41006">
      <w:r>
        <w:separator/>
      </w:r>
    </w:p>
  </w:footnote>
  <w:footnote w:type="continuationSeparator" w:id="1">
    <w:p w:rsidR="00441413" w:rsidP="00B41006">
      <w:r>
        <w:continuationSeparator/>
      </w:r>
    </w:p>
  </w:footnote>
  <w:footnote w:id="2">
    <w:p w:rsidR="00441413" w:rsidRPr="007B3CD3">
      <w:pPr>
        <w:pStyle w:val="FootnoteText"/>
        <w:rPr>
          <w:rFonts w:ascii="Tahoma" w:hAnsi="Tahoma" w:cs="Tahoma"/>
        </w:rPr>
      </w:pPr>
      <w:r w:rsidRPr="007B3CD3">
        <w:rPr>
          <w:rStyle w:val="FootnoteReference"/>
          <w:rFonts w:ascii="Tahoma" w:hAnsi="Tahoma" w:cs="Tahoma"/>
        </w:rPr>
        <w:footnoteRef/>
      </w:r>
      <w:r w:rsidRPr="007B3CD3">
        <w:rPr>
          <w:rFonts w:ascii="Tahoma" w:hAnsi="Tahoma" w:cs="Tahoma"/>
        </w:rPr>
        <w:t xml:space="preserve"> ‘Preparation for adulthood arrangements in local areas: a thematic review’, Ofsted and Care Quality Commission, December 2024; </w:t>
      </w:r>
      <w:r>
        <w:fldChar w:fldCharType="begin"/>
      </w:r>
      <w:r>
        <w:instrText xml:space="preserve"> HYPERLINK "https://www.gov.uk/government/publications/preparation-for-adulthood-arrangements-in-local-areas-a-thematic-review" </w:instrText>
      </w:r>
      <w:r>
        <w:fldChar w:fldCharType="separate"/>
      </w:r>
      <w:r w:rsidRPr="007B3CD3">
        <w:rPr>
          <w:rStyle w:val="Hyperlink"/>
          <w:rFonts w:ascii="Tahoma" w:hAnsi="Tahoma" w:cs="Tahoma"/>
        </w:rPr>
        <w:t>https://www.gov.uk/government/publications/preparation-for-adulthood-arrangements-in-local-areas-a-thematic-review</w:t>
      </w:r>
      <w:r>
        <w:fldChar w:fldCharType="end"/>
      </w:r>
      <w:r w:rsidRPr="007B3CD3">
        <w:rPr>
          <w:rFonts w:ascii="Tahoma" w:hAnsi="Tahoma" w:cs="Tahoma"/>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6A05"/>
    <w:rPr>
      <w:rFonts w:ascii="Aptos" w:hAnsi="Aptos" w:cs="Aptos"/>
      <w:sz w:val="24"/>
      <w:szCs w:val="24"/>
      <w:lang w:eastAsia="en-GB"/>
    </w:rPr>
  </w:style>
  <w:style w:type="paragraph" w:styleId="Heading1">
    <w:name w:val="heading 1"/>
    <w:basedOn w:val="Normal"/>
    <w:next w:val="Normal"/>
    <w:link w:val="Heading1Char"/>
    <w:uiPriority w:val="9"/>
    <w:qFormat/>
    <w:rsid w:val="00E56A05"/>
    <w:pPr>
      <w:keepNext/>
      <w:keepLines/>
      <w:spacing w:before="360" w:after="80"/>
      <w:outlineLvl w:val="0"/>
    </w:pPr>
    <w:rPr>
      <w:rFonts w:asciiTheme="majorHAnsi" w:eastAsiaTheme="majorEastAsia" w:hAnsiTheme="majorHAnsi" w:cstheme="majorBidi"/>
      <w:color w:val="2E74B5" w:themeColor="accent1" w:themeShade="BF"/>
      <w:sz w:val="40"/>
      <w:szCs w:val="40"/>
      <w:lang w:eastAsia="en-US"/>
    </w:rPr>
  </w:style>
  <w:style w:type="paragraph" w:styleId="Heading2">
    <w:name w:val="heading 2"/>
    <w:basedOn w:val="Normal"/>
    <w:next w:val="Normal"/>
    <w:link w:val="Heading2Char"/>
    <w:uiPriority w:val="9"/>
    <w:semiHidden/>
    <w:unhideWhenUsed/>
    <w:qFormat/>
    <w:rsid w:val="00E56A05"/>
    <w:pPr>
      <w:keepNext/>
      <w:keepLines/>
      <w:spacing w:before="160" w:after="80"/>
      <w:outlineLvl w:val="1"/>
    </w:pPr>
    <w:rPr>
      <w:rFonts w:asciiTheme="majorHAnsi" w:eastAsiaTheme="majorEastAsia" w:hAnsiTheme="majorHAnsi" w:cstheme="majorBidi"/>
      <w:color w:val="2E74B5" w:themeColor="accent1" w:themeShade="BF"/>
      <w:sz w:val="32"/>
      <w:szCs w:val="32"/>
      <w:lang w:eastAsia="en-US"/>
    </w:rPr>
  </w:style>
  <w:style w:type="paragraph" w:styleId="Heading3">
    <w:name w:val="heading 3"/>
    <w:basedOn w:val="Normal"/>
    <w:next w:val="Normal"/>
    <w:link w:val="Heading3Char"/>
    <w:uiPriority w:val="9"/>
    <w:semiHidden/>
    <w:unhideWhenUsed/>
    <w:qFormat/>
    <w:rsid w:val="00E56A05"/>
    <w:pPr>
      <w:keepNext/>
      <w:keepLines/>
      <w:spacing w:before="160" w:after="80"/>
      <w:outlineLvl w:val="2"/>
    </w:pPr>
    <w:rPr>
      <w:rFonts w:asciiTheme="minorHAnsi" w:eastAsiaTheme="majorEastAsia" w:hAnsiTheme="minorHAnsi" w:cstheme="majorBidi"/>
      <w:color w:val="2E74B5" w:themeColor="accent1" w:themeShade="BF"/>
      <w:sz w:val="28"/>
      <w:szCs w:val="28"/>
      <w:lang w:eastAsia="en-US"/>
    </w:rPr>
  </w:style>
  <w:style w:type="paragraph" w:styleId="Heading4">
    <w:name w:val="heading 4"/>
    <w:basedOn w:val="Normal"/>
    <w:next w:val="Normal"/>
    <w:link w:val="Heading4Char"/>
    <w:uiPriority w:val="9"/>
    <w:semiHidden/>
    <w:unhideWhenUsed/>
    <w:qFormat/>
    <w:rsid w:val="00E56A05"/>
    <w:pPr>
      <w:keepNext/>
      <w:keepLines/>
      <w:spacing w:before="80" w:after="40"/>
      <w:outlineLvl w:val="3"/>
    </w:pPr>
    <w:rPr>
      <w:rFonts w:asciiTheme="minorHAnsi" w:eastAsiaTheme="majorEastAsia" w:hAnsiTheme="min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E56A05"/>
    <w:pPr>
      <w:keepNext/>
      <w:keepLines/>
      <w:spacing w:before="80" w:after="40"/>
      <w:outlineLvl w:val="4"/>
    </w:pPr>
    <w:rPr>
      <w:rFonts w:asciiTheme="minorHAnsi" w:eastAsiaTheme="majorEastAsia" w:hAnsiTheme="min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E56A05"/>
    <w:pPr>
      <w:keepNext/>
      <w:keepLines/>
      <w:spacing w:before="40"/>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E56A05"/>
    <w:pPr>
      <w:keepNext/>
      <w:keepLines/>
      <w:spacing w:before="40"/>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E56A05"/>
    <w:pPr>
      <w:keepNext/>
      <w:keepLines/>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E56A05"/>
    <w:pPr>
      <w:keepNext/>
      <w:keepLines/>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006"/>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B41006"/>
  </w:style>
  <w:style w:type="paragraph" w:styleId="Footer">
    <w:name w:val="footer"/>
    <w:basedOn w:val="Normal"/>
    <w:link w:val="FooterChar"/>
    <w:uiPriority w:val="99"/>
    <w:unhideWhenUsed/>
    <w:rsid w:val="00B41006"/>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B41006"/>
  </w:style>
  <w:style w:type="character" w:customStyle="1" w:styleId="Heading1Char">
    <w:name w:val="Heading 1 Char"/>
    <w:basedOn w:val="DefaultParagraphFont"/>
    <w:link w:val="Heading1"/>
    <w:uiPriority w:val="9"/>
    <w:rsid w:val="00E56A0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56A0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56A0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56A0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56A0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56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A05"/>
    <w:rPr>
      <w:rFonts w:eastAsiaTheme="majorEastAsia" w:cstheme="majorBidi"/>
      <w:color w:val="272727" w:themeColor="text1" w:themeTint="D8"/>
    </w:rPr>
  </w:style>
  <w:style w:type="paragraph" w:styleId="Title">
    <w:name w:val="Title"/>
    <w:basedOn w:val="Normal"/>
    <w:next w:val="Normal"/>
    <w:link w:val="TitleChar"/>
    <w:uiPriority w:val="10"/>
    <w:qFormat/>
    <w:rsid w:val="00E56A05"/>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56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A05"/>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56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A05"/>
    <w:pPr>
      <w:spacing w:before="160" w:after="160"/>
      <w:jc w:val="center"/>
    </w:pPr>
    <w:rPr>
      <w:rFonts w:ascii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E56A05"/>
    <w:rPr>
      <w:i/>
      <w:iCs/>
      <w:color w:val="404040" w:themeColor="text1" w:themeTint="BF"/>
    </w:rPr>
  </w:style>
  <w:style w:type="paragraph" w:styleId="ListParagraph">
    <w:name w:val="List Paragraph"/>
    <w:basedOn w:val="Normal"/>
    <w:uiPriority w:val="34"/>
    <w:qFormat/>
    <w:rsid w:val="00E56A05"/>
    <w:pPr>
      <w:ind w:left="720"/>
      <w:contextualSpacing/>
    </w:pPr>
    <w:rPr>
      <w:rFonts w:asciiTheme="minorHAnsi" w:hAnsiTheme="minorHAnsi" w:cstheme="minorBidi"/>
      <w:sz w:val="22"/>
      <w:szCs w:val="22"/>
      <w:lang w:eastAsia="en-US"/>
    </w:rPr>
  </w:style>
  <w:style w:type="character" w:styleId="IntenseEmphasis">
    <w:name w:val="Intense Emphasis"/>
    <w:basedOn w:val="DefaultParagraphFont"/>
    <w:uiPriority w:val="21"/>
    <w:qFormat/>
    <w:rsid w:val="00E56A05"/>
    <w:rPr>
      <w:i/>
      <w:iCs/>
      <w:color w:val="2E74B5" w:themeColor="accent1" w:themeShade="BF"/>
    </w:rPr>
  </w:style>
  <w:style w:type="paragraph" w:styleId="IntenseQuote">
    <w:name w:val="Intense Quote"/>
    <w:basedOn w:val="Normal"/>
    <w:next w:val="Normal"/>
    <w:link w:val="IntenseQuoteChar"/>
    <w:uiPriority w:val="30"/>
    <w:qFormat/>
    <w:rsid w:val="00E56A05"/>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cstheme="minorBidi"/>
      <w:i/>
      <w:iCs/>
      <w:color w:val="2E74B5" w:themeColor="accent1" w:themeShade="BF"/>
      <w:sz w:val="22"/>
      <w:szCs w:val="22"/>
      <w:lang w:eastAsia="en-US"/>
    </w:rPr>
  </w:style>
  <w:style w:type="character" w:customStyle="1" w:styleId="IntenseQuoteChar">
    <w:name w:val="Intense Quote Char"/>
    <w:basedOn w:val="DefaultParagraphFont"/>
    <w:link w:val="IntenseQuote"/>
    <w:uiPriority w:val="30"/>
    <w:rsid w:val="00E56A05"/>
    <w:rPr>
      <w:i/>
      <w:iCs/>
      <w:color w:val="2E74B5" w:themeColor="accent1" w:themeShade="BF"/>
    </w:rPr>
  </w:style>
  <w:style w:type="character" w:styleId="IntenseReference">
    <w:name w:val="Intense Reference"/>
    <w:basedOn w:val="DefaultParagraphFont"/>
    <w:uiPriority w:val="32"/>
    <w:qFormat/>
    <w:rsid w:val="00E56A05"/>
    <w:rPr>
      <w:b/>
      <w:bCs/>
      <w:smallCaps/>
      <w:color w:val="2E74B5" w:themeColor="accent1" w:themeShade="BF"/>
      <w:spacing w:val="5"/>
    </w:rPr>
  </w:style>
  <w:style w:type="character" w:styleId="Hyperlink">
    <w:name w:val="Hyperlink"/>
    <w:basedOn w:val="DefaultParagraphFont"/>
    <w:uiPriority w:val="99"/>
    <w:unhideWhenUsed/>
    <w:rsid w:val="00E56A05"/>
    <w:rPr>
      <w:color w:val="0000FF"/>
      <w:u w:val="single"/>
    </w:rPr>
  </w:style>
  <w:style w:type="paragraph" w:styleId="Revision">
    <w:name w:val="Revision"/>
    <w:hidden/>
    <w:uiPriority w:val="99"/>
    <w:semiHidden/>
    <w:rsid w:val="00704C15"/>
    <w:rPr>
      <w:rFonts w:ascii="Aptos" w:hAnsi="Aptos" w:cs="Aptos"/>
      <w:sz w:val="24"/>
      <w:szCs w:val="24"/>
      <w:lang w:eastAsia="en-GB"/>
    </w:rPr>
  </w:style>
  <w:style w:type="paragraph" w:styleId="FootnoteText">
    <w:name w:val="footnote text"/>
    <w:basedOn w:val="Normal"/>
    <w:link w:val="FootnoteTextChar"/>
    <w:uiPriority w:val="99"/>
    <w:semiHidden/>
    <w:unhideWhenUsed/>
    <w:rsid w:val="005967FA"/>
    <w:rPr>
      <w:sz w:val="20"/>
      <w:szCs w:val="20"/>
    </w:rPr>
  </w:style>
  <w:style w:type="character" w:customStyle="1" w:styleId="FootnoteTextChar">
    <w:name w:val="Footnote Text Char"/>
    <w:basedOn w:val="DefaultParagraphFont"/>
    <w:link w:val="FootnoteText"/>
    <w:uiPriority w:val="99"/>
    <w:semiHidden/>
    <w:rsid w:val="005967FA"/>
    <w:rPr>
      <w:rFonts w:ascii="Aptos" w:hAnsi="Aptos" w:cs="Aptos"/>
      <w:sz w:val="20"/>
      <w:szCs w:val="20"/>
      <w:lang w:eastAsia="en-GB"/>
    </w:rPr>
  </w:style>
  <w:style w:type="character" w:styleId="FootnoteReference">
    <w:name w:val="footnote reference"/>
    <w:basedOn w:val="DefaultParagraphFont"/>
    <w:uiPriority w:val="99"/>
    <w:semiHidden/>
    <w:unhideWhenUsed/>
    <w:rsid w:val="005967FA"/>
    <w:rPr>
      <w:vertAlign w:val="superscript"/>
    </w:rPr>
  </w:style>
  <w:style w:type="character" w:customStyle="1" w:styleId="UnresolvedMention1">
    <w:name w:val="Unresolved Mention1"/>
    <w:basedOn w:val="DefaultParagraphFont"/>
    <w:uiPriority w:val="99"/>
    <w:semiHidden/>
    <w:unhideWhenUsed/>
    <w:rsid w:val="007B3CD3"/>
    <w:rPr>
      <w:color w:val="605E5C"/>
      <w:shd w:val="clear" w:color="auto" w:fill="E1DFDD"/>
    </w:rPr>
  </w:style>
  <w:style w:type="character" w:styleId="CommentReference">
    <w:name w:val="annotation reference"/>
    <w:basedOn w:val="DefaultParagraphFont"/>
    <w:uiPriority w:val="99"/>
    <w:semiHidden/>
    <w:unhideWhenUsed/>
    <w:rsid w:val="001079E6"/>
    <w:rPr>
      <w:sz w:val="16"/>
      <w:szCs w:val="16"/>
    </w:rPr>
  </w:style>
  <w:style w:type="paragraph" w:styleId="CommentText">
    <w:name w:val="annotation text"/>
    <w:basedOn w:val="Normal"/>
    <w:link w:val="CommentTextChar"/>
    <w:uiPriority w:val="99"/>
    <w:unhideWhenUsed/>
    <w:rsid w:val="001079E6"/>
    <w:rPr>
      <w:sz w:val="20"/>
      <w:szCs w:val="20"/>
    </w:rPr>
  </w:style>
  <w:style w:type="character" w:customStyle="1" w:styleId="CommentTextChar">
    <w:name w:val="Comment Text Char"/>
    <w:basedOn w:val="DefaultParagraphFont"/>
    <w:link w:val="CommentText"/>
    <w:uiPriority w:val="99"/>
    <w:rsid w:val="001079E6"/>
    <w:rPr>
      <w:rFonts w:ascii="Aptos" w:hAnsi="Aptos" w:cs="Aptos"/>
      <w:sz w:val="20"/>
      <w:szCs w:val="20"/>
      <w:lang w:eastAsia="en-GB"/>
    </w:rPr>
  </w:style>
  <w:style w:type="paragraph" w:styleId="CommentSubject">
    <w:name w:val="annotation subject"/>
    <w:basedOn w:val="CommentText"/>
    <w:next w:val="CommentText"/>
    <w:link w:val="CommentSubjectChar"/>
    <w:uiPriority w:val="99"/>
    <w:semiHidden/>
    <w:unhideWhenUsed/>
    <w:rsid w:val="001079E6"/>
    <w:rPr>
      <w:b/>
      <w:bCs/>
    </w:rPr>
  </w:style>
  <w:style w:type="character" w:customStyle="1" w:styleId="CommentSubjectChar">
    <w:name w:val="Comment Subject Char"/>
    <w:basedOn w:val="CommentTextChar"/>
    <w:link w:val="CommentSubject"/>
    <w:uiPriority w:val="99"/>
    <w:semiHidden/>
    <w:rsid w:val="001079E6"/>
    <w:rPr>
      <w:rFonts w:ascii="Aptos" w:hAnsi="Aptos" w:cs="Aptos"/>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f38771ab-fd8b-46cc-9ace-e4acc8713762}" enabled="1" method="Privileged" siteId="{a708279d-de88-4b62-9560-85a6be8c08cc}" contentBits="1"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TRN0010</dc:title>
  <cp:revision>0</cp:revision>
</cp:coreProperties>
</file>