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A6F0A" w:rsidRPr="005A6F0A" w:rsidP="005A6F0A">
      <w:pPr>
        <w:ind w:left="720"/>
        <w:jc w:val="center"/>
        <w:rPr>
          <w:rFonts w:ascii="Calibri" w:hAnsi="Calibri" w:cs="Calibri"/>
          <w:b/>
          <w:bCs/>
          <w:sz w:val="32"/>
          <w:szCs w:val="32"/>
        </w:rPr>
      </w:pPr>
      <w:r w:rsidRPr="00CC7D0F">
        <w:rPr>
          <w:rFonts w:ascii="Calibri" w:hAnsi="Calibri" w:cs="Calibri"/>
          <w:b/>
          <w:bCs/>
          <w:sz w:val="32"/>
          <w:szCs w:val="32"/>
          <w:lang w:val="en-US"/>
        </w:rPr>
        <w:t xml:space="preserve">Written Evidence submitted by </w:t>
      </w:r>
      <w:r>
        <w:rPr>
          <w:rFonts w:ascii="Calibri" w:hAnsi="Calibri" w:cs="Calibri"/>
          <w:b/>
          <w:bCs/>
          <w:sz w:val="32"/>
          <w:szCs w:val="32"/>
          <w:lang w:val="en-US"/>
        </w:rPr>
        <w:t>NICE</w:t>
      </w:r>
      <w:r w:rsidRPr="00CC7D0F">
        <w:rPr>
          <w:rFonts w:ascii="Calibri" w:hAnsi="Calibri" w:cs="Calibri"/>
          <w:b/>
          <w:bCs/>
          <w:sz w:val="32"/>
          <w:szCs w:val="32"/>
          <w:lang w:val="en-US"/>
        </w:rPr>
        <w:t xml:space="preserve"> </w:t>
      </w:r>
      <w:r w:rsidRPr="005A6F0A">
        <w:rPr>
          <w:rFonts w:ascii="Calibri" w:hAnsi="Calibri" w:cs="Calibri"/>
          <w:b/>
          <w:bCs/>
          <w:sz w:val="32"/>
          <w:szCs w:val="32"/>
          <w:lang w:val="en-US"/>
        </w:rPr>
        <w:t>(National Institute for Health and Care Excellence)</w:t>
      </w:r>
      <w:r>
        <w:rPr>
          <w:rFonts w:ascii="Calibri" w:hAnsi="Calibri" w:cs="Calibri"/>
          <w:b/>
          <w:bCs/>
          <w:sz w:val="32"/>
          <w:szCs w:val="32"/>
          <w:lang w:val="en-US"/>
        </w:rPr>
        <w:t xml:space="preserve"> (</w:t>
      </w:r>
      <w:r w:rsidRPr="005A6F0A">
        <w:rPr>
          <w:rFonts w:ascii="Calibri" w:hAnsi="Calibri" w:cs="Calibri"/>
          <w:b/>
          <w:bCs/>
          <w:sz w:val="32"/>
          <w:szCs w:val="32"/>
        </w:rPr>
        <w:t>TRN0009</w:t>
      </w:r>
      <w:r>
        <w:rPr>
          <w:rFonts w:ascii="Calibri" w:hAnsi="Calibri" w:cs="Calibri"/>
          <w:b/>
          <w:bCs/>
          <w:sz w:val="32"/>
          <w:szCs w:val="32"/>
        </w:rPr>
        <w:t>)</w:t>
      </w:r>
    </w:p>
    <w:p w:rsidR="003D16CA" w:rsidRPr="00CC7D0F" w:rsidP="003D16CA">
      <w:pPr>
        <w:jc w:val="center"/>
        <w:rPr>
          <w:rFonts w:ascii="Calibri" w:hAnsi="Calibri" w:cs="Calibri"/>
          <w:b/>
          <w:bCs/>
          <w:sz w:val="32"/>
          <w:szCs w:val="32"/>
          <w:lang w:val="en-US"/>
        </w:rPr>
      </w:pPr>
    </w:p>
    <w:p w:rsidR="003D16CA" w:rsidP="00A70524">
      <w:pPr>
        <w:rPr>
          <w:b/>
          <w:bCs/>
        </w:rPr>
      </w:pPr>
    </w:p>
    <w:p w:rsidR="003D16CA" w:rsidP="00A70524">
      <w:pPr>
        <w:rPr>
          <w:b/>
          <w:bCs/>
        </w:rPr>
      </w:pPr>
    </w:p>
    <w:p w:rsidR="003D16CA" w:rsidP="00A70524">
      <w:pPr>
        <w:rPr>
          <w:b/>
          <w:bCs/>
        </w:rPr>
      </w:pPr>
    </w:p>
    <w:p w:rsidR="005542C9" w:rsidRPr="00A70524" w:rsidP="00A70524">
      <w:pPr>
        <w:rPr>
          <w:b/>
          <w:bCs/>
        </w:rPr>
      </w:pPr>
      <w:r w:rsidRPr="00A70524">
        <w:rPr>
          <w:b/>
          <w:bCs/>
        </w:rPr>
        <w:t xml:space="preserve">Response from the National Institute for Health and Care Excellence (NICE) </w:t>
      </w:r>
    </w:p>
    <w:p w:rsidR="005542C9" w:rsidRPr="001217C9" w:rsidP="009F7BC4">
      <w:r w:rsidRPr="001217C9">
        <w:t xml:space="preserve">NICE welcomes the </w:t>
      </w:r>
      <w:r>
        <w:t>approach from</w:t>
      </w:r>
      <w:r w:rsidRPr="001217C9">
        <w:t xml:space="preserve"> the </w:t>
      </w:r>
      <w:r>
        <w:t>h</w:t>
      </w:r>
      <w:r w:rsidRPr="001217C9">
        <w:t xml:space="preserve">ealth and </w:t>
      </w:r>
      <w:r>
        <w:t>s</w:t>
      </w:r>
      <w:r w:rsidRPr="001217C9">
        <w:t xml:space="preserve">ocial </w:t>
      </w:r>
      <w:r>
        <w:t>c</w:t>
      </w:r>
      <w:r w:rsidRPr="001217C9">
        <w:t xml:space="preserve">are </w:t>
      </w:r>
      <w:r>
        <w:t>c</w:t>
      </w:r>
      <w:r w:rsidRPr="001217C9">
        <w:t xml:space="preserve">ommittee </w:t>
      </w:r>
      <w:r>
        <w:t xml:space="preserve">to contribute to the </w:t>
      </w:r>
      <w:r>
        <w:t>e</w:t>
      </w:r>
      <w:r w:rsidRPr="001217C9">
        <w:t xml:space="preserve">xpert </w:t>
      </w:r>
      <w:r>
        <w:t>p</w:t>
      </w:r>
      <w:r w:rsidRPr="001217C9">
        <w:t>anel’s evaluation of the transition from child to adult health and social care services.</w:t>
      </w:r>
    </w:p>
    <w:p w:rsidR="005542C9" w:rsidRPr="00A70524" w:rsidP="00A70524">
      <w:r w:rsidRPr="00A70524">
        <w:t>NICE’s core purpose is to help practitioners and commissioners get the best care to people, fast, while ensuring value for the taxpayer. </w:t>
      </w:r>
      <w:r w:rsidRPr="00A70524">
        <w:br/>
        <w:t> </w:t>
      </w:r>
      <w:r w:rsidRPr="00A70524">
        <w:br/>
        <w:t>We do this by: </w:t>
      </w:r>
    </w:p>
    <w:p w:rsidR="005542C9" w:rsidRPr="00A70524" w:rsidP="00A70524">
      <w:pPr>
        <w:numPr>
          <w:ilvl w:val="0"/>
          <w:numId w:val="1"/>
        </w:numPr>
      </w:pPr>
      <w:r w:rsidRPr="00A70524">
        <w:t>producing useful and usable guidance for health and care practitioners, commissioners and providers </w:t>
      </w:r>
    </w:p>
    <w:p w:rsidR="005542C9" w:rsidRPr="00A70524" w:rsidP="00A70524">
      <w:pPr>
        <w:numPr>
          <w:ilvl w:val="0"/>
          <w:numId w:val="2"/>
        </w:numPr>
      </w:pPr>
      <w:r w:rsidRPr="00A70524">
        <w:t>providing rigorous, independent assessment of complex evidence for new health technologies </w:t>
      </w:r>
    </w:p>
    <w:p w:rsidR="005542C9" w:rsidRPr="00A70524" w:rsidP="00A70524">
      <w:pPr>
        <w:numPr>
          <w:ilvl w:val="0"/>
          <w:numId w:val="3"/>
        </w:numPr>
      </w:pPr>
      <w:r w:rsidRPr="00A70524">
        <w:t>developing recommendations that are most relevant to the health and care system to get the best care to people  </w:t>
      </w:r>
    </w:p>
    <w:p w:rsidR="005542C9" w:rsidRPr="00A70524" w:rsidP="00A70524">
      <w:pPr>
        <w:numPr>
          <w:ilvl w:val="0"/>
          <w:numId w:val="4"/>
        </w:numPr>
      </w:pPr>
      <w:r w:rsidRPr="00A70524">
        <w:t>encouraging adoption and uptake of best practice to improve outcomes for everyone.</w:t>
      </w:r>
    </w:p>
    <w:p w:rsidR="005542C9" w:rsidRPr="001217C9" w:rsidP="009F7BC4">
      <w:r w:rsidRPr="001217C9">
        <w:t xml:space="preserve">We recognise and welcome the </w:t>
      </w:r>
      <w:r>
        <w:t>p</w:t>
      </w:r>
      <w:r w:rsidRPr="001217C9">
        <w:t>anel’s focus on this critically important area of care. Transitions from children’s to adult services have been the subject of longstanding concern across health and social care, both because of the vulnerability of the populations affected and because of variation</w:t>
      </w:r>
      <w:r>
        <w:t>s</w:t>
      </w:r>
      <w:r w:rsidRPr="001217C9">
        <w:t xml:space="preserve"> in support. These considerations were among the drivers for NICE developing guideline </w:t>
      </w:r>
      <w:r>
        <w:fldChar w:fldCharType="begin"/>
      </w:r>
      <w:r>
        <w:instrText xml:space="preserve"> HYPERLINK "https://www.nice.org.uk/guidance/ng43" </w:instrText>
      </w:r>
      <w:r>
        <w:fldChar w:fldCharType="separate"/>
      </w:r>
      <w:r w:rsidRPr="00C312A5">
        <w:rPr>
          <w:rStyle w:val="Hyperlink"/>
        </w:rPr>
        <w:t xml:space="preserve">NG43 </w:t>
      </w:r>
      <w:r w:rsidRPr="00C312A5">
        <w:rPr>
          <w:rStyle w:val="Hyperlink"/>
          <w:i/>
          <w:iCs/>
        </w:rPr>
        <w:t xml:space="preserve">Transition from </w:t>
      </w:r>
      <w:r w:rsidRPr="00C312A5">
        <w:rPr>
          <w:rStyle w:val="Hyperlink"/>
          <w:i/>
          <w:iCs/>
        </w:rPr>
        <w:t>children’s</w:t>
      </w:r>
      <w:r w:rsidRPr="00C312A5">
        <w:rPr>
          <w:rStyle w:val="Hyperlink"/>
          <w:i/>
          <w:iCs/>
        </w:rPr>
        <w:t xml:space="preserve"> to adults’ services for young people</w:t>
      </w:r>
      <w:r>
        <w:fldChar w:fldCharType="end"/>
      </w:r>
      <w:r w:rsidRPr="001217C9">
        <w:t>, alongside subsequent quality standards and condition</w:t>
      </w:r>
      <w:r w:rsidRPr="001217C9">
        <w:noBreakHyphen/>
        <w:t>specific guidance that address aspects of transition planning and delivery.</w:t>
      </w:r>
    </w:p>
    <w:p w:rsidR="005542C9" w:rsidRPr="001217C9" w:rsidP="009F7BC4">
      <w:r w:rsidRPr="001217C9">
        <w:t xml:space="preserve">We are particularly pleased to see the extensive referencing of NICE guidance and quality standards across the statements of intent and the planning grid. This reflects a clear recognition by the </w:t>
      </w:r>
      <w:r>
        <w:t>p</w:t>
      </w:r>
      <w:r w:rsidRPr="001217C9">
        <w:t>anel of the importance of a robust, evidence</w:t>
      </w:r>
      <w:r w:rsidRPr="001217C9">
        <w:noBreakHyphen/>
        <w:t xml:space="preserve">based framework to underpin effective transition planning, service coordination and meaningful involvement of children, young people and their families or carers. NICE welcomes the </w:t>
      </w:r>
      <w:r w:rsidRPr="001217C9">
        <w:t>way in which our guidance and quality standards are being used to inform expectations of good practice across the system.</w:t>
      </w:r>
    </w:p>
    <w:p w:rsidR="005542C9" w:rsidRPr="001217C9" w:rsidP="009F7BC4">
      <w:r w:rsidRPr="001217C9">
        <w:t>While the specific questions in the planning grid are largely focused on local service delivery and implementation</w:t>
      </w:r>
      <w:r>
        <w:t xml:space="preserve">, </w:t>
      </w:r>
      <w:r w:rsidRPr="001217C9">
        <w:t>areas where NICE does not itself collect or hold primary operational data</w:t>
      </w:r>
      <w:r>
        <w:t xml:space="preserve">, </w:t>
      </w:r>
      <w:r w:rsidRPr="001217C9">
        <w:t xml:space="preserve">we see the </w:t>
      </w:r>
      <w:r>
        <w:t>p</w:t>
      </w:r>
      <w:r w:rsidRPr="001217C9">
        <w:t xml:space="preserve">anel’s evaluation as highly relevant to NICE’s role. The </w:t>
      </w:r>
      <w:r>
        <w:t>p</w:t>
      </w:r>
      <w:r w:rsidRPr="001217C9">
        <w:t>anel’s findings will provide an important indication of the extent to which evidence</w:t>
      </w:r>
      <w:r w:rsidRPr="001217C9">
        <w:noBreakHyphen/>
        <w:t xml:space="preserve">based recommendations and quality standards relating to transitions are being implemented in practice, and of where barriers to adoption remain. This insight will be valuable in informing </w:t>
      </w:r>
      <w:r>
        <w:t xml:space="preserve">NICE’s </w:t>
      </w:r>
      <w:r w:rsidRPr="001217C9">
        <w:t>future work and our ongoing engagement with partners across health and social care.</w:t>
      </w:r>
    </w:p>
    <w:p w:rsidR="005542C9" w:rsidRPr="001217C9" w:rsidP="009F7BC4">
      <w:r w:rsidRPr="001217C9">
        <w:t xml:space="preserve">NICE is keen to support the </w:t>
      </w:r>
      <w:r>
        <w:t>p</w:t>
      </w:r>
      <w:r w:rsidRPr="001217C9">
        <w:t>anel’s work in any way that is helpful and within our remit, including by providing clarification on the scope, intent and evidence base of relevant NICE guidance and quality standards</w:t>
      </w:r>
      <w:r>
        <w:t xml:space="preserve">. </w:t>
      </w:r>
      <w:r w:rsidRPr="001217C9">
        <w:t xml:space="preserve">We look forward with interest to the outcome of the </w:t>
      </w:r>
      <w:r>
        <w:t>p</w:t>
      </w:r>
      <w:r w:rsidRPr="001217C9">
        <w:t>anel’s work.</w:t>
      </w:r>
    </w:p>
    <w:p w:rsidR="005542C9" w:rsidP="00511270">
      <w:r w:rsidRPr="00511270">
        <w:t>In parallel, NICE is working with partners involved in the Children and Young People’s Modern Services Framework to help ensure that NICE guidance and quality standards support action to improve services and outcomes for children and young people.</w:t>
      </w:r>
    </w:p>
    <w:p w:rsidR="005542C9" w:rsidRPr="00511270" w:rsidP="00511270">
      <w:pPr>
        <w:rPr>
          <w:b/>
          <w:bCs/>
        </w:rPr>
      </w:pPr>
      <w:r w:rsidRPr="00511270">
        <w:rPr>
          <w:b/>
          <w:bCs/>
        </w:rPr>
        <w:t>End</w:t>
      </w:r>
    </w:p>
    <w:p w:rsidR="005542C9" w:rsidRPr="001217C9" w:rsidP="009F7BC4"/>
    <w:p w:rsidR="003D16CA" w:rsidRPr="003D16CA" w:rsidP="003D16CA">
      <w:pPr>
        <w:rPr>
          <w:b/>
          <w:bCs/>
          <w:i/>
          <w:iCs/>
        </w:rPr>
      </w:pPr>
      <w:r w:rsidRPr="003D16CA">
        <w:rPr>
          <w:b/>
          <w:bCs/>
          <w:i/>
          <w:iCs/>
        </w:rPr>
        <w:t>May 2026 </w:t>
      </w:r>
    </w:p>
    <w:p w:rsidR="005542C9"/>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40065B1"/>
    <w:multiLevelType w:val="multilevel"/>
    <w:tmpl w:val="FF32B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55428F"/>
    <w:multiLevelType w:val="multilevel"/>
    <w:tmpl w:val="7A1E6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5E8C7CF8"/>
    <w:multiLevelType w:val="multilevel"/>
    <w:tmpl w:val="065A00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6DEF43B0"/>
    <w:multiLevelType w:val="multilevel"/>
    <w:tmpl w:val="F8CAEF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7A431FAA"/>
    <w:multiLevelType w:val="multilevel"/>
    <w:tmpl w:val="09F670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A705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05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05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05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05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05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5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5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5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5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05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05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05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05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05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5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5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524"/>
    <w:rPr>
      <w:rFonts w:eastAsiaTheme="majorEastAsia" w:cstheme="majorBidi"/>
      <w:color w:val="272727" w:themeColor="text1" w:themeTint="D8"/>
    </w:rPr>
  </w:style>
  <w:style w:type="paragraph" w:styleId="Title">
    <w:name w:val="Title"/>
    <w:basedOn w:val="Normal"/>
    <w:next w:val="Normal"/>
    <w:link w:val="TitleChar"/>
    <w:uiPriority w:val="10"/>
    <w:qFormat/>
    <w:rsid w:val="00A705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5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5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5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524"/>
    <w:pPr>
      <w:spacing w:before="160"/>
      <w:jc w:val="center"/>
    </w:pPr>
    <w:rPr>
      <w:i/>
      <w:iCs/>
      <w:color w:val="404040" w:themeColor="text1" w:themeTint="BF"/>
    </w:rPr>
  </w:style>
  <w:style w:type="character" w:customStyle="1" w:styleId="QuoteChar">
    <w:name w:val="Quote Char"/>
    <w:basedOn w:val="DefaultParagraphFont"/>
    <w:link w:val="Quote"/>
    <w:uiPriority w:val="29"/>
    <w:rsid w:val="00A70524"/>
    <w:rPr>
      <w:i/>
      <w:iCs/>
      <w:color w:val="404040" w:themeColor="text1" w:themeTint="BF"/>
    </w:rPr>
  </w:style>
  <w:style w:type="paragraph" w:styleId="ListParagraph">
    <w:name w:val="List Paragraph"/>
    <w:basedOn w:val="Normal"/>
    <w:uiPriority w:val="34"/>
    <w:qFormat/>
    <w:rsid w:val="00A70524"/>
    <w:pPr>
      <w:ind w:left="720"/>
      <w:contextualSpacing/>
    </w:pPr>
  </w:style>
  <w:style w:type="character" w:styleId="IntenseEmphasis">
    <w:name w:val="Intense Emphasis"/>
    <w:basedOn w:val="DefaultParagraphFont"/>
    <w:uiPriority w:val="21"/>
    <w:qFormat/>
    <w:rsid w:val="00A70524"/>
    <w:rPr>
      <w:i/>
      <w:iCs/>
      <w:color w:val="0F4761" w:themeColor="accent1" w:themeShade="BF"/>
    </w:rPr>
  </w:style>
  <w:style w:type="paragraph" w:styleId="IntenseQuote">
    <w:name w:val="Intense Quote"/>
    <w:basedOn w:val="Normal"/>
    <w:next w:val="Normal"/>
    <w:link w:val="IntenseQuoteChar"/>
    <w:uiPriority w:val="30"/>
    <w:qFormat/>
    <w:rsid w:val="00A705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0524"/>
    <w:rPr>
      <w:i/>
      <w:iCs/>
      <w:color w:val="0F4761" w:themeColor="accent1" w:themeShade="BF"/>
    </w:rPr>
  </w:style>
  <w:style w:type="character" w:styleId="IntenseReference">
    <w:name w:val="Intense Reference"/>
    <w:basedOn w:val="DefaultParagraphFont"/>
    <w:uiPriority w:val="32"/>
    <w:qFormat/>
    <w:rsid w:val="00A70524"/>
    <w:rPr>
      <w:b/>
      <w:bCs/>
      <w:smallCaps/>
      <w:color w:val="0F4761" w:themeColor="accent1" w:themeShade="BF"/>
      <w:spacing w:val="5"/>
    </w:rPr>
  </w:style>
  <w:style w:type="character" w:styleId="Hyperlink">
    <w:name w:val="Hyperlink"/>
    <w:basedOn w:val="DefaultParagraphFont"/>
    <w:uiPriority w:val="99"/>
    <w:unhideWhenUsed/>
    <w:rsid w:val="00C312A5"/>
    <w:rPr>
      <w:color w:val="467886" w:themeColor="hyperlink"/>
      <w:u w:val="single"/>
    </w:rPr>
  </w:style>
  <w:style w:type="character" w:customStyle="1" w:styleId="UnresolvedMention1">
    <w:name w:val="Unresolved Mention1"/>
    <w:basedOn w:val="DefaultParagraphFont"/>
    <w:uiPriority w:val="99"/>
    <w:semiHidden/>
    <w:unhideWhenUsed/>
    <w:rsid w:val="00C312A5"/>
    <w:rPr>
      <w:color w:val="605E5C"/>
      <w:shd w:val="clear" w:color="auto" w:fill="E1DFDD"/>
    </w:rPr>
  </w:style>
  <w:style w:type="paragraph" w:styleId="Header">
    <w:name w:val="header"/>
    <w:basedOn w:val="Normal"/>
    <w:link w:val="HeaderChar"/>
    <w:uiPriority w:val="99"/>
    <w:unhideWhenUsed/>
    <w:rsid w:val="003D16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6CA"/>
  </w:style>
  <w:style w:type="paragraph" w:styleId="Footer">
    <w:name w:val="footer"/>
    <w:basedOn w:val="Normal"/>
    <w:link w:val="FooterChar"/>
    <w:uiPriority w:val="99"/>
    <w:unhideWhenUsed/>
    <w:rsid w:val="003D16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TRN0009</dc:title>
  <cp:revision>0</cp:revision>
</cp:coreProperties>
</file>