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C0A5B" w:rsidRPr="008648F6" w:rsidP="006B1DD1">
      <w:pPr>
        <w:spacing w:after="0" w:line="20" w:lineRule="atLeast"/>
        <w:rPr>
          <w:rFonts w:ascii="Verdana" w:hAnsi="Verdana"/>
          <w:b/>
          <w:bCs/>
          <w:sz w:val="28"/>
          <w:szCs w:val="28"/>
        </w:rPr>
      </w:pPr>
      <w:r>
        <w:rPr>
          <w:rFonts w:ascii="Verdana" w:hAnsi="Verdana"/>
          <w:b/>
          <w:bCs/>
          <w:sz w:val="28"/>
          <w:szCs w:val="28"/>
        </w:rPr>
        <w:t>U</w:t>
      </w:r>
      <w:r w:rsidRPr="008648F6">
        <w:rPr>
          <w:rFonts w:ascii="Verdana" w:hAnsi="Verdana"/>
          <w:b/>
          <w:bCs/>
          <w:sz w:val="28"/>
          <w:szCs w:val="28"/>
        </w:rPr>
        <w:t>K Medical Freedom Alliance – Written Evidence (CVX0049)</w:t>
      </w:r>
    </w:p>
    <w:p w:rsidR="00CC0A5B" w:rsidP="006B1DD1">
      <w:pPr>
        <w:spacing w:after="0" w:line="20" w:lineRule="atLeast"/>
        <w:rPr>
          <w:rFonts w:ascii="Verdana" w:hAnsi="Verdana"/>
          <w:b/>
          <w:bCs/>
          <w:sz w:val="24"/>
          <w:szCs w:val="24"/>
          <w:u w:val="single"/>
        </w:rPr>
      </w:pPr>
    </w:p>
    <w:p w:rsidR="00BB4BC0" w:rsidRPr="006B1DD1" w:rsidP="006B1DD1">
      <w:pPr>
        <w:spacing w:after="120" w:line="20" w:lineRule="atLeast"/>
        <w:rPr>
          <w:rFonts w:ascii="Verdana" w:hAnsi="Verdana"/>
          <w:b/>
          <w:bCs/>
          <w:u w:val="single"/>
        </w:rPr>
      </w:pPr>
      <w:r w:rsidRPr="006B1DD1">
        <w:rPr>
          <w:rFonts w:ascii="Verdana" w:hAnsi="Verdana"/>
          <w:b/>
          <w:bCs/>
          <w:u w:val="single"/>
        </w:rPr>
        <w:t>Introduction</w:t>
      </w:r>
    </w:p>
    <w:p w:rsidR="00BB4BC0" w:rsidRPr="006B1DD1" w:rsidP="006B1DD1">
      <w:pPr>
        <w:spacing w:after="120" w:line="20" w:lineRule="atLeast"/>
        <w:rPr>
          <w:rFonts w:ascii="Verdana" w:hAnsi="Verdana"/>
        </w:rPr>
      </w:pPr>
      <w:r w:rsidRPr="006B1DD1">
        <w:rPr>
          <w:rFonts w:ascii="Verdana" w:hAnsi="Verdana"/>
        </w:rPr>
        <w:t xml:space="preserve">The </w:t>
      </w:r>
      <w:r>
        <w:fldChar w:fldCharType="begin"/>
      </w:r>
      <w:r>
        <w:instrText xml:space="preserve"> HYPERLINK "https://www.ukmedfreedom.org/" </w:instrText>
      </w:r>
      <w:r>
        <w:fldChar w:fldCharType="separate"/>
      </w:r>
      <w:r w:rsidRPr="006B1DD1">
        <w:rPr>
          <w:rStyle w:val="Hyperlink"/>
          <w:rFonts w:ascii="Verdana" w:hAnsi="Verdana"/>
        </w:rPr>
        <w:t>UK Medical Freedom Alliance</w:t>
      </w:r>
      <w:r>
        <w:fldChar w:fldCharType="end"/>
      </w:r>
      <w:r>
        <w:rPr>
          <w:rStyle w:val="FootnoteReference"/>
          <w:rFonts w:ascii="Verdana" w:hAnsi="Verdana"/>
        </w:rPr>
        <w:footnoteReference w:id="2"/>
      </w:r>
      <w:r w:rsidRPr="006B1DD1">
        <w:rPr>
          <w:rFonts w:ascii="Verdana" w:hAnsi="Verdana"/>
        </w:rPr>
        <w:t xml:space="preserve"> was founded in October 2020.  We are a group of healthcare professionals, academics, lawyers and concerned members of the public, campaigning on issues relating to informed consent, medical choice and medical ethics, in accordance with fundamental and established principles of medical ethics and national and international laws, declarations and codes. </w:t>
      </w:r>
    </w:p>
    <w:p w:rsidR="00BB4BC0" w:rsidRPr="006B1DD1" w:rsidP="006B1DD1">
      <w:pPr>
        <w:spacing w:after="120" w:line="20" w:lineRule="atLeast"/>
        <w:rPr>
          <w:rFonts w:ascii="Verdana" w:hAnsi="Verdana"/>
        </w:rPr>
      </w:pPr>
      <w:r w:rsidRPr="006B1DD1">
        <w:rPr>
          <w:rFonts w:ascii="Verdana" w:hAnsi="Verdana"/>
        </w:rPr>
        <w:t>Childhood vaccination is a highly emotive and increasingly ideological issue, in which key ethical principles of informed consent, privacy and confidentiality are often overlooked or violated in the name of “the greater good”.  We wish to highlight the critical importance of having a clear ethical framework around Childhood Vaccination discussion, policies and practice, and the harms that result when ethics are ignored.</w:t>
      </w:r>
    </w:p>
    <w:p w:rsidR="00BB4BC0" w:rsidRPr="006B1DD1" w:rsidP="006B1DD1">
      <w:pPr>
        <w:spacing w:after="120" w:line="20" w:lineRule="atLeast"/>
        <w:rPr>
          <w:rFonts w:ascii="Verdana" w:hAnsi="Verdana"/>
        </w:rPr>
      </w:pPr>
      <w:r w:rsidRPr="006B1DD1">
        <w:rPr>
          <w:rFonts w:ascii="Verdana" w:hAnsi="Verdana"/>
        </w:rPr>
        <w:t>Public Health authorities are seek</w:t>
      </w:r>
      <w:r w:rsidRPr="006B1DD1">
        <w:rPr>
          <w:rFonts w:ascii="Verdana" w:hAnsi="Verdana"/>
        </w:rPr>
        <w:t>ing to inject all children (regardless of individual risk or benefit) with an ever-increasing number of vaccines being added to the schedule.  This blanket, “one-size-fits-all”, vaccination policy for all children undermines individualised medicine, putting claimed public health benefit above the needs or health of individual children and knowingly risking harm/death to the individual for the benefit of the wider public.</w:t>
      </w:r>
    </w:p>
    <w:p w:rsidR="00BB4BC0" w:rsidRPr="006B1DD1" w:rsidP="006B1DD1">
      <w:pPr>
        <w:spacing w:after="120" w:line="20" w:lineRule="atLeast"/>
        <w:rPr>
          <w:rFonts w:ascii="Verdana" w:hAnsi="Verdana"/>
          <w:b/>
          <w:bCs/>
          <w:u w:val="single"/>
        </w:rPr>
      </w:pPr>
    </w:p>
    <w:p w:rsidR="00BB4BC0" w:rsidRPr="006B1DD1" w:rsidP="006B1DD1">
      <w:pPr>
        <w:spacing w:after="120" w:line="20" w:lineRule="atLeast"/>
        <w:rPr>
          <w:rFonts w:ascii="Verdana" w:hAnsi="Verdana"/>
          <w:b/>
          <w:bCs/>
          <w:u w:val="single"/>
        </w:rPr>
      </w:pPr>
      <w:r w:rsidRPr="006B1DD1">
        <w:rPr>
          <w:rFonts w:ascii="Verdana" w:hAnsi="Verdana"/>
          <w:b/>
          <w:bCs/>
          <w:u w:val="single"/>
        </w:rPr>
        <w:t>The Decline in Childhood Vaccination Coverage</w:t>
      </w:r>
    </w:p>
    <w:p w:rsidR="00BB4BC0" w:rsidRPr="006B1DD1" w:rsidP="006B1DD1">
      <w:pPr>
        <w:spacing w:after="120" w:line="20" w:lineRule="atLeast"/>
        <w:rPr>
          <w:rFonts w:ascii="Verdana" w:hAnsi="Verdana"/>
          <w:b/>
          <w:bCs/>
        </w:rPr>
      </w:pPr>
      <w:r w:rsidRPr="006B1DD1">
        <w:rPr>
          <w:rFonts w:ascii="Verdana" w:hAnsi="Verdana"/>
          <w:b/>
          <w:bCs/>
        </w:rPr>
        <w:t>Qu 2: Why has childhood vaccination coverage been declining in England, and why are there disparities in coverage? What is the relative importance of different factors (such as access to healthcare and attitudes to vaccination) and how is this changing over time?</w:t>
      </w:r>
    </w:p>
    <w:p w:rsidR="00BB4BC0" w:rsidRPr="006B1DD1" w:rsidP="006B1DD1">
      <w:pPr>
        <w:spacing w:after="120" w:line="20" w:lineRule="atLeast"/>
        <w:rPr>
          <w:rFonts w:ascii="Verdana" w:hAnsi="Verdana"/>
        </w:rPr>
      </w:pPr>
      <w:r w:rsidRPr="006B1DD1">
        <w:rPr>
          <w:rFonts w:ascii="Verdana" w:hAnsi="Verdana"/>
        </w:rPr>
        <w:t xml:space="preserve">The decline in childhood vaccination coverage in part reflects a serious loss of trust in public health authorities and the medical profession after the unethical and extreme coercion implemented to pressure people (including children) to take Covid vaccines, with the (now demonstrably false) claims that they were “safe and effective” and prevented transmission. The numbers of people (including young people) </w:t>
      </w:r>
      <w:r>
        <w:fldChar w:fldCharType="begin"/>
      </w:r>
      <w:r>
        <w:instrText xml:space="preserve"> HYPERLINK "https://www.hudgellsolicitors.co.uk/client-stories/calls-for-immediate-action-as-covid-19-inquiry-recognises-serious-injuries-and-death-caused-by-vaccines-and-governments-failure-to-properly-suppo" </w:instrText>
      </w:r>
      <w:r>
        <w:fldChar w:fldCharType="separate"/>
      </w:r>
      <w:r w:rsidRPr="006B1DD1">
        <w:rPr>
          <w:rStyle w:val="Hyperlink"/>
          <w:rFonts w:ascii="Verdana" w:hAnsi="Verdana"/>
        </w:rPr>
        <w:t>injured and killed by the Covid jabs</w:t>
      </w:r>
      <w:r>
        <w:fldChar w:fldCharType="end"/>
      </w:r>
      <w:r>
        <w:rPr>
          <w:rStyle w:val="FootnoteReference"/>
          <w:rFonts w:ascii="Verdana" w:hAnsi="Verdana"/>
        </w:rPr>
        <w:footnoteReference w:id="3"/>
      </w:r>
      <w:r w:rsidRPr="006B1DD1">
        <w:rPr>
          <w:rFonts w:ascii="Verdana" w:hAnsi="Verdana"/>
        </w:rPr>
        <w:t xml:space="preserve"> was unprecedented, and impossible for the public to ignore. </w:t>
      </w:r>
    </w:p>
    <w:p w:rsidR="00BB4BC0" w:rsidRPr="006B1DD1" w:rsidP="006B1DD1">
      <w:pPr>
        <w:spacing w:after="120" w:line="20" w:lineRule="atLeast"/>
        <w:rPr>
          <w:rFonts w:ascii="Verdana" w:hAnsi="Verdana"/>
        </w:rPr>
      </w:pPr>
      <w:r w:rsidRPr="006B1DD1">
        <w:rPr>
          <w:rFonts w:ascii="Verdana" w:hAnsi="Verdana"/>
        </w:rPr>
        <w:t>No medical intervention or drug, including vaccines, is 100% safe. Yet paternalistic Public Health authorities and vaccination services tend to minimise, or even fail to disclose</w:t>
      </w:r>
      <w:r w:rsidRPr="006B1DD1">
        <w:rPr>
          <w:rFonts w:ascii="Verdana" w:hAnsi="Verdana"/>
        </w:rPr>
        <w:t>, that giving a healthy baby a vaccine comes with a (small but real) risk of serious long-term damage or even death.  Parents are increasingly aware of the real and sometimes serious/life-threatening side-effects of vaccines. Yet, these harms are often not acknowledged by doctors, who instead gaslight the parents and claim no link to a vaccine, even if given on the same day.</w:t>
      </w:r>
    </w:p>
    <w:p w:rsidR="00BB4BC0" w:rsidP="006B1DD1">
      <w:pPr>
        <w:spacing w:after="120" w:line="20" w:lineRule="atLeast"/>
        <w:rPr>
          <w:rFonts w:ascii="Verdana" w:hAnsi="Verdana"/>
        </w:rPr>
      </w:pPr>
      <w:r w:rsidRPr="006B1DD1">
        <w:rPr>
          <w:rFonts w:ascii="Verdana" w:hAnsi="Verdana"/>
        </w:rPr>
        <w:t xml:space="preserve">Parents </w:t>
      </w:r>
      <w:r w:rsidRPr="006B1DD1">
        <w:rPr>
          <w:rFonts w:ascii="Verdana" w:hAnsi="Verdana"/>
        </w:rPr>
        <w:t>are able to</w:t>
      </w:r>
      <w:r w:rsidRPr="006B1DD1">
        <w:rPr>
          <w:rFonts w:ascii="Verdana" w:hAnsi="Verdana"/>
        </w:rPr>
        <w:t xml:space="preserve"> read published research on vaccinations online, </w:t>
      </w:r>
      <w:r w:rsidRPr="006B1DD1">
        <w:rPr>
          <w:rFonts w:ascii="Verdana" w:hAnsi="Verdana"/>
        </w:rPr>
        <w:t xml:space="preserve">showing associations with a myriad of chronic diseases that are now common in children. These parents are rejecting that risk for their healthy child. They can also read published </w:t>
      </w:r>
      <w:r>
        <w:fldChar w:fldCharType="begin"/>
      </w:r>
      <w:r>
        <w:instrText xml:space="preserve"> HYPERLINK "https://pmc.ncbi.nlm.nih.gov/articles/PMC7268563/" </w:instrText>
      </w:r>
      <w:r>
        <w:fldChar w:fldCharType="separate"/>
      </w:r>
      <w:r w:rsidRPr="006B1DD1">
        <w:rPr>
          <w:rStyle w:val="Hyperlink"/>
          <w:rFonts w:ascii="Verdana" w:hAnsi="Verdana"/>
        </w:rPr>
        <w:t>studies</w:t>
      </w:r>
      <w:r>
        <w:fldChar w:fldCharType="end"/>
      </w:r>
      <w:r>
        <w:rPr>
          <w:rStyle w:val="FootnoteReference"/>
          <w:rFonts w:ascii="Verdana" w:hAnsi="Verdana"/>
        </w:rPr>
        <w:footnoteReference w:id="4"/>
      </w:r>
      <w:r w:rsidRPr="006B1DD1">
        <w:rPr>
          <w:rFonts w:ascii="Verdana" w:hAnsi="Verdana"/>
        </w:rPr>
        <w:t xml:space="preserve"> showing that </w:t>
      </w:r>
      <w:r>
        <w:fldChar w:fldCharType="begin"/>
      </w:r>
      <w:r>
        <w:instrText xml:space="preserve"> HYPERLINK "https://www.oatext.com/Pilot-comparative-study-on-the-health-of-vaccinated-and-unvaccinated-6-to-12-year-old-U-S-children.php" </w:instrText>
      </w:r>
      <w:r>
        <w:fldChar w:fldCharType="separate"/>
      </w:r>
      <w:r w:rsidRPr="006B1DD1">
        <w:rPr>
          <w:rStyle w:val="Hyperlink"/>
          <w:rFonts w:ascii="Verdana" w:hAnsi="Verdana"/>
        </w:rPr>
        <w:t>unvaccinated children are healthier overall than vaccinated children</w:t>
      </w:r>
      <w:r>
        <w:fldChar w:fldCharType="end"/>
      </w:r>
      <w:r>
        <w:rPr>
          <w:rStyle w:val="FootnoteReference"/>
          <w:rFonts w:ascii="Verdana" w:hAnsi="Verdana"/>
        </w:rPr>
        <w:footnoteReference w:id="5"/>
      </w:r>
      <w:r w:rsidRPr="006B1DD1">
        <w:rPr>
          <w:rFonts w:ascii="Verdana" w:hAnsi="Verdana"/>
        </w:rPr>
        <w:t>, indicating that a more natural approach to supporting a child’s overall health is valid, a fact which is not discussed or acknowledged by vaccination teams.</w:t>
      </w:r>
    </w:p>
    <w:p w:rsidR="006B1DD1" w:rsidRPr="006B1DD1" w:rsidP="006B1DD1">
      <w:pPr>
        <w:spacing w:after="120" w:line="20" w:lineRule="atLeast"/>
        <w:rPr>
          <w:rFonts w:ascii="Verdana" w:hAnsi="Verdana"/>
        </w:rPr>
      </w:pPr>
    </w:p>
    <w:p w:rsidR="00BB4BC0" w:rsidRPr="006B1DD1" w:rsidP="006B1DD1">
      <w:pPr>
        <w:spacing w:after="120" w:line="20" w:lineRule="atLeast"/>
        <w:rPr>
          <w:rFonts w:ascii="Verdana" w:hAnsi="Verdana"/>
          <w:b/>
          <w:bCs/>
        </w:rPr>
      </w:pPr>
      <w:r w:rsidRPr="006B1DD1">
        <w:rPr>
          <w:rFonts w:ascii="Verdana" w:hAnsi="Verdana"/>
          <w:b/>
          <w:bCs/>
        </w:rPr>
        <w:t>Qu 3: What would be the best ways to improve childhood vaccination coverage and reduce disparities?</w:t>
      </w:r>
    </w:p>
    <w:p w:rsidR="00BB4BC0" w:rsidRPr="006B1DD1" w:rsidP="006B1DD1">
      <w:pPr>
        <w:spacing w:after="120" w:line="20" w:lineRule="atLeast"/>
        <w:rPr>
          <w:rFonts w:ascii="Verdana" w:hAnsi="Verdana"/>
        </w:rPr>
      </w:pPr>
      <w:r w:rsidRPr="006B1DD1">
        <w:rPr>
          <w:rFonts w:ascii="Verdana" w:hAnsi="Verdana"/>
        </w:rPr>
        <w:t xml:space="preserve">Surely you should be asking </w:t>
      </w:r>
      <w:r w:rsidRPr="006B1DD1">
        <w:rPr>
          <w:rFonts w:ascii="Verdana" w:hAnsi="Verdana"/>
          <w:i/>
          <w:iCs/>
        </w:rPr>
        <w:t>“What is the evidence that increasing vaccination coverage is the best way to improve overall health and reduce all-cause mortality and morbidity in children?”.</w:t>
      </w:r>
      <w:r w:rsidRPr="006B1DD1">
        <w:rPr>
          <w:rFonts w:ascii="Verdana" w:hAnsi="Verdana"/>
        </w:rPr>
        <w:t xml:space="preserve">  </w:t>
      </w:r>
      <w:r w:rsidRPr="006B1DD1">
        <w:rPr>
          <w:rFonts w:ascii="Verdana" w:hAnsi="Verdana"/>
        </w:rPr>
        <w:t xml:space="preserve">Epidemiological data suggests that as the vaccine schedule has expanded over the last 4-5 decades, </w:t>
      </w:r>
      <w:r>
        <w:fldChar w:fldCharType="begin"/>
      </w:r>
      <w:r>
        <w:instrText xml:space="preserve"> HYPERLINK "https://www.kingsfund.org.uk/insight-and-analysis/long-reads/state-childrens-health-england" </w:instrText>
      </w:r>
      <w:r>
        <w:fldChar w:fldCharType="separate"/>
      </w:r>
      <w:r w:rsidRPr="006B1DD1">
        <w:rPr>
          <w:rStyle w:val="Hyperlink"/>
          <w:rFonts w:ascii="Verdana" w:hAnsi="Verdana"/>
        </w:rPr>
        <w:t>childhood chronic disease has also increased exponentially</w:t>
      </w:r>
      <w:r>
        <w:fldChar w:fldCharType="end"/>
      </w:r>
      <w:r>
        <w:rPr>
          <w:rStyle w:val="FootnoteReference"/>
          <w:rFonts w:ascii="Verdana" w:hAnsi="Verdana"/>
        </w:rPr>
        <w:footnoteReference w:id="6"/>
      </w:r>
      <w:r w:rsidRPr="006B1DD1">
        <w:rPr>
          <w:rFonts w:ascii="Verdana" w:hAnsi="Verdana"/>
        </w:rPr>
        <w:t xml:space="preserve"> – e.g. asthma (1in 11 UK children), allergies</w:t>
      </w:r>
      <w:r w:rsidRPr="006B1DD1">
        <w:rPr>
          <w:rFonts w:ascii="Verdana" w:hAnsi="Verdana"/>
        </w:rPr>
        <w:t xml:space="preserve"> (40% of UK children have a diagnosed allergy), autoimmune diseases, ADHD, neurodevelopmental disorders, mental health disorders and obesity – which is having a devastating impact on their quality of life and even shortening life expectancy. </w:t>
      </w:r>
    </w:p>
    <w:p w:rsidR="00BB4BC0" w:rsidP="006B1DD1">
      <w:pPr>
        <w:spacing w:after="120" w:line="20" w:lineRule="atLeast"/>
        <w:rPr>
          <w:rFonts w:ascii="Verdana" w:hAnsi="Verdana"/>
        </w:rPr>
      </w:pPr>
      <w:r w:rsidRPr="006B1DD1">
        <w:rPr>
          <w:rFonts w:ascii="Verdana" w:hAnsi="Verdana"/>
        </w:rPr>
        <w:t xml:space="preserve">Any possible link between </w:t>
      </w:r>
      <w:r w:rsidRPr="006B1DD1">
        <w:rPr>
          <w:rFonts w:ascii="Verdana" w:hAnsi="Verdana"/>
        </w:rPr>
        <w:t>the increased number of vaccinations given and rising chronic disease needs to be honestly considered and properly investigated.  It is certainly clear that increasing vaccination coverage has not led to the claimed benefit of making children healthier overall.</w:t>
      </w:r>
    </w:p>
    <w:p w:rsidR="006B1DD1" w:rsidRPr="006B1DD1" w:rsidP="006B1DD1">
      <w:pPr>
        <w:spacing w:after="120" w:line="20" w:lineRule="atLeast"/>
        <w:rPr>
          <w:rFonts w:ascii="Verdana" w:hAnsi="Verdana"/>
        </w:rPr>
      </w:pPr>
    </w:p>
    <w:p w:rsidR="00BB4BC0" w:rsidRPr="006B1DD1" w:rsidP="006B1DD1">
      <w:pPr>
        <w:spacing w:after="120" w:line="20" w:lineRule="atLeast"/>
        <w:rPr>
          <w:rFonts w:ascii="Verdana" w:hAnsi="Verdana"/>
          <w:b/>
          <w:bCs/>
        </w:rPr>
      </w:pPr>
      <w:r w:rsidRPr="006B1DD1">
        <w:rPr>
          <w:rFonts w:ascii="Verdana" w:hAnsi="Verdana"/>
          <w:b/>
          <w:bCs/>
        </w:rPr>
        <w:t>Qu 4: What are the strengths and weaknesses of the evidence base on childhood vaccination coverage; the drivers of the decline in coverage; and how to improve coverage and reduce disparities?</w:t>
      </w:r>
    </w:p>
    <w:p w:rsidR="00BB4BC0" w:rsidRPr="006B1DD1" w:rsidP="006B1DD1">
      <w:pPr>
        <w:spacing w:after="120" w:line="20" w:lineRule="atLeast"/>
        <w:rPr>
          <w:rFonts w:ascii="Verdana" w:hAnsi="Verdana"/>
        </w:rPr>
      </w:pPr>
      <w:r w:rsidRPr="006B1DD1">
        <w:rPr>
          <w:rFonts w:ascii="Verdana" w:hAnsi="Verdana"/>
        </w:rPr>
        <w:t>Firstly, it is essential for Public Health authorities to investigate the strengths and weaknesses of the evidence base to support safety and efficacy claims, for each vaccine individually. Then to commission safety studies to investigate the impact of giving multiple vaccines at the same time, in the combinations recommended on the childhood schedule.</w:t>
      </w:r>
    </w:p>
    <w:p w:rsidR="00BB4BC0" w:rsidRPr="006B1DD1" w:rsidP="006B1DD1">
      <w:pPr>
        <w:spacing w:after="120" w:line="20" w:lineRule="atLeast"/>
        <w:rPr>
          <w:rFonts w:ascii="Verdana" w:hAnsi="Verdana"/>
        </w:rPr>
      </w:pPr>
      <w:r w:rsidRPr="006B1DD1">
        <w:rPr>
          <w:rFonts w:ascii="Verdana" w:hAnsi="Verdana"/>
        </w:rPr>
        <w:t xml:space="preserve">Safety trials for all vaccinations have often been woefully short - </w:t>
      </w:r>
      <w:r>
        <w:fldChar w:fldCharType="begin"/>
      </w:r>
      <w:r>
        <w:instrText xml:space="preserve"> HYPERLINK "https://www.fda.gov/media/119403/download" </w:instrText>
      </w:r>
      <w:r>
        <w:fldChar w:fldCharType="separate"/>
      </w:r>
      <w:r w:rsidRPr="006B1DD1">
        <w:rPr>
          <w:rStyle w:val="Hyperlink"/>
          <w:rFonts w:ascii="Verdana" w:hAnsi="Verdana"/>
        </w:rPr>
        <w:t>as short as 4 days</w:t>
      </w:r>
      <w:r w:rsidRPr="006B1DD1">
        <w:rPr>
          <w:rStyle w:val="Hyperlink"/>
          <w:rFonts w:ascii="Verdana" w:hAnsi="Verdana"/>
        </w:rPr>
        <w:t xml:space="preserve"> safety monitoring post Hepatitis B vaccine</w:t>
      </w:r>
      <w:r>
        <w:fldChar w:fldCharType="end"/>
      </w:r>
      <w:r>
        <w:rPr>
          <w:rStyle w:val="FootnoteReference"/>
          <w:rFonts w:ascii="Verdana" w:hAnsi="Verdana"/>
        </w:rPr>
        <w:footnoteReference w:id="7"/>
      </w:r>
      <w:r w:rsidRPr="006B1DD1">
        <w:rPr>
          <w:rFonts w:ascii="Verdana" w:hAnsi="Verdana"/>
        </w:rPr>
        <w:t>. Serious medium and long-term effects on health such as autoimmune diseases, infertility and cancer cannot be picked up without months or years of safety monitoring. Parents may, therefore, decide they do not have the necessary reassurance to consider injecting these products into healthy, well-nourished children, who may never encounter the disease it is claimed to prevent</w:t>
      </w:r>
      <w:r w:rsidRPr="006B1DD1">
        <w:rPr>
          <w:rFonts w:ascii="Verdana" w:hAnsi="Verdana"/>
        </w:rPr>
        <w:t xml:space="preserve"> (and who are most likely to make a full and uncomplicated recovery if they did) but will bear the full risk of the (known and unknown) short-, medium- and long-term effects on their health from an insufficiently safety-tested vaccine.</w:t>
      </w:r>
    </w:p>
    <w:p w:rsidR="00BB4BC0" w:rsidP="006B1DD1">
      <w:pPr>
        <w:spacing w:after="120" w:line="20" w:lineRule="atLeast"/>
        <w:rPr>
          <w:rFonts w:ascii="Verdana" w:hAnsi="Verdana"/>
        </w:rPr>
      </w:pPr>
      <w:r w:rsidRPr="006B1DD1">
        <w:rPr>
          <w:rFonts w:ascii="Verdana" w:hAnsi="Verdana"/>
        </w:rPr>
        <w:t>In areas where vaccination coverage has dropped over several years, it should be ascertained whether this has impacted the burden of chronic disease in children.  An important question to consider is whether children in areas of decreased vaccination</w:t>
      </w:r>
      <w:r w:rsidRPr="006B1DD1">
        <w:rPr>
          <w:rFonts w:ascii="Verdana" w:hAnsi="Verdana"/>
        </w:rPr>
        <w:t xml:space="preserve"> coverage are healthier overall, or is there more acute or chronic illness?</w:t>
      </w:r>
    </w:p>
    <w:p w:rsidR="006B1DD1" w:rsidRPr="006B1DD1" w:rsidP="006B1DD1">
      <w:pPr>
        <w:spacing w:after="120" w:line="20" w:lineRule="atLeast"/>
        <w:rPr>
          <w:rFonts w:ascii="Verdana" w:hAnsi="Verdana"/>
        </w:rPr>
      </w:pPr>
    </w:p>
    <w:p w:rsidR="00BB4BC0" w:rsidRPr="006B1DD1" w:rsidP="006B1DD1">
      <w:pPr>
        <w:spacing w:after="120" w:line="20" w:lineRule="atLeast"/>
        <w:rPr>
          <w:rFonts w:ascii="Verdana" w:hAnsi="Verdana"/>
          <w:b/>
          <w:bCs/>
          <w:u w:val="single"/>
        </w:rPr>
      </w:pPr>
      <w:r w:rsidRPr="006B1DD1">
        <w:rPr>
          <w:rFonts w:ascii="Verdana" w:hAnsi="Verdana"/>
          <w:b/>
          <w:bCs/>
          <w:u w:val="single"/>
        </w:rPr>
        <w:t>The Government Approach</w:t>
      </w:r>
    </w:p>
    <w:p w:rsidR="00BB4BC0" w:rsidRPr="006B1DD1" w:rsidP="006B1DD1">
      <w:pPr>
        <w:spacing w:after="120" w:line="20" w:lineRule="atLeast"/>
        <w:rPr>
          <w:rFonts w:ascii="Verdana" w:hAnsi="Verdana"/>
          <w:b/>
          <w:bCs/>
        </w:rPr>
      </w:pPr>
      <w:r w:rsidRPr="006B1DD1">
        <w:rPr>
          <w:rFonts w:ascii="Verdana" w:hAnsi="Verdana"/>
          <w:b/>
          <w:bCs/>
        </w:rPr>
        <w:t>Qu 5: Who is responsible and accountable for reversing the decline in childhood vaccination coverage and reducing disparities at national, regional, and local level in England?</w:t>
      </w:r>
    </w:p>
    <w:p w:rsidR="00BB4BC0" w:rsidRPr="006B1DD1" w:rsidP="006B1DD1">
      <w:pPr>
        <w:spacing w:after="120" w:line="20" w:lineRule="atLeast"/>
        <w:rPr>
          <w:rFonts w:ascii="Verdana" w:hAnsi="Verdana"/>
        </w:rPr>
      </w:pPr>
      <w:r w:rsidRPr="006B1DD1">
        <w:rPr>
          <w:rFonts w:ascii="Verdana" w:hAnsi="Verdana"/>
        </w:rPr>
        <w:t xml:space="preserve">In line with the practice of ethical medicine, the responsibility of whether a child should be vaccinated must fall to the parents, after discussion </w:t>
      </w:r>
      <w:r w:rsidRPr="006B1DD1">
        <w:rPr>
          <w:rFonts w:ascii="Verdana" w:hAnsi="Verdana"/>
        </w:rPr>
        <w:t>with a health professional, who must disclose all the possible risks and benefits of the vaccines for that individual child and respect the parent’s decision. Only in this way can proper individualised medicine with fully informed consent be practised.</w:t>
      </w:r>
    </w:p>
    <w:p w:rsidR="00BB4BC0" w:rsidP="006B1DD1">
      <w:pPr>
        <w:spacing w:after="120" w:line="20" w:lineRule="atLeast"/>
        <w:rPr>
          <w:rFonts w:ascii="Verdana" w:hAnsi="Verdana"/>
        </w:rPr>
      </w:pPr>
      <w:r w:rsidRPr="006B1DD1">
        <w:rPr>
          <w:rFonts w:ascii="Verdana" w:hAnsi="Verdana"/>
        </w:rPr>
        <w:t xml:space="preserve">Governments have no part in the practice of medicine - giving drugs or vaccines - on individuals. There should be no targets or presumptions as to what medical interventions should be taken by individuals. This “one size fits all” approach undermines patient </w:t>
      </w:r>
      <w:r w:rsidRPr="006B1DD1">
        <w:rPr>
          <w:rFonts w:ascii="Verdana" w:hAnsi="Verdana"/>
        </w:rPr>
        <w:t xml:space="preserve">safety and may cause more harm than good. </w:t>
      </w:r>
    </w:p>
    <w:p w:rsidR="006B1DD1" w:rsidRPr="006B1DD1" w:rsidP="006B1DD1">
      <w:pPr>
        <w:spacing w:after="120" w:line="20" w:lineRule="atLeast"/>
        <w:rPr>
          <w:rFonts w:ascii="Verdana" w:hAnsi="Verdana"/>
        </w:rPr>
      </w:pPr>
    </w:p>
    <w:p w:rsidR="00BB4BC0" w:rsidRPr="006B1DD1" w:rsidP="006B1DD1">
      <w:pPr>
        <w:spacing w:after="120" w:line="20" w:lineRule="atLeast"/>
        <w:rPr>
          <w:rFonts w:ascii="Verdana" w:hAnsi="Verdana"/>
          <w:b/>
          <w:bCs/>
        </w:rPr>
      </w:pPr>
      <w:r w:rsidRPr="006B1DD1">
        <w:rPr>
          <w:rFonts w:ascii="Verdana" w:hAnsi="Verdana"/>
          <w:b/>
          <w:bCs/>
        </w:rPr>
        <w:t>Qu 6:  Has the Government identified the right priorities for reversing the decline in childhood vaccination coverage and reducing disparities (including in the 2023 NHS vaccination strategy and the NHS 10-Year Plan)? If not, what should the Government prioritise instead?</w:t>
      </w:r>
    </w:p>
    <w:p w:rsidR="00BB4BC0" w:rsidRPr="006B1DD1" w:rsidP="006B1DD1">
      <w:pPr>
        <w:spacing w:after="120" w:line="20" w:lineRule="atLeast"/>
        <w:rPr>
          <w:rFonts w:ascii="Verdana" w:hAnsi="Verdana"/>
        </w:rPr>
      </w:pPr>
      <w:r w:rsidRPr="006B1DD1">
        <w:rPr>
          <w:rFonts w:ascii="Verdana" w:hAnsi="Verdana"/>
        </w:rPr>
        <w:t xml:space="preserve">As part of individualised, ethical medicine, all children should be assessed by their GP (who knows their medical history and circumstances) as to whether the risks of the disease to them outweighs the (known and unknown) risks from the vaccines to them. There should be a proper process of informed consent where all risks, benefits and alternatives to vaccinations (including doing nothing) are discussed with parents. There should be no coercion to </w:t>
      </w:r>
      <w:r w:rsidRPr="006B1DD1">
        <w:rPr>
          <w:rFonts w:ascii="Verdana" w:hAnsi="Verdana"/>
        </w:rPr>
        <w:t>decide either way and the parent’s decision should be respected and honoured.</w:t>
      </w:r>
    </w:p>
    <w:p w:rsidR="00BB4BC0" w:rsidRPr="006B1DD1" w:rsidP="006B1DD1">
      <w:pPr>
        <w:spacing w:after="120" w:line="20" w:lineRule="atLeast"/>
        <w:rPr>
          <w:rFonts w:ascii="Verdana" w:hAnsi="Verdana"/>
          <w:b/>
          <w:bCs/>
          <w:u w:val="single"/>
        </w:rPr>
      </w:pPr>
    </w:p>
    <w:p w:rsidR="00BB4BC0" w:rsidRPr="006B1DD1" w:rsidP="006B1DD1">
      <w:pPr>
        <w:spacing w:after="120" w:line="20" w:lineRule="atLeast"/>
        <w:rPr>
          <w:rFonts w:ascii="Verdana" w:hAnsi="Verdana"/>
          <w:b/>
          <w:bCs/>
          <w:u w:val="single"/>
        </w:rPr>
      </w:pPr>
      <w:r w:rsidRPr="006B1DD1">
        <w:rPr>
          <w:rFonts w:ascii="Verdana" w:hAnsi="Verdana"/>
          <w:b/>
          <w:bCs/>
          <w:u w:val="single"/>
        </w:rPr>
        <w:t>Overcoming Barriers</w:t>
      </w:r>
    </w:p>
    <w:p w:rsidR="00BB4BC0" w:rsidRPr="006B1DD1" w:rsidP="006B1DD1">
      <w:pPr>
        <w:spacing w:after="120" w:line="20" w:lineRule="atLeast"/>
        <w:rPr>
          <w:rFonts w:ascii="Verdana" w:hAnsi="Verdana"/>
          <w:b/>
          <w:bCs/>
        </w:rPr>
      </w:pPr>
      <w:r w:rsidRPr="006B1DD1">
        <w:rPr>
          <w:rFonts w:ascii="Verdana" w:hAnsi="Verdana"/>
          <w:b/>
          <w:bCs/>
        </w:rPr>
        <w:t>Qu 8: How accessible are childhood vaccination services, both for the general population and for people in under-vaccinated groups? What are the main barriers to making childhood vaccination services more accessible for all, and how could those barriers be overcome?</w:t>
      </w:r>
    </w:p>
    <w:p w:rsidR="00BB4BC0" w:rsidRPr="006B1DD1" w:rsidP="006B1DD1">
      <w:pPr>
        <w:spacing w:after="120" w:line="20" w:lineRule="atLeast"/>
        <w:rPr>
          <w:rFonts w:ascii="Verdana" w:hAnsi="Verdana"/>
        </w:rPr>
      </w:pPr>
      <w:r w:rsidRPr="006B1DD1">
        <w:rPr>
          <w:rFonts w:ascii="Verdana" w:hAnsi="Verdana"/>
        </w:rPr>
        <w:t>Having objectives to meet target numbers of vaccinations violates the practice of ethical medicine. It risks overriding and dispensing with the process of informed consent, where the doctor has no agenda and must not coerce a patient/parent’s decision. Practising informed consent requires a confidential discussion about risks, benefits, and alternatives of each vaccine with the parent, and respects their decision.</w:t>
      </w:r>
    </w:p>
    <w:p w:rsidR="00BB4BC0" w:rsidP="006B1DD1">
      <w:pPr>
        <w:spacing w:after="120" w:line="20" w:lineRule="atLeast"/>
        <w:rPr>
          <w:rFonts w:ascii="Verdana" w:hAnsi="Verdana"/>
        </w:rPr>
      </w:pPr>
      <w:r w:rsidRPr="006B1DD1">
        <w:rPr>
          <w:rFonts w:ascii="Verdana" w:hAnsi="Verdana"/>
        </w:rPr>
        <w:t xml:space="preserve">Vaccinations should only be delivered where there is adequate medical back-up provided should the vaccination result in a medical emergency e.g. anaphylaxis or collapse. It is deeply concerning that childhood vaccinations are often carried </w:t>
      </w:r>
      <w:r w:rsidRPr="006B1DD1">
        <w:rPr>
          <w:rFonts w:ascii="Verdana" w:hAnsi="Verdana"/>
        </w:rPr>
        <w:t>out in temporary set ups or in schools, which fail in the provision of adequate emergency back-up and compromises privacy and confidentiality, both essential to an ethical medical interaction. </w:t>
      </w:r>
    </w:p>
    <w:p w:rsidR="006B1DD1" w:rsidRPr="006B1DD1" w:rsidP="006B1DD1">
      <w:pPr>
        <w:spacing w:after="120" w:line="20" w:lineRule="atLeast"/>
        <w:rPr>
          <w:rFonts w:ascii="Verdana" w:hAnsi="Verdana"/>
        </w:rPr>
      </w:pPr>
    </w:p>
    <w:p w:rsidR="00BB4BC0" w:rsidRPr="006B1DD1" w:rsidP="006B1DD1">
      <w:pPr>
        <w:spacing w:after="120" w:line="20" w:lineRule="atLeast"/>
        <w:rPr>
          <w:rFonts w:ascii="Verdana" w:hAnsi="Verdana"/>
          <w:b/>
          <w:bCs/>
        </w:rPr>
      </w:pPr>
      <w:r w:rsidRPr="006B1DD1">
        <w:rPr>
          <w:rFonts w:ascii="Verdana" w:hAnsi="Verdana"/>
          <w:b/>
          <w:bCs/>
        </w:rPr>
        <w:t>Qu 9: What is the influence of public attitudes on childhood vaccination coverage? What are the key barriers to strengthening public trust and confidence in childhood vaccination, and how could those barriers be overcome?</w:t>
      </w:r>
    </w:p>
    <w:p w:rsidR="00BB4BC0" w:rsidRPr="006B1DD1" w:rsidP="006B1DD1">
      <w:pPr>
        <w:spacing w:after="120" w:line="20" w:lineRule="atLeast"/>
        <w:rPr>
          <w:rFonts w:ascii="Verdana" w:hAnsi="Verdana"/>
        </w:rPr>
      </w:pPr>
      <w:r w:rsidRPr="006B1DD1">
        <w:rPr>
          <w:rFonts w:ascii="Verdana" w:hAnsi="Verdana"/>
        </w:rPr>
        <w:t>The assumption that it is desirable to increase “vaccine confidence” is very disturbing. It implies that “vaccine hesitancy” is a problem to be solved rather than a legitimate and informed medical choice to decline the offer of a pharmaceutical product. </w:t>
      </w:r>
    </w:p>
    <w:p w:rsidR="00BB4BC0" w:rsidRPr="006B1DD1" w:rsidP="006B1DD1">
      <w:pPr>
        <w:spacing w:after="120" w:line="20" w:lineRule="atLeast"/>
        <w:rPr>
          <w:rFonts w:ascii="Verdana" w:hAnsi="Verdana"/>
        </w:rPr>
      </w:pPr>
      <w:r w:rsidRPr="006B1DD1">
        <w:rPr>
          <w:rFonts w:ascii="Verdana" w:hAnsi="Verdana"/>
        </w:rPr>
        <w:t xml:space="preserve">Until the medical profession admit publicly that vaccines (like all drugs) can cause serious harm and even death, and the State supports and compensates anyone who suffers harm with a compassionate, generous and responsive Vaccine Damage Payments system, then public trust will inevitably suffer. </w:t>
      </w:r>
    </w:p>
    <w:p w:rsidR="00BB4BC0" w:rsidP="006B1DD1">
      <w:pPr>
        <w:spacing w:after="120" w:line="20" w:lineRule="atLeast"/>
        <w:rPr>
          <w:rFonts w:ascii="Verdana" w:hAnsi="Verdana"/>
        </w:rPr>
      </w:pPr>
      <w:r w:rsidRPr="006B1DD1">
        <w:rPr>
          <w:rFonts w:ascii="Verdana" w:hAnsi="Verdana"/>
        </w:rPr>
        <w:t xml:space="preserve">Vaccine companies are the only industry to be granted immunity from liability for any harm resulting from their products. To improve public trust, pharmaceutical companies MUST be held </w:t>
      </w:r>
      <w:r w:rsidRPr="006B1DD1">
        <w:rPr>
          <w:rFonts w:ascii="Verdana" w:hAnsi="Verdana"/>
        </w:rPr>
        <w:t xml:space="preserve">fully liable for causing harm to vaccine recipients, as all other industries are, and expected to pay generous compensation for injury or death. This would encourage the development of safer vaccines as the company would seek to avoid paying compensation for harm from a dangerous product. </w:t>
      </w:r>
    </w:p>
    <w:p w:rsidR="006B1DD1" w:rsidRPr="006B1DD1" w:rsidP="006B1DD1">
      <w:pPr>
        <w:spacing w:after="120" w:line="20" w:lineRule="atLeast"/>
        <w:rPr>
          <w:rFonts w:ascii="Verdana" w:hAnsi="Verdana"/>
        </w:rPr>
      </w:pPr>
    </w:p>
    <w:p w:rsidR="006B1DD1" w:rsidRPr="006B1DD1" w:rsidP="006B1DD1">
      <w:pPr>
        <w:spacing w:after="120" w:line="20" w:lineRule="atLeast"/>
        <w:rPr>
          <w:rFonts w:ascii="Verdana" w:hAnsi="Verdana"/>
          <w:b/>
          <w:bCs/>
        </w:rPr>
      </w:pPr>
      <w:r w:rsidRPr="006B1DD1">
        <w:rPr>
          <w:rFonts w:ascii="Verdana" w:hAnsi="Verdana"/>
          <w:b/>
          <w:bCs/>
        </w:rPr>
        <w:t xml:space="preserve">Qu 11: </w:t>
      </w:r>
      <w:r w:rsidRPr="006B1DD1">
        <w:rPr>
          <w:rFonts w:ascii="Verdana" w:hAnsi="Verdana"/>
          <w:b/>
          <w:bCs/>
        </w:rPr>
        <w:t>H</w:t>
      </w:r>
      <w:r w:rsidRPr="006B1DD1">
        <w:rPr>
          <w:rFonts w:ascii="Verdana" w:hAnsi="Verdana"/>
          <w:b/>
          <w:bCs/>
        </w:rPr>
        <w:t>ow effectively are core and outreach childhood vaccination services delivered, including delivery through different providers and in different settings? How could service delivery be made more effective to help improve coverage and reduce disparities?</w:t>
      </w:r>
    </w:p>
    <w:p w:rsidR="00BB4BC0" w:rsidRPr="006B1DD1" w:rsidP="006B1DD1">
      <w:pPr>
        <w:spacing w:after="120" w:line="20" w:lineRule="atLeast"/>
        <w:rPr>
          <w:rFonts w:ascii="Verdana" w:hAnsi="Verdana"/>
        </w:rPr>
      </w:pPr>
      <w:r w:rsidRPr="006B1DD1">
        <w:rPr>
          <w:rFonts w:ascii="Verdana" w:hAnsi="Verdana"/>
        </w:rPr>
        <w:t>The priority should be to give vaccinations responsibly and soberly, like all medical interventions. In an appropriate setting with privacy and confidentiality; with parents presen</w:t>
      </w:r>
      <w:r w:rsidRPr="006B1DD1">
        <w:rPr>
          <w:rFonts w:ascii="Verdana" w:hAnsi="Verdana"/>
        </w:rPr>
        <w:t>t; after full and informed consent has been obtained by a medical professional who knows the child; and with no expectation that the parent will either accept or decline the offer of a vaccine for their child.</w:t>
      </w:r>
    </w:p>
    <w:p w:rsidR="00BB4BC0" w:rsidRPr="006B1DD1" w:rsidP="006B1DD1">
      <w:pPr>
        <w:spacing w:after="120" w:line="20" w:lineRule="atLeast"/>
        <w:rPr>
          <w:rFonts w:ascii="Verdana" w:hAnsi="Verdana"/>
        </w:rPr>
      </w:pPr>
      <w:r w:rsidRPr="006B1DD1">
        <w:rPr>
          <w:rFonts w:ascii="Verdana" w:hAnsi="Verdana"/>
        </w:rPr>
        <w:t xml:space="preserve">Coercive messaging and the lack of privacy or confidentiality when giving vaccines in schools (leading to peer and teacher pressure on children, and without their parents there to support them) undermines informed consent and violates medical ethics. </w:t>
      </w:r>
    </w:p>
    <w:p w:rsidR="00CC0A5B" w:rsidRPr="006B1DD1" w:rsidP="006B1DD1">
      <w:pPr>
        <w:spacing w:after="120" w:line="20" w:lineRule="atLeast"/>
        <w:rPr>
          <w:rFonts w:ascii="Verdana" w:hAnsi="Verdana"/>
        </w:rPr>
      </w:pPr>
      <w:r w:rsidRPr="006B1DD1">
        <w:rPr>
          <w:rFonts w:ascii="Verdana" w:hAnsi="Verdana"/>
        </w:rPr>
        <w:t xml:space="preserve">Vaccination decision-making and </w:t>
      </w:r>
      <w:r w:rsidRPr="006B1DD1">
        <w:rPr>
          <w:rFonts w:ascii="Verdana" w:hAnsi="Verdana"/>
        </w:rPr>
        <w:t>administration should be put back into general practice, to be undertaken by a child’s GP or practice nurse who knows their medical history and can provide a private and confidential setting to have a non-coercive discussion with parents to disclose ALL potential risks (known and unknown) and benefits to their individual child and obtain fully informed consent.</w:t>
      </w:r>
    </w:p>
    <w:p w:rsidR="00CC0A5B" w:rsidRPr="006B1DD1" w:rsidP="006B1DD1">
      <w:pPr>
        <w:spacing w:after="120" w:line="20" w:lineRule="atLeast"/>
        <w:rPr>
          <w:rFonts w:ascii="Verdana" w:hAnsi="Verdana"/>
          <w:b/>
          <w:bCs/>
        </w:rPr>
      </w:pPr>
    </w:p>
    <w:p w:rsidR="00BB4BC0" w:rsidRPr="006B1DD1" w:rsidP="006B1DD1">
      <w:pPr>
        <w:spacing w:after="120" w:line="20" w:lineRule="atLeast"/>
        <w:rPr>
          <w:rFonts w:ascii="Verdana" w:hAnsi="Verdana"/>
          <w:b/>
          <w:bCs/>
        </w:rPr>
      </w:pPr>
      <w:r w:rsidRPr="006B1DD1">
        <w:rPr>
          <w:rFonts w:ascii="Verdana" w:hAnsi="Verdana"/>
          <w:b/>
          <w:bCs/>
        </w:rPr>
        <w:t xml:space="preserve">Qu 14: What is the influence of the wider public, community and voluntary sectors (including schools) on childhood vaccination coverage? How could the NHS work more effectively with the wider </w:t>
      </w:r>
      <w:r w:rsidRPr="006B1DD1">
        <w:rPr>
          <w:rFonts w:ascii="Verdana" w:hAnsi="Verdana"/>
          <w:b/>
          <w:bCs/>
        </w:rPr>
        <w:t>public, community and voluntary sectors (including schools) to help improve coverage and reduce disparities?</w:t>
      </w:r>
    </w:p>
    <w:p w:rsidR="00BB4BC0" w:rsidRPr="006B1DD1" w:rsidP="006B1DD1">
      <w:pPr>
        <w:spacing w:after="120" w:line="20" w:lineRule="atLeast"/>
        <w:rPr>
          <w:rFonts w:ascii="Verdana" w:hAnsi="Verdana"/>
        </w:rPr>
      </w:pPr>
      <w:r w:rsidRPr="006B1DD1">
        <w:rPr>
          <w:rFonts w:ascii="Verdana" w:hAnsi="Verdana"/>
        </w:rPr>
        <w:t xml:space="preserve">There is no place for non-medically qualified people or schools to abuse their position of power/authority to apply pressure on </w:t>
      </w:r>
      <w:r w:rsidRPr="006B1DD1">
        <w:rPr>
          <w:rFonts w:ascii="Verdana" w:hAnsi="Verdana"/>
        </w:rPr>
        <w:t xml:space="preserve">parents or children to take a medical treatment that could cause them harm or death. Vaccination is a medical intervention and must be treated as such - soberly, responsibly and confidentially by trained medical professionals.  Not as an ideological belief system to be imposed in a dogmatic “one-size-fits-all” way onto children and parents. </w:t>
      </w:r>
    </w:p>
    <w:p w:rsidR="006B1DD1" w:rsidP="006B1DD1">
      <w:pPr>
        <w:spacing w:after="120" w:line="20" w:lineRule="atLeast"/>
        <w:rPr>
          <w:rFonts w:ascii="Verdana" w:hAnsi="Verdana"/>
        </w:rPr>
      </w:pPr>
      <w:r w:rsidRPr="006B1DD1">
        <w:rPr>
          <w:rFonts w:ascii="Verdana" w:hAnsi="Verdana"/>
        </w:rPr>
        <w:t>The concept of “improving coverage” is misguided as a goal as it risks overriding informed consent and violating medical ethics using coercion and deception.</w:t>
      </w:r>
    </w:p>
    <w:p w:rsidR="00BB4BC0" w:rsidRPr="006B1DD1" w:rsidP="006B1DD1">
      <w:pPr>
        <w:spacing w:after="120" w:line="20" w:lineRule="atLeast"/>
        <w:rPr>
          <w:rFonts w:ascii="Verdana" w:hAnsi="Verdana"/>
        </w:rPr>
      </w:pPr>
      <w:r w:rsidRPr="006B1DD1">
        <w:rPr>
          <w:rFonts w:ascii="Verdana" w:hAnsi="Verdana"/>
        </w:rPr>
        <w:t xml:space="preserve">  </w:t>
      </w:r>
    </w:p>
    <w:p w:rsidR="00BB4BC0" w:rsidRPr="006B1DD1" w:rsidP="006B1DD1">
      <w:pPr>
        <w:spacing w:after="120" w:line="20" w:lineRule="atLeast"/>
        <w:rPr>
          <w:rFonts w:ascii="Verdana" w:hAnsi="Verdana"/>
          <w:b/>
          <w:bCs/>
        </w:rPr>
      </w:pPr>
      <w:r w:rsidRPr="006B1DD1">
        <w:rPr>
          <w:rFonts w:ascii="Verdana" w:hAnsi="Verdana"/>
          <w:b/>
          <w:bCs/>
        </w:rPr>
        <w:t>Qu 15: What is the influence of the media environment on childhood vaccination coverage? What would be the best ways to support confidence and to address misinformation and disinformation about childhood vaccination in the media environment?</w:t>
      </w:r>
    </w:p>
    <w:p w:rsidR="00BB4BC0" w:rsidRPr="006B1DD1" w:rsidP="006B1DD1">
      <w:pPr>
        <w:spacing w:after="120" w:line="20" w:lineRule="atLeast"/>
        <w:rPr>
          <w:rFonts w:ascii="Verdana" w:hAnsi="Verdana"/>
        </w:rPr>
      </w:pPr>
      <w:r w:rsidRPr="006B1DD1">
        <w:rPr>
          <w:rFonts w:ascii="Verdana" w:hAnsi="Verdana"/>
        </w:rPr>
        <w:t xml:space="preserve">There is no place for non-medically trained people </w:t>
      </w:r>
      <w:r w:rsidRPr="006B1DD1">
        <w:rPr>
          <w:rFonts w:ascii="Verdana" w:hAnsi="Verdana"/>
        </w:rPr>
        <w:t>in the media to abuse a position of power/authority to apply pressure on individual children/parents to take a medical treatment that could cause them harm or death. Vaccination is a medical intervention and must be treated as such - soberly, responsibly and confidentially by trained medical professionals who know the individual patient. “Improving coverage” risks overriding informed consent and violating medical ethics.</w:t>
      </w:r>
    </w:p>
    <w:p w:rsidR="00BB4BC0" w:rsidRPr="006B1DD1" w:rsidP="006B1DD1">
      <w:pPr>
        <w:spacing w:after="120" w:line="20" w:lineRule="atLeast"/>
        <w:rPr>
          <w:rFonts w:ascii="Verdana" w:hAnsi="Verdana"/>
        </w:rPr>
      </w:pPr>
      <w:r w:rsidRPr="006B1DD1">
        <w:rPr>
          <w:rFonts w:ascii="Verdana" w:hAnsi="Verdana"/>
        </w:rPr>
        <w:t xml:space="preserve">Public Health needs to resist the temptation to act as the “Nanny State”. Parents are adults who are entitled to investigate, and can weigh up, all information about vaccines (both for and against), to help them decide if it is appropriate for their child and if the benefit to their child outweighs the risks. </w:t>
      </w:r>
    </w:p>
    <w:p w:rsidR="00CC0A5B" w:rsidRPr="006B1DD1" w:rsidP="006B1DD1">
      <w:pPr>
        <w:spacing w:after="120" w:line="20" w:lineRule="atLeast"/>
        <w:rPr>
          <w:rFonts w:ascii="Verdana" w:hAnsi="Verdana"/>
        </w:rPr>
      </w:pPr>
      <w:r w:rsidRPr="006B1DD1">
        <w:rPr>
          <w:rFonts w:ascii="Verdana" w:hAnsi="Verdana"/>
        </w:rPr>
        <w:t>Seeking to control information or to stop people getting certain information (labelled “misinformation” or “disinformation”) is deeply sinister and controlling and incredibly patronising and disrespectful to parents, implying that they do not have critical thinking skills to weigh up evidence and come to a rational decision in the best interest of their child. </w:t>
      </w:r>
    </w:p>
    <w:p w:rsidR="00CC0A5B" w:rsidP="006B1DD1">
      <w:pPr>
        <w:spacing w:after="120" w:line="20" w:lineRule="atLeast"/>
        <w:rPr>
          <w:rFonts w:ascii="Verdana" w:hAnsi="Verdana"/>
          <w:sz w:val="24"/>
          <w:szCs w:val="24"/>
        </w:rPr>
      </w:pPr>
    </w:p>
    <w:p w:rsidR="00BB4BC0" w:rsidRPr="006B1DD1" w:rsidP="006B1DD1">
      <w:pPr>
        <w:spacing w:after="120" w:line="20" w:lineRule="atLeast"/>
        <w:rPr>
          <w:rFonts w:ascii="Verdana" w:hAnsi="Verdana"/>
        </w:rPr>
      </w:pPr>
      <w:r w:rsidRPr="006B1DD1">
        <w:rPr>
          <w:rFonts w:ascii="Verdana" w:hAnsi="Verdana"/>
        </w:rPr>
        <w:t>Thank you for your time and consideration of our concerns.</w:t>
      </w:r>
    </w:p>
    <w:p w:rsidR="00BB4BC0" w:rsidRPr="006B1DD1" w:rsidP="006B1DD1">
      <w:pPr>
        <w:spacing w:after="120" w:line="20" w:lineRule="atLeast"/>
        <w:rPr>
          <w:rFonts w:ascii="Verdana" w:hAnsi="Verdana"/>
        </w:rPr>
      </w:pPr>
      <w:r w:rsidRPr="006B1DD1">
        <w:rPr>
          <w:rFonts w:ascii="Verdana" w:hAnsi="Verdana"/>
        </w:rPr>
        <w:t>Dr Elizabeth Evans MA(Cantab), MBBS (Lond), DRCOG</w:t>
      </w:r>
    </w:p>
    <w:p w:rsidR="00BB4BC0" w:rsidRPr="006B1DD1" w:rsidP="006B1DD1">
      <w:pPr>
        <w:spacing w:after="0" w:line="20" w:lineRule="atLeast"/>
        <w:rPr>
          <w:rFonts w:ascii="Verdana" w:hAnsi="Verdana"/>
        </w:rPr>
      </w:pPr>
      <w:r w:rsidRPr="006B1DD1">
        <w:rPr>
          <w:rFonts w:ascii="Verdana" w:hAnsi="Verdana"/>
        </w:rPr>
        <w:t>CEO, UK Medical Freedom Allianc</w:t>
      </w:r>
      <w:r w:rsidRPr="006B1DD1">
        <w:rPr>
          <w:rFonts w:ascii="Verdana" w:hAnsi="Verdana"/>
        </w:rPr>
        <w:t xml:space="preserve">e </w:t>
      </w:r>
    </w:p>
    <w:p w:rsidR="00BB4BC0" w:rsidRPr="00B23F75" w:rsidP="006B1DD1">
      <w:pPr>
        <w:spacing w:after="0"/>
        <w:rPr>
          <w:rFonts w:ascii="Verdana" w:hAnsi="Verdana"/>
          <w:sz w:val="24"/>
          <w:szCs w:val="24"/>
        </w:rPr>
      </w:pPr>
    </w:p>
    <w:p w:rsidR="00BB4BC0" w:rsidRPr="006B1DD1" w:rsidP="004819CC">
      <w:pPr>
        <w:rPr>
          <w:rFonts w:ascii="Verdana" w:hAnsi="Verdana"/>
          <w:i/>
          <w:iCs/>
        </w:rPr>
      </w:pPr>
      <w:r w:rsidRPr="006B1DD1">
        <w:rPr>
          <w:rFonts w:ascii="Verdana" w:hAnsi="Verdana"/>
          <w:i/>
          <w:iCs/>
        </w:rPr>
        <w:t>5 May 2026</w:t>
      </w:r>
    </w:p>
    <w:sectPr>
      <w:headerReference w:type="default" r:id="rI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C0A5B" w:rsidP="004819CC">
      <w:pPr>
        <w:spacing w:after="0" w:line="240" w:lineRule="auto"/>
      </w:pPr>
      <w:r>
        <w:separator/>
      </w:r>
    </w:p>
  </w:footnote>
  <w:footnote w:type="continuationSeparator" w:id="1">
    <w:p w:rsidR="00CC0A5B" w:rsidP="004819CC">
      <w:pPr>
        <w:spacing w:after="0" w:line="240" w:lineRule="auto"/>
      </w:pPr>
      <w:r>
        <w:continuationSeparator/>
      </w:r>
    </w:p>
  </w:footnote>
  <w:footnote w:id="2">
    <w:p w:rsidR="00BB4BC0" w:rsidRPr="006B1DD1">
      <w:pPr>
        <w:pStyle w:val="FootnoteText"/>
        <w:rPr>
          <w:rFonts w:ascii="Verdana" w:hAnsi="Verdana"/>
          <w:sz w:val="18"/>
          <w:szCs w:val="18"/>
        </w:rPr>
      </w:pPr>
      <w:r w:rsidRPr="006B1DD1">
        <w:rPr>
          <w:rStyle w:val="FootnoteReference"/>
          <w:rFonts w:ascii="Verdana" w:hAnsi="Verdana"/>
          <w:sz w:val="18"/>
          <w:szCs w:val="18"/>
        </w:rPr>
        <w:footnoteRef/>
      </w:r>
      <w:r w:rsidRPr="006B1DD1">
        <w:rPr>
          <w:rFonts w:ascii="Verdana" w:hAnsi="Verdana"/>
          <w:sz w:val="18"/>
          <w:szCs w:val="18"/>
        </w:rPr>
        <w:t xml:space="preserve"> </w:t>
      </w:r>
      <w:r>
        <w:fldChar w:fldCharType="begin"/>
      </w:r>
      <w:r>
        <w:instrText xml:space="preserve"> HYPERLINK "https://www.ukmedfreedom.org/" </w:instrText>
      </w:r>
      <w:r>
        <w:fldChar w:fldCharType="separate"/>
      </w:r>
      <w:r w:rsidRPr="006B1DD1">
        <w:rPr>
          <w:rStyle w:val="Hyperlink"/>
          <w:rFonts w:ascii="Verdana" w:hAnsi="Verdana"/>
          <w:sz w:val="18"/>
          <w:szCs w:val="18"/>
        </w:rPr>
        <w:t>https://www.ukmedfreedom.org/</w:t>
      </w:r>
      <w:r>
        <w:fldChar w:fldCharType="end"/>
      </w:r>
    </w:p>
  </w:footnote>
  <w:footnote w:id="3">
    <w:p w:rsidR="00BB4BC0">
      <w:pPr>
        <w:pStyle w:val="FootnoteText"/>
      </w:pPr>
      <w:r w:rsidRPr="006B1DD1">
        <w:rPr>
          <w:rStyle w:val="FootnoteReference"/>
          <w:rFonts w:ascii="Verdana" w:hAnsi="Verdana"/>
          <w:sz w:val="18"/>
          <w:szCs w:val="18"/>
        </w:rPr>
        <w:footnoteRef/>
      </w:r>
      <w:r w:rsidRPr="006B1DD1">
        <w:rPr>
          <w:rFonts w:ascii="Verdana" w:hAnsi="Verdana"/>
          <w:sz w:val="18"/>
          <w:szCs w:val="18"/>
        </w:rPr>
        <w:t xml:space="preserve"> </w:t>
      </w:r>
      <w:r>
        <w:fldChar w:fldCharType="begin"/>
      </w:r>
      <w:r>
        <w:instrText xml:space="preserve"> HYPERLINK "https://www.hudgellsolicitors.co.uk/client-stories/calls-for-immediate-action-as-covid-19-inquiry-recognises-serious-injuries-and-death-caused-by-vaccines-and-governments-failure-to-properly-suppo" </w:instrText>
      </w:r>
      <w:r>
        <w:fldChar w:fldCharType="separate"/>
      </w:r>
      <w:r w:rsidRPr="006B1DD1">
        <w:rPr>
          <w:rStyle w:val="Hyperlink"/>
          <w:rFonts w:ascii="Verdana" w:hAnsi="Verdana"/>
          <w:sz w:val="18"/>
          <w:szCs w:val="18"/>
        </w:rPr>
        <w:t>https://www.hudgellsolicitors.co.uk/client-stories/calls-for-immediate-action-as-covid-19-inquiry-recognises-serious-injuries-and-death-caused-by-vaccines-and-governments-failure-to-properly-suppo</w:t>
      </w:r>
      <w:r>
        <w:fldChar w:fldCharType="end"/>
      </w:r>
    </w:p>
  </w:footnote>
  <w:footnote w:id="4">
    <w:p w:rsidR="00BB4BC0" w:rsidRPr="006B1DD1">
      <w:pPr>
        <w:pStyle w:val="FootnoteText"/>
        <w:rPr>
          <w:rFonts w:ascii="Verdana" w:hAnsi="Verdana"/>
          <w:sz w:val="18"/>
          <w:szCs w:val="18"/>
        </w:rPr>
      </w:pPr>
      <w:r w:rsidRPr="006B1DD1">
        <w:rPr>
          <w:rStyle w:val="FootnoteReference"/>
          <w:rFonts w:ascii="Verdana" w:hAnsi="Verdana"/>
          <w:sz w:val="18"/>
          <w:szCs w:val="18"/>
        </w:rPr>
        <w:footnoteRef/>
      </w:r>
      <w:r w:rsidRPr="006B1DD1">
        <w:rPr>
          <w:rFonts w:ascii="Verdana" w:hAnsi="Verdana"/>
          <w:sz w:val="18"/>
          <w:szCs w:val="18"/>
        </w:rPr>
        <w:t xml:space="preserve"> </w:t>
      </w:r>
      <w:r>
        <w:fldChar w:fldCharType="begin"/>
      </w:r>
      <w:r>
        <w:instrText xml:space="preserve"> HYPERLINK "https://pmc.ncbi.nlm.nih.gov/articles/PMC7268563/" </w:instrText>
      </w:r>
      <w:r>
        <w:fldChar w:fldCharType="separate"/>
      </w:r>
      <w:r w:rsidRPr="006B1DD1">
        <w:rPr>
          <w:rStyle w:val="Hyperlink"/>
          <w:rFonts w:ascii="Verdana" w:hAnsi="Verdana"/>
          <w:sz w:val="18"/>
          <w:szCs w:val="18"/>
        </w:rPr>
        <w:t>https://pmc.ncbi.nlm.nih.gov/articles/PMC7268563/</w:t>
      </w:r>
      <w:r>
        <w:fldChar w:fldCharType="end"/>
      </w:r>
    </w:p>
  </w:footnote>
  <w:footnote w:id="5">
    <w:p w:rsidR="00BB4BC0" w:rsidRPr="006B1DD1">
      <w:pPr>
        <w:pStyle w:val="FootnoteText"/>
        <w:rPr>
          <w:rFonts w:ascii="Verdana" w:hAnsi="Verdana"/>
          <w:sz w:val="18"/>
          <w:szCs w:val="18"/>
        </w:rPr>
      </w:pPr>
      <w:r w:rsidRPr="006B1DD1">
        <w:rPr>
          <w:rStyle w:val="FootnoteReference"/>
          <w:rFonts w:ascii="Verdana" w:hAnsi="Verdana"/>
          <w:sz w:val="18"/>
          <w:szCs w:val="18"/>
        </w:rPr>
        <w:footnoteRef/>
      </w:r>
      <w:r w:rsidRPr="006B1DD1">
        <w:rPr>
          <w:rFonts w:ascii="Verdana" w:hAnsi="Verdana"/>
          <w:sz w:val="18"/>
          <w:szCs w:val="18"/>
        </w:rPr>
        <w:t xml:space="preserve"> </w:t>
      </w:r>
      <w:r>
        <w:fldChar w:fldCharType="begin"/>
      </w:r>
      <w:r>
        <w:instrText xml:space="preserve"> HYPERLINK "https://www.oatext.com/Pilot-comparative-study-on-the-health-of-vaccinated-and-unvaccinated-6-to-12-year-old-U-S-children.php" </w:instrText>
      </w:r>
      <w:r>
        <w:fldChar w:fldCharType="separate"/>
      </w:r>
      <w:r w:rsidRPr="006B1DD1">
        <w:rPr>
          <w:rStyle w:val="Hyperlink"/>
          <w:rFonts w:ascii="Verdana" w:hAnsi="Verdana"/>
          <w:sz w:val="18"/>
          <w:szCs w:val="18"/>
        </w:rPr>
        <w:t>https://www.oatext.com/Pilot-comparative-study-on-the-health-of-vaccinated-and-unvaccinated-6-to-12-year-old-U-S-children.php</w:t>
      </w:r>
      <w:r>
        <w:fldChar w:fldCharType="end"/>
      </w:r>
    </w:p>
  </w:footnote>
  <w:footnote w:id="6">
    <w:p w:rsidR="00BB4BC0" w:rsidRPr="006B1DD1">
      <w:pPr>
        <w:pStyle w:val="FootnoteText"/>
        <w:rPr>
          <w:rFonts w:ascii="Verdana" w:hAnsi="Verdana"/>
          <w:sz w:val="18"/>
          <w:szCs w:val="18"/>
        </w:rPr>
      </w:pPr>
      <w:r w:rsidRPr="006B1DD1">
        <w:rPr>
          <w:rStyle w:val="FootnoteReference"/>
          <w:rFonts w:ascii="Verdana" w:hAnsi="Verdana"/>
          <w:sz w:val="18"/>
          <w:szCs w:val="18"/>
        </w:rPr>
        <w:footnoteRef/>
      </w:r>
      <w:r w:rsidRPr="006B1DD1">
        <w:rPr>
          <w:rFonts w:ascii="Verdana" w:hAnsi="Verdana"/>
          <w:sz w:val="18"/>
          <w:szCs w:val="18"/>
        </w:rPr>
        <w:t xml:space="preserve"> </w:t>
      </w:r>
      <w:r>
        <w:fldChar w:fldCharType="begin"/>
      </w:r>
      <w:r>
        <w:instrText xml:space="preserve"> HYPERLINK "https://www.kingsfund.org.uk/insight-and-analysis/long-reads/state-childrens-health-england" </w:instrText>
      </w:r>
      <w:r>
        <w:fldChar w:fldCharType="separate"/>
      </w:r>
      <w:r w:rsidRPr="006B1DD1">
        <w:rPr>
          <w:rStyle w:val="Hyperlink"/>
          <w:rFonts w:ascii="Verdana" w:hAnsi="Verdana"/>
          <w:sz w:val="18"/>
          <w:szCs w:val="18"/>
        </w:rPr>
        <w:t>https://www.kingsfund.org.uk/insight-and-analysis/long-reads/state-childrens-health-england</w:t>
      </w:r>
      <w:r>
        <w:fldChar w:fldCharType="end"/>
      </w:r>
    </w:p>
  </w:footnote>
  <w:footnote w:id="7">
    <w:p w:rsidR="00BB4BC0">
      <w:pPr>
        <w:pStyle w:val="FootnoteText"/>
      </w:pPr>
      <w:r w:rsidRPr="006B1DD1">
        <w:rPr>
          <w:rStyle w:val="FootnoteReference"/>
          <w:rFonts w:ascii="Verdana" w:hAnsi="Verdana"/>
          <w:sz w:val="18"/>
          <w:szCs w:val="18"/>
        </w:rPr>
        <w:footnoteRef/>
      </w:r>
      <w:r w:rsidRPr="006B1DD1">
        <w:rPr>
          <w:rFonts w:ascii="Verdana" w:hAnsi="Verdana"/>
          <w:sz w:val="18"/>
          <w:szCs w:val="18"/>
        </w:rPr>
        <w:t xml:space="preserve"> </w:t>
      </w:r>
      <w:r>
        <w:fldChar w:fldCharType="begin"/>
      </w:r>
      <w:r>
        <w:instrText xml:space="preserve"> HYPERLINK "https://www.fda.gov/media/119403/download" </w:instrText>
      </w:r>
      <w:r>
        <w:fldChar w:fldCharType="separate"/>
      </w:r>
      <w:r w:rsidRPr="006B1DD1">
        <w:rPr>
          <w:rStyle w:val="Hyperlink"/>
          <w:rFonts w:ascii="Verdana" w:hAnsi="Verdana"/>
          <w:sz w:val="18"/>
          <w:szCs w:val="18"/>
        </w:rPr>
        <w:t>https://www.fda.gov/media/119403/download</w:t>
      </w:r>
      <w: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BC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B7E0629"/>
    <w:multiLevelType w:val="multilevel"/>
    <w:tmpl w:val="F6407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C446485"/>
    <w:multiLevelType w:val="multilevel"/>
    <w:tmpl w:val="376CB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24E26E0"/>
    <w:multiLevelType w:val="hybridMultilevel"/>
    <w:tmpl w:val="7792861C"/>
    <w:lvl w:ilvl="0">
      <w:start w:val="5"/>
      <w:numFmt w:val="decimalZero"/>
      <w:lvlText w:val="%1"/>
      <w:lvlJc w:val="left"/>
      <w:pPr>
        <w:ind w:left="720" w:hanging="360"/>
      </w:pPr>
      <w:rPr>
        <w:rFonts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5BC29F2"/>
    <w:multiLevelType w:val="hybridMultilevel"/>
    <w:tmpl w:val="BC104B08"/>
    <w:lvl w:ilvl="0">
      <w:start w:val="5"/>
      <w:numFmt w:val="decimalZero"/>
      <w:lvlText w:val="%1"/>
      <w:lvlJc w:val="left"/>
      <w:pPr>
        <w:ind w:left="5463" w:hanging="360"/>
      </w:pPr>
      <w:rPr>
        <w:rFonts w:hint="default"/>
      </w:rPr>
    </w:lvl>
    <w:lvl w:ilvl="1" w:tentative="1">
      <w:start w:val="1"/>
      <w:numFmt w:val="lowerLetter"/>
      <w:lvlText w:val="%2."/>
      <w:lvlJc w:val="left"/>
      <w:pPr>
        <w:ind w:left="6183" w:hanging="360"/>
      </w:pPr>
    </w:lvl>
    <w:lvl w:ilvl="2" w:tentative="1">
      <w:start w:val="1"/>
      <w:numFmt w:val="lowerRoman"/>
      <w:lvlText w:val="%3."/>
      <w:lvlJc w:val="right"/>
      <w:pPr>
        <w:ind w:left="6903" w:hanging="180"/>
      </w:pPr>
    </w:lvl>
    <w:lvl w:ilvl="3" w:tentative="1">
      <w:start w:val="1"/>
      <w:numFmt w:val="decimal"/>
      <w:lvlText w:val="%4."/>
      <w:lvlJc w:val="left"/>
      <w:pPr>
        <w:ind w:left="7623" w:hanging="360"/>
      </w:pPr>
    </w:lvl>
    <w:lvl w:ilvl="4" w:tentative="1">
      <w:start w:val="1"/>
      <w:numFmt w:val="lowerLetter"/>
      <w:lvlText w:val="%5."/>
      <w:lvlJc w:val="left"/>
      <w:pPr>
        <w:ind w:left="8343" w:hanging="360"/>
      </w:pPr>
    </w:lvl>
    <w:lvl w:ilvl="5" w:tentative="1">
      <w:start w:val="1"/>
      <w:numFmt w:val="lowerRoman"/>
      <w:lvlText w:val="%6."/>
      <w:lvlJc w:val="right"/>
      <w:pPr>
        <w:ind w:left="9063" w:hanging="180"/>
      </w:pPr>
    </w:lvl>
    <w:lvl w:ilvl="6" w:tentative="1">
      <w:start w:val="1"/>
      <w:numFmt w:val="decimal"/>
      <w:lvlText w:val="%7."/>
      <w:lvlJc w:val="left"/>
      <w:pPr>
        <w:ind w:left="9783" w:hanging="360"/>
      </w:pPr>
    </w:lvl>
    <w:lvl w:ilvl="7" w:tentative="1">
      <w:start w:val="1"/>
      <w:numFmt w:val="lowerLetter"/>
      <w:lvlText w:val="%8."/>
      <w:lvlJc w:val="left"/>
      <w:pPr>
        <w:ind w:left="10503" w:hanging="360"/>
      </w:pPr>
    </w:lvl>
    <w:lvl w:ilvl="8" w:tentative="1">
      <w:start w:val="1"/>
      <w:numFmt w:val="lowerRoman"/>
      <w:lvlText w:val="%9."/>
      <w:lvlJc w:val="right"/>
      <w:pPr>
        <w:ind w:left="11223" w:hanging="180"/>
      </w:pPr>
    </w:lvl>
  </w:abstractNum>
  <w:abstractNum w:abstractNumId="4">
    <w:nsid w:val="3A2C61B1"/>
    <w:multiLevelType w:val="multilevel"/>
    <w:tmpl w:val="37BA5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B0446F9"/>
    <w:multiLevelType w:val="multilevel"/>
    <w:tmpl w:val="0D863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F17112E"/>
    <w:multiLevelType w:val="multilevel"/>
    <w:tmpl w:val="9C9CA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40241DC"/>
    <w:multiLevelType w:val="multilevel"/>
    <w:tmpl w:val="C9148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E2057BD"/>
    <w:multiLevelType w:val="multilevel"/>
    <w:tmpl w:val="5378B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AD72818"/>
    <w:multiLevelType w:val="multilevel"/>
    <w:tmpl w:val="C9405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E1C1963"/>
    <w:multiLevelType w:val="multilevel"/>
    <w:tmpl w:val="387C6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F10399D"/>
    <w:multiLevelType w:val="multilevel"/>
    <w:tmpl w:val="13E0C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6836ED3"/>
    <w:multiLevelType w:val="multilevel"/>
    <w:tmpl w:val="B7747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DF52C6B"/>
    <w:multiLevelType w:val="multilevel"/>
    <w:tmpl w:val="98405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A376AF7"/>
    <w:multiLevelType w:val="multilevel"/>
    <w:tmpl w:val="880A8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CB74AC3"/>
    <w:multiLevelType w:val="multilevel"/>
    <w:tmpl w:val="BBFAD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7"/>
  </w:num>
  <w:num w:numId="3">
    <w:abstractNumId w:val="2"/>
  </w:num>
  <w:num w:numId="4">
    <w:abstractNumId w:val="11"/>
  </w:num>
  <w:num w:numId="5">
    <w:abstractNumId w:val="14"/>
  </w:num>
  <w:num w:numId="6">
    <w:abstractNumId w:val="0"/>
  </w:num>
  <w:num w:numId="7">
    <w:abstractNumId w:val="12"/>
  </w:num>
  <w:num w:numId="8">
    <w:abstractNumId w:val="5"/>
  </w:num>
  <w:num w:numId="9">
    <w:abstractNumId w:val="4"/>
  </w:num>
  <w:num w:numId="10">
    <w:abstractNumId w:val="1"/>
  </w:num>
  <w:num w:numId="11">
    <w:abstractNumId w:val="8"/>
  </w:num>
  <w:num w:numId="12">
    <w:abstractNumId w:val="9"/>
  </w:num>
  <w:num w:numId="13">
    <w:abstractNumId w:val="6"/>
  </w:num>
  <w:num w:numId="14">
    <w:abstractNumId w:val="10"/>
  </w:num>
  <w:num w:numId="15">
    <w:abstractNumId w:val="15"/>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2CDF2902-F1E8-4706-8C82-9DCA48C8DA17}"/>
    <w:docVar w:name="dgnword-eventsink" w:val="1819967820176"/>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4819CC"/>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4819C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4819CC"/>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4819CC"/>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4819CC"/>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4819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19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19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19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19CC"/>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4819CC"/>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4819CC"/>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4819CC"/>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4819CC"/>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4819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19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19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19CC"/>
    <w:rPr>
      <w:rFonts w:eastAsiaTheme="majorEastAsia" w:cstheme="majorBidi"/>
      <w:color w:val="272727" w:themeColor="text1" w:themeTint="D8"/>
    </w:rPr>
  </w:style>
  <w:style w:type="paragraph" w:styleId="Title">
    <w:name w:val="Title"/>
    <w:basedOn w:val="Normal"/>
    <w:next w:val="Normal"/>
    <w:link w:val="TitleChar"/>
    <w:uiPriority w:val="10"/>
    <w:qFormat/>
    <w:rsid w:val="004819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19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19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19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19CC"/>
    <w:pPr>
      <w:spacing w:before="160"/>
      <w:jc w:val="center"/>
    </w:pPr>
    <w:rPr>
      <w:i/>
      <w:iCs/>
      <w:color w:val="404040" w:themeColor="text1" w:themeTint="BF"/>
    </w:rPr>
  </w:style>
  <w:style w:type="character" w:customStyle="1" w:styleId="QuoteChar">
    <w:name w:val="Quote Char"/>
    <w:basedOn w:val="DefaultParagraphFont"/>
    <w:link w:val="Quote"/>
    <w:uiPriority w:val="29"/>
    <w:rsid w:val="004819CC"/>
    <w:rPr>
      <w:i/>
      <w:iCs/>
      <w:color w:val="404040" w:themeColor="text1" w:themeTint="BF"/>
    </w:rPr>
  </w:style>
  <w:style w:type="paragraph" w:styleId="ListParagraph">
    <w:name w:val="List Paragraph"/>
    <w:basedOn w:val="Normal"/>
    <w:uiPriority w:val="34"/>
    <w:qFormat/>
    <w:rsid w:val="004819CC"/>
    <w:pPr>
      <w:ind w:left="720"/>
      <w:contextualSpacing/>
    </w:pPr>
  </w:style>
  <w:style w:type="character" w:styleId="IntenseEmphasis">
    <w:name w:val="Intense Emphasis"/>
    <w:basedOn w:val="DefaultParagraphFont"/>
    <w:uiPriority w:val="21"/>
    <w:qFormat/>
    <w:rsid w:val="004819CC"/>
    <w:rPr>
      <w:i/>
      <w:iCs/>
      <w:color w:val="365F91" w:themeColor="accent1" w:themeShade="BF"/>
    </w:rPr>
  </w:style>
  <w:style w:type="paragraph" w:styleId="IntenseQuote">
    <w:name w:val="Intense Quote"/>
    <w:basedOn w:val="Normal"/>
    <w:next w:val="Normal"/>
    <w:link w:val="IntenseQuoteChar"/>
    <w:uiPriority w:val="30"/>
    <w:qFormat/>
    <w:rsid w:val="004819C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4819CC"/>
    <w:rPr>
      <w:i/>
      <w:iCs/>
      <w:color w:val="365F91" w:themeColor="accent1" w:themeShade="BF"/>
    </w:rPr>
  </w:style>
  <w:style w:type="character" w:styleId="IntenseReference">
    <w:name w:val="Intense Reference"/>
    <w:basedOn w:val="DefaultParagraphFont"/>
    <w:uiPriority w:val="32"/>
    <w:qFormat/>
    <w:rsid w:val="004819CC"/>
    <w:rPr>
      <w:b/>
      <w:bCs/>
      <w:smallCaps/>
      <w:color w:val="365F91" w:themeColor="accent1" w:themeShade="BF"/>
      <w:spacing w:val="5"/>
    </w:rPr>
  </w:style>
  <w:style w:type="paragraph" w:styleId="Header">
    <w:name w:val="header"/>
    <w:basedOn w:val="Normal"/>
    <w:link w:val="HeaderChar"/>
    <w:uiPriority w:val="99"/>
    <w:unhideWhenUsed/>
    <w:rsid w:val="004819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19CC"/>
  </w:style>
  <w:style w:type="paragraph" w:styleId="Footer">
    <w:name w:val="footer"/>
    <w:basedOn w:val="Normal"/>
    <w:link w:val="FooterChar"/>
    <w:uiPriority w:val="99"/>
    <w:unhideWhenUsed/>
    <w:rsid w:val="004819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19CC"/>
  </w:style>
  <w:style w:type="paragraph" w:styleId="NormalWeb">
    <w:name w:val="Normal (Web)"/>
    <w:basedOn w:val="Normal"/>
    <w:uiPriority w:val="99"/>
    <w:semiHidden/>
    <w:unhideWhenUsed/>
    <w:rsid w:val="00EB5F46"/>
    <w:rPr>
      <w:rFonts w:ascii="Times New Roman" w:hAnsi="Times New Roman" w:cs="Times New Roman"/>
      <w:sz w:val="24"/>
      <w:szCs w:val="24"/>
    </w:rPr>
  </w:style>
  <w:style w:type="character" w:styleId="Hyperlink">
    <w:name w:val="Hyperlink"/>
    <w:basedOn w:val="DefaultParagraphFont"/>
    <w:uiPriority w:val="99"/>
    <w:unhideWhenUsed/>
    <w:rsid w:val="00064921"/>
    <w:rPr>
      <w:color w:val="0000FF" w:themeColor="hyperlink"/>
      <w:u w:val="single"/>
    </w:rPr>
  </w:style>
  <w:style w:type="character" w:customStyle="1" w:styleId="UnresolvedMention1">
    <w:name w:val="Unresolved Mention1"/>
    <w:basedOn w:val="DefaultParagraphFont"/>
    <w:uiPriority w:val="99"/>
    <w:semiHidden/>
    <w:unhideWhenUsed/>
    <w:rsid w:val="00064921"/>
    <w:rPr>
      <w:color w:val="605E5C"/>
      <w:shd w:val="clear" w:color="auto" w:fill="E1DFDD"/>
    </w:rPr>
  </w:style>
  <w:style w:type="paragraph" w:styleId="FootnoteText">
    <w:name w:val="footnote text"/>
    <w:basedOn w:val="Normal"/>
    <w:link w:val="FootnoteTextChar"/>
    <w:uiPriority w:val="99"/>
    <w:semiHidden/>
    <w:unhideWhenUsed/>
    <w:rsid w:val="006374D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374DA"/>
    <w:rPr>
      <w:sz w:val="20"/>
      <w:szCs w:val="20"/>
    </w:rPr>
  </w:style>
  <w:style w:type="character" w:styleId="FootnoteReference">
    <w:name w:val="footnote reference"/>
    <w:basedOn w:val="DefaultParagraphFont"/>
    <w:uiPriority w:val="99"/>
    <w:semiHidden/>
    <w:unhideWhenUsed/>
    <w:rsid w:val="006374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C2AD3-579D-4B23-9FF1-4A0B35ED9895}">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CVX0049</dc:title>
  <cp:revision>0</cp:revision>
</cp:coreProperties>
</file>