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63AF" w:rsidRPr="001D5EAF" w:rsidP="00A863AF">
      <w:pPr>
        <w:ind w:left="720"/>
        <w:jc w:val="center"/>
        <w:rPr>
          <w:rFonts w:asciiTheme="minorBidi" w:hAnsiTheme="minorBidi"/>
          <w:b/>
          <w:bCs/>
          <w:sz w:val="32"/>
          <w:szCs w:val="32"/>
        </w:rPr>
      </w:pPr>
      <w:bookmarkStart w:id="0" w:name="_faesot6jyns6" w:colFirst="0" w:colLast="0"/>
      <w:bookmarkEnd w:id="0"/>
      <w:r>
        <w:rPr>
          <w:rFonts w:asciiTheme="minorBidi" w:hAnsiTheme="minorBidi"/>
          <w:b/>
          <w:bCs/>
          <w:sz w:val="32"/>
          <w:szCs w:val="32"/>
        </w:rPr>
        <w:t xml:space="preserve">Written Evidence Submitted by </w:t>
      </w:r>
      <w:r w:rsidRPr="00A863AF">
        <w:rPr>
          <w:rFonts w:asciiTheme="minorBidi" w:hAnsiTheme="minorBidi"/>
          <w:b/>
          <w:bCs/>
          <w:sz w:val="32"/>
          <w:szCs w:val="32"/>
        </w:rPr>
        <w:t>WellChild</w:t>
      </w:r>
      <w:r w:rsidRPr="00A863AF">
        <w:rPr>
          <w:rFonts w:asciiTheme="minorBidi" w:hAnsiTheme="minorBidi"/>
          <w:b/>
          <w:bCs/>
          <w:sz w:val="32"/>
          <w:szCs w:val="32"/>
        </w:rPr>
        <w:t xml:space="preserve"> </w:t>
      </w:r>
      <w:r>
        <w:rPr>
          <w:rFonts w:asciiTheme="minorBidi" w:hAnsiTheme="minorBidi"/>
          <w:b/>
          <w:bCs/>
          <w:sz w:val="32"/>
          <w:szCs w:val="32"/>
        </w:rPr>
        <w:t>(</w:t>
      </w:r>
      <w:r w:rsidRPr="001D5EAF">
        <w:rPr>
          <w:rFonts w:asciiTheme="minorBidi" w:hAnsiTheme="minorBidi"/>
          <w:b/>
          <w:bCs/>
          <w:sz w:val="32"/>
          <w:szCs w:val="32"/>
        </w:rPr>
        <w:t>TRN000</w:t>
      </w:r>
      <w:r>
        <w:rPr>
          <w:rFonts w:asciiTheme="minorBidi" w:hAnsiTheme="minorBidi"/>
          <w:b/>
          <w:bCs/>
          <w:sz w:val="32"/>
          <w:szCs w:val="32"/>
        </w:rPr>
        <w:t>4</w:t>
      </w:r>
      <w:r>
        <w:rPr>
          <w:rFonts w:asciiTheme="minorBidi" w:hAnsiTheme="minorBidi"/>
          <w:b/>
          <w:bCs/>
          <w:sz w:val="32"/>
          <w:szCs w:val="32"/>
        </w:rPr>
        <w:t>)</w:t>
      </w:r>
    </w:p>
    <w:p w:rsidR="00A863AF" w:rsidP="00B46098">
      <w:pPr>
        <w:rPr>
          <w:rFonts w:ascii="Arial" w:hAnsi="Arial" w:cs="Arial"/>
          <w:b/>
          <w:bCs/>
          <w:u w:val="single"/>
        </w:rPr>
      </w:pPr>
    </w:p>
    <w:p w:rsidR="00A863AF" w:rsidP="00B46098">
      <w:pPr>
        <w:rPr>
          <w:rFonts w:ascii="Arial" w:hAnsi="Arial" w:cs="Arial"/>
          <w:b/>
          <w:bCs/>
          <w:u w:val="single"/>
        </w:rPr>
      </w:pPr>
    </w:p>
    <w:p w:rsidR="00A863AF" w:rsidP="00B46098">
      <w:pPr>
        <w:rPr>
          <w:rFonts w:ascii="Arial" w:hAnsi="Arial" w:cs="Arial"/>
          <w:b/>
          <w:bCs/>
          <w:u w:val="single"/>
        </w:rPr>
      </w:pPr>
    </w:p>
    <w:p w:rsidR="004F4A57" w:rsidRPr="00E62137" w:rsidP="00B46098">
      <w:pPr>
        <w:rPr>
          <w:rFonts w:ascii="Arial" w:hAnsi="Arial" w:cs="Arial"/>
          <w:b/>
          <w:bCs/>
          <w:u w:val="single"/>
        </w:rPr>
      </w:pPr>
      <w:r w:rsidRPr="00E62137">
        <w:rPr>
          <w:rFonts w:ascii="Arial" w:hAnsi="Arial" w:cs="Arial"/>
          <w:b/>
          <w:bCs/>
          <w:u w:val="single"/>
        </w:rPr>
        <w:t>WellChild</w:t>
      </w:r>
      <w:r w:rsidRPr="00E62137">
        <w:rPr>
          <w:rFonts w:ascii="Arial" w:hAnsi="Arial" w:cs="Arial"/>
          <w:b/>
          <w:bCs/>
          <w:u w:val="single"/>
        </w:rPr>
        <w:t xml:space="preserve"> response, child to adult health and social care transition</w:t>
      </w:r>
    </w:p>
    <w:p w:rsidR="004F4A57" w:rsidRPr="002F3E3E" w:rsidP="00B46098">
      <w:pPr>
        <w:rPr>
          <w:rFonts w:ascii="Arial" w:hAnsi="Arial" w:cs="Arial"/>
        </w:rPr>
      </w:pPr>
      <w:r w:rsidRPr="00DF0D98">
        <w:rPr>
          <w:rFonts w:ascii="Arial" w:hAnsi="Arial" w:cs="Arial"/>
        </w:rPr>
        <w:t>WellChild</w:t>
      </w:r>
      <w:r w:rsidRPr="00DF0D98">
        <w:rPr>
          <w:rFonts w:ascii="Arial" w:hAnsi="Arial" w:cs="Arial"/>
        </w:rPr>
        <w:t xml:space="preserve"> is </w:t>
      </w:r>
      <w:r>
        <w:rPr>
          <w:rFonts w:ascii="Arial" w:hAnsi="Arial" w:cs="Arial"/>
        </w:rPr>
        <w:t>the</w:t>
      </w:r>
      <w:r w:rsidRPr="00DF0D98">
        <w:rPr>
          <w:rFonts w:ascii="Arial" w:hAnsi="Arial" w:cs="Arial"/>
        </w:rPr>
        <w:t xml:space="preserve"> national charity supporting children and young people with serious and complex health needs and their families across the UK. A core part of </w:t>
      </w:r>
      <w:r w:rsidRPr="00DF0D98">
        <w:rPr>
          <w:rFonts w:ascii="Arial" w:hAnsi="Arial" w:cs="Arial"/>
        </w:rPr>
        <w:t>WellChild’s</w:t>
      </w:r>
      <w:r w:rsidRPr="00DF0D98">
        <w:rPr>
          <w:rFonts w:ascii="Arial" w:hAnsi="Arial" w:cs="Arial"/>
        </w:rPr>
        <w:t xml:space="preserve"> work is the </w:t>
      </w:r>
      <w:r w:rsidRPr="00DF0D98">
        <w:rPr>
          <w:rFonts w:ascii="Arial" w:hAnsi="Arial" w:cs="Arial"/>
        </w:rPr>
        <w:t>WellChild</w:t>
      </w:r>
      <w:r w:rsidRPr="00DF0D98">
        <w:rPr>
          <w:rFonts w:ascii="Arial" w:hAnsi="Arial" w:cs="Arial"/>
        </w:rPr>
        <w:t xml:space="preserve"> Nurse programme, which funds and supports specialist children’s nurses embedded within NHS services. These nurses work across community, acute and integrated settings to support children and young people with complex medical needs, including those requiring long</w:t>
      </w:r>
      <w:r w:rsidRPr="00DF0D98">
        <w:rPr>
          <w:rFonts w:ascii="Arial" w:hAnsi="Arial" w:cs="Arial"/>
        </w:rPr>
        <w:noBreakHyphen/>
        <w:t xml:space="preserve">term ventilation, </w:t>
      </w:r>
      <w:r w:rsidRPr="00DF0D98">
        <w:rPr>
          <w:rFonts w:ascii="Arial" w:hAnsi="Arial" w:cs="Arial"/>
        </w:rPr>
        <w:t>neurodisability</w:t>
      </w:r>
      <w:r w:rsidRPr="00DF0D98">
        <w:rPr>
          <w:rFonts w:ascii="Arial" w:hAnsi="Arial" w:cs="Arial"/>
        </w:rPr>
        <w:t xml:space="preserve"> support and palliative care, and to coo</w:t>
      </w:r>
      <w:r w:rsidRPr="00DF0D98">
        <w:rPr>
          <w:rFonts w:ascii="Arial" w:hAnsi="Arial" w:cs="Arial"/>
        </w:rPr>
        <w:t xml:space="preserve">rdinate care across health, social care and education. </w:t>
      </w:r>
      <w:r w:rsidRPr="00DF0D98">
        <w:rPr>
          <w:rFonts w:ascii="Arial" w:hAnsi="Arial" w:cs="Arial"/>
        </w:rPr>
        <w:t>WellChild</w:t>
      </w:r>
      <w:r w:rsidRPr="00DF0D98">
        <w:rPr>
          <w:rFonts w:ascii="Arial" w:hAnsi="Arial" w:cs="Arial"/>
        </w:rPr>
        <w:t xml:space="preserve"> nurses often act as a consistent point of contact for families, advocating for the child or young person, improving coordination between services, and supporting smoother transitions between hospital, community and home. Many nurses also work specifically on transition from </w:t>
      </w:r>
      <w:r w:rsidRPr="00DF0D98">
        <w:rPr>
          <w:rFonts w:ascii="Arial" w:hAnsi="Arial" w:cs="Arial"/>
        </w:rPr>
        <w:t>children’s</w:t>
      </w:r>
      <w:r w:rsidRPr="00DF0D98">
        <w:rPr>
          <w:rFonts w:ascii="Arial" w:hAnsi="Arial" w:cs="Arial"/>
        </w:rPr>
        <w:t xml:space="preserve"> to adult services, contributing frontline expertise to local and national transition discussions and professional networks. Through their direct work with childr</w:t>
      </w:r>
      <w:r w:rsidRPr="00DF0D98">
        <w:rPr>
          <w:rFonts w:ascii="Arial" w:hAnsi="Arial" w:cs="Arial"/>
        </w:rPr>
        <w:t xml:space="preserve">en, young people, families and multidisciplinary professionals, </w:t>
      </w:r>
      <w:r w:rsidRPr="00DF0D98">
        <w:rPr>
          <w:rFonts w:ascii="Arial" w:hAnsi="Arial" w:cs="Arial"/>
        </w:rPr>
        <w:t>WellChild</w:t>
      </w:r>
      <w:r w:rsidRPr="00DF0D98">
        <w:rPr>
          <w:rFonts w:ascii="Arial" w:hAnsi="Arial" w:cs="Arial"/>
        </w:rPr>
        <w:t xml:space="preserve"> nurses have unique insight into how transition policy and guidance is experienced in practice, including the barriers created by fragmented systems, workforce pressures and variation in local provision</w:t>
      </w:r>
      <w:r>
        <w:rPr>
          <w:rFonts w:ascii="Arial" w:hAnsi="Arial" w:cs="Arial"/>
        </w:rPr>
        <w:t xml:space="preserve">. The experience and skills across our UK wide network have </w:t>
      </w:r>
      <w:r>
        <w:rPr>
          <w:rFonts w:ascii="Arial" w:hAnsi="Arial" w:cs="Arial"/>
        </w:rPr>
        <w:t>lead</w:t>
      </w:r>
      <w:r>
        <w:rPr>
          <w:rFonts w:ascii="Arial" w:hAnsi="Arial" w:cs="Arial"/>
        </w:rPr>
        <w:t xml:space="preserve"> to the publication of 8 Principles for Transition </w:t>
      </w:r>
      <w:r>
        <w:fldChar w:fldCharType="begin"/>
      </w:r>
      <w:r>
        <w:instrText xml:space="preserve"> HYPERLINK "https://www.wellchild.org.uk/for-professionals/research-resources/8-principles-for-transition/" </w:instrText>
      </w:r>
      <w:r>
        <w:fldChar w:fldCharType="separate"/>
      </w:r>
      <w:r w:rsidRPr="002F3E3E">
        <w:rPr>
          <w:rStyle w:val="Hyperlink"/>
          <w:rFonts w:ascii="Arial" w:hAnsi="Arial" w:cs="Arial"/>
        </w:rPr>
        <w:t xml:space="preserve">8 Principles for Transition: Guidance | </w:t>
      </w:r>
      <w:r w:rsidRPr="002F3E3E">
        <w:rPr>
          <w:rStyle w:val="Hyperlink"/>
          <w:rFonts w:ascii="Arial" w:hAnsi="Arial" w:cs="Arial"/>
        </w:rPr>
        <w:t>WellChild</w:t>
      </w:r>
      <w:r>
        <w:fldChar w:fldCharType="end"/>
      </w:r>
      <w:r>
        <w:rPr>
          <w:rFonts w:ascii="Arial" w:hAnsi="Arial" w:cs="Arial"/>
        </w:rPr>
        <w:t xml:space="preserve">. </w:t>
      </w:r>
      <w:r w:rsidRPr="00DF0D98">
        <w:rPr>
          <w:rFonts w:ascii="Arial" w:hAnsi="Arial" w:cs="Arial"/>
        </w:rPr>
        <w:t xml:space="preserve">This submission draws on learning and reflections shared by </w:t>
      </w:r>
      <w:r w:rsidRPr="00DF0D98">
        <w:rPr>
          <w:rFonts w:ascii="Arial" w:hAnsi="Arial" w:cs="Arial"/>
        </w:rPr>
        <w:t>WellChild</w:t>
      </w:r>
      <w:r w:rsidRPr="00DF0D98">
        <w:rPr>
          <w:rFonts w:ascii="Arial" w:hAnsi="Arial" w:cs="Arial"/>
        </w:rPr>
        <w:t xml:space="preserve"> nurses through transition subgroup meetings</w:t>
      </w:r>
      <w:r>
        <w:rPr>
          <w:rFonts w:ascii="Arial" w:hAnsi="Arial" w:cs="Arial"/>
        </w:rPr>
        <w:t>, 1-2-1’s</w:t>
      </w:r>
      <w:r w:rsidRPr="00DF0D98">
        <w:rPr>
          <w:rFonts w:ascii="Arial" w:hAnsi="Arial" w:cs="Arial"/>
        </w:rPr>
        <w:t xml:space="preserve"> and professional forums</w:t>
      </w:r>
    </w:p>
    <w:p w:rsidR="004F4A57" w:rsidRPr="00E62137" w:rsidP="00B46098">
      <w:pPr>
        <w:rPr>
          <w:rFonts w:ascii="Arial" w:hAnsi="Arial" w:cs="Arial"/>
          <w:b/>
          <w:bCs/>
        </w:rPr>
      </w:pPr>
      <w:r w:rsidRPr="00E62137">
        <w:rPr>
          <w:rFonts w:ascii="Arial" w:hAnsi="Arial" w:cs="Arial"/>
          <w:b/>
          <w:bCs/>
        </w:rPr>
        <w:t>Focus Area 1: Timeliness and pace of the transition into adult services</w:t>
      </w:r>
    </w:p>
    <w:p w:rsidR="004F4A57" w:rsidRPr="00E62137" w:rsidP="00B46098">
      <w:pPr>
        <w:rPr>
          <w:rFonts w:ascii="Arial" w:hAnsi="Arial" w:cs="Arial"/>
          <w:b/>
          <w:bCs/>
        </w:rPr>
      </w:pPr>
      <w:r w:rsidRPr="00E62137">
        <w:rPr>
          <w:rFonts w:ascii="Arial" w:hAnsi="Arial" w:cs="Arial"/>
          <w:b/>
          <w:bCs/>
        </w:rPr>
        <w:t>Resourcing</w:t>
      </w:r>
    </w:p>
    <w:p w:rsidR="004F4A57" w:rsidRPr="00E62137" w:rsidP="00B46098">
      <w:pPr>
        <w:rPr>
          <w:rFonts w:ascii="Arial" w:hAnsi="Arial" w:cs="Arial"/>
        </w:rPr>
      </w:pPr>
      <w:r w:rsidRPr="00E62137">
        <w:rPr>
          <w:rFonts w:ascii="Arial" w:hAnsi="Arial" w:cs="Arial"/>
        </w:rPr>
        <w:t>WellChild</w:t>
      </w:r>
      <w:r w:rsidRPr="00E62137">
        <w:rPr>
          <w:rFonts w:ascii="Arial" w:hAnsi="Arial" w:cs="Arial"/>
        </w:rPr>
        <w:t xml:space="preserve"> nurses report that early identification of young people who will require transition support is inconsistent and heavily dependent on local systems rather than national expectations. While NICE guidance recommends planning from Year 9, nurses describe limited protected time, fragmented data, and unclear ownership across services as barriers to early planning. There is a strong view that transition requires dedicated coordination capacity, with nurses highlighting the importance of a named professional to tr</w:t>
      </w:r>
      <w:r w:rsidRPr="00E62137">
        <w:rPr>
          <w:rFonts w:ascii="Arial" w:hAnsi="Arial" w:cs="Arial"/>
        </w:rPr>
        <w:t xml:space="preserve">ack upcoming transitions and initiate planning early. Nurses also identified the need for better data on the number of children approaching transition, suggesting that national or regional data collection (e.g. via FOI or routine reporting) would support workforce and service planning. </w:t>
      </w:r>
    </w:p>
    <w:p w:rsidR="004F4A57" w:rsidRPr="00E62137" w:rsidP="00B46098">
      <w:pPr>
        <w:rPr>
          <w:rFonts w:ascii="Arial" w:hAnsi="Arial" w:cs="Arial"/>
          <w:b/>
          <w:bCs/>
        </w:rPr>
      </w:pPr>
      <w:r w:rsidRPr="00E62137">
        <w:rPr>
          <w:rFonts w:ascii="Arial" w:hAnsi="Arial" w:cs="Arial"/>
          <w:b/>
          <w:bCs/>
        </w:rPr>
        <w:t>Effectiveness and implementation</w:t>
      </w:r>
    </w:p>
    <w:p w:rsidR="004F4A57" w:rsidRPr="00E62137" w:rsidP="00B46098">
      <w:pPr>
        <w:rPr>
          <w:rFonts w:ascii="Arial" w:hAnsi="Arial" w:cs="Arial"/>
        </w:rPr>
      </w:pPr>
      <w:r w:rsidRPr="00E62137">
        <w:rPr>
          <w:rFonts w:ascii="Arial" w:hAnsi="Arial" w:cs="Arial"/>
        </w:rPr>
        <w:t>Nurses report that transfers to adult services are frequently characterised by gaps in provision, particularly where adult services are not commissioned on a “like for like” basis. This is most evident for young people with complex health needs, long</w:t>
      </w:r>
      <w:r w:rsidRPr="00E62137">
        <w:rPr>
          <w:rFonts w:ascii="Arial" w:hAnsi="Arial" w:cs="Arial"/>
        </w:rPr>
        <w:noBreakHyphen/>
        <w:t xml:space="preserve">term ventilation, or </w:t>
      </w:r>
      <w:r w:rsidRPr="00E62137">
        <w:rPr>
          <w:rFonts w:ascii="Arial" w:hAnsi="Arial" w:cs="Arial"/>
        </w:rPr>
        <w:t>neurodisability</w:t>
      </w:r>
      <w:r w:rsidRPr="00E62137">
        <w:rPr>
          <w:rFonts w:ascii="Arial" w:hAnsi="Arial" w:cs="Arial"/>
        </w:rPr>
        <w:t xml:space="preserve">. Engagement with adult services is often delayed, leading to what nurses describe as a “cliff edge” at the point of transfer, rather than a phased handover. Monitoring of transition timelines is variable and not consistently embedded within provider performance frameworks. </w:t>
      </w:r>
    </w:p>
    <w:p w:rsidR="004F4A57" w:rsidRPr="00E62137" w:rsidP="00B46098">
      <w:pPr>
        <w:rPr>
          <w:rFonts w:ascii="Arial" w:hAnsi="Arial" w:cs="Arial"/>
          <w:b/>
          <w:bCs/>
        </w:rPr>
      </w:pPr>
      <w:r w:rsidRPr="00E62137">
        <w:rPr>
          <w:rFonts w:ascii="Arial" w:hAnsi="Arial" w:cs="Arial"/>
          <w:b/>
          <w:bCs/>
        </w:rPr>
        <w:t>Impact and outcomes</w:t>
      </w:r>
    </w:p>
    <w:p w:rsidR="004F4A57" w:rsidRPr="00E62137" w:rsidP="00B46098">
      <w:pPr>
        <w:rPr>
          <w:rFonts w:ascii="Arial" w:hAnsi="Arial" w:cs="Arial"/>
        </w:rPr>
      </w:pPr>
      <w:r w:rsidRPr="00E62137">
        <w:rPr>
          <w:rFonts w:ascii="Arial" w:hAnsi="Arial" w:cs="Arial"/>
        </w:rPr>
        <w:t>Where transition planning is late or fragmented, nurses report increased family anxiety, loss of trust in services, and risk of deterioration in health or care arrangements. Conversely, early, strengths</w:t>
      </w:r>
      <w:r w:rsidRPr="00E62137">
        <w:rPr>
          <w:rFonts w:ascii="Arial" w:hAnsi="Arial" w:cs="Arial"/>
        </w:rPr>
        <w:noBreakHyphen/>
        <w:t xml:space="preserve">based conversations - particularly those that focus on aspirations and future independence - are seen to improve engagement and confidence. However, nurses note that such approaches are not consistently prioritised within pressured services. </w:t>
      </w:r>
    </w:p>
    <w:p w:rsidR="004F4A57" w:rsidRPr="00E62137" w:rsidP="00B46098">
      <w:pPr>
        <w:rPr>
          <w:rFonts w:ascii="Arial" w:hAnsi="Arial" w:cs="Arial"/>
          <w:b/>
          <w:bCs/>
        </w:rPr>
      </w:pPr>
      <w:r w:rsidRPr="00E62137">
        <w:rPr>
          <w:rFonts w:ascii="Arial" w:hAnsi="Arial" w:cs="Arial"/>
          <w:b/>
          <w:bCs/>
        </w:rPr>
        <w:t>Focus Area 2: Effectiveness of the transition process and cross</w:t>
      </w:r>
      <w:r w:rsidRPr="00E62137">
        <w:rPr>
          <w:rFonts w:ascii="Arial" w:hAnsi="Arial" w:cs="Arial"/>
          <w:b/>
          <w:bCs/>
        </w:rPr>
        <w:noBreakHyphen/>
        <w:t>service coordination</w:t>
      </w:r>
    </w:p>
    <w:p w:rsidR="004F4A57" w:rsidRPr="00E62137" w:rsidP="00B46098">
      <w:pPr>
        <w:rPr>
          <w:rFonts w:ascii="Arial" w:hAnsi="Arial" w:cs="Arial"/>
          <w:b/>
          <w:bCs/>
        </w:rPr>
      </w:pPr>
      <w:r w:rsidRPr="00E62137">
        <w:rPr>
          <w:rFonts w:ascii="Arial" w:hAnsi="Arial" w:cs="Arial"/>
          <w:b/>
          <w:bCs/>
        </w:rPr>
        <w:t>Resourcing</w:t>
      </w:r>
    </w:p>
    <w:p w:rsidR="004F4A57" w:rsidRPr="00E62137" w:rsidP="00B46098">
      <w:pPr>
        <w:rPr>
          <w:rFonts w:ascii="Arial" w:hAnsi="Arial" w:cs="Arial"/>
        </w:rPr>
      </w:pPr>
      <w:r w:rsidRPr="00E62137">
        <w:rPr>
          <w:rFonts w:ascii="Arial" w:hAnsi="Arial" w:cs="Arial"/>
        </w:rPr>
        <w:t>WellChild</w:t>
      </w:r>
      <w:r w:rsidRPr="00E62137">
        <w:rPr>
          <w:rFonts w:ascii="Arial" w:hAnsi="Arial" w:cs="Arial"/>
        </w:rPr>
        <w:t xml:space="preserve"> nurses consistently highlight that transition spans health, social care, education and housing, yet commissioning and operational structures remain siloed. Effective joint working requires time for relationship</w:t>
      </w:r>
      <w:r w:rsidRPr="00E62137">
        <w:rPr>
          <w:rFonts w:ascii="Arial" w:hAnsi="Arial" w:cs="Arial"/>
        </w:rPr>
        <w:noBreakHyphen/>
        <w:t xml:space="preserve">building across children’s and adult services, which is rarely resourced. Nurses also report that adult services are often not involved early enough to enable meaningful joint planning. </w:t>
      </w:r>
    </w:p>
    <w:p w:rsidR="004F4A57" w:rsidRPr="00E62137" w:rsidP="00B46098">
      <w:pPr>
        <w:rPr>
          <w:rFonts w:ascii="Arial" w:hAnsi="Arial" w:cs="Arial"/>
          <w:b/>
          <w:bCs/>
        </w:rPr>
      </w:pPr>
      <w:r w:rsidRPr="00E62137">
        <w:rPr>
          <w:rFonts w:ascii="Arial" w:hAnsi="Arial" w:cs="Arial"/>
          <w:b/>
          <w:bCs/>
        </w:rPr>
        <w:t>Effectiveness and implementation</w:t>
      </w:r>
    </w:p>
    <w:p w:rsidR="004F4A57" w:rsidRPr="00E62137" w:rsidP="00B46098">
      <w:pPr>
        <w:rPr>
          <w:rFonts w:ascii="Arial" w:hAnsi="Arial" w:cs="Arial"/>
        </w:rPr>
      </w:pPr>
      <w:r w:rsidRPr="00E62137">
        <w:rPr>
          <w:rFonts w:ascii="Arial" w:hAnsi="Arial" w:cs="Arial"/>
        </w:rPr>
        <w:t>Examples of good practice cited by nurses include shared transition pathways, use of established frameworks (e.g. Ready Steady Go),</w:t>
      </w:r>
      <w:r>
        <w:rPr>
          <w:rFonts w:ascii="Arial" w:hAnsi="Arial" w:cs="Arial"/>
        </w:rPr>
        <w:t xml:space="preserve"> </w:t>
      </w:r>
      <w:r>
        <w:rPr>
          <w:rFonts w:ascii="Arial" w:hAnsi="Arial" w:cs="Arial"/>
        </w:rPr>
        <w:t>WellChild’s</w:t>
      </w:r>
      <w:r>
        <w:rPr>
          <w:rFonts w:ascii="Arial" w:hAnsi="Arial" w:cs="Arial"/>
        </w:rPr>
        <w:t xml:space="preserve"> 8 Principles </w:t>
      </w:r>
      <w:r>
        <w:rPr>
          <w:rFonts w:ascii="Arial" w:hAnsi="Arial" w:cs="Arial"/>
        </w:rPr>
        <w:t>for Transition,</w:t>
      </w:r>
      <w:r w:rsidRPr="00E62137">
        <w:rPr>
          <w:rFonts w:ascii="Arial" w:hAnsi="Arial" w:cs="Arial"/>
        </w:rPr>
        <w:t xml:space="preserve"> and clear identification of a lead professional. However, nurses stress that these are not universally adopted and that there is a risk of “reinventing the wheel” rather than building on existing evidence</w:t>
      </w:r>
      <w:r w:rsidRPr="00E62137">
        <w:rPr>
          <w:rFonts w:ascii="Arial" w:hAnsi="Arial" w:cs="Arial"/>
        </w:rPr>
        <w:noBreakHyphen/>
        <w:t xml:space="preserve">based models. Gap analyses across services are not routinely undertaken, and where they exist, nurses report limited visibility of how findings inform commissioning decisions. </w:t>
      </w:r>
    </w:p>
    <w:p w:rsidR="004F4A57" w:rsidRPr="00E62137" w:rsidP="00B46098">
      <w:pPr>
        <w:rPr>
          <w:rFonts w:ascii="Arial" w:hAnsi="Arial" w:cs="Arial"/>
          <w:b/>
          <w:bCs/>
        </w:rPr>
      </w:pPr>
      <w:r w:rsidRPr="00E62137">
        <w:rPr>
          <w:rFonts w:ascii="Arial" w:hAnsi="Arial" w:cs="Arial"/>
          <w:b/>
          <w:bCs/>
        </w:rPr>
        <w:t>Impact and outcomes</w:t>
      </w:r>
    </w:p>
    <w:p w:rsidR="004F4A57" w:rsidRPr="00E62137" w:rsidP="00B46098">
      <w:pPr>
        <w:rPr>
          <w:rFonts w:ascii="Arial" w:hAnsi="Arial" w:cs="Arial"/>
        </w:rPr>
      </w:pPr>
      <w:r w:rsidRPr="00E62137">
        <w:rPr>
          <w:rFonts w:ascii="Arial" w:hAnsi="Arial" w:cs="Arial"/>
        </w:rPr>
        <w:t xml:space="preserve">Poor coordination at transition is reported to result in duplication, delays, and young people falling between eligibility thresholds. Where joint working is effective, nurses describe smoother handovers, clearer accountability, and improved experiences for families. However, such practice is often reliant on individual professional commitment rather than system design. </w:t>
      </w:r>
    </w:p>
    <w:p w:rsidR="004F4A57" w:rsidRPr="00E62137" w:rsidP="00B46098">
      <w:pPr>
        <w:rPr>
          <w:rFonts w:ascii="Arial" w:hAnsi="Arial" w:cs="Arial"/>
          <w:b/>
          <w:bCs/>
        </w:rPr>
      </w:pPr>
      <w:r w:rsidRPr="00E62137">
        <w:rPr>
          <w:rFonts w:ascii="Arial" w:hAnsi="Arial" w:cs="Arial"/>
          <w:b/>
          <w:bCs/>
        </w:rPr>
        <w:t>Focus Area 3: Meaningful involvement of children, young people and their carers</w:t>
      </w:r>
    </w:p>
    <w:p w:rsidR="004F4A57" w:rsidRPr="00E62137" w:rsidP="00B46098">
      <w:pPr>
        <w:rPr>
          <w:rFonts w:ascii="Arial" w:hAnsi="Arial" w:cs="Arial"/>
          <w:b/>
          <w:bCs/>
        </w:rPr>
      </w:pPr>
      <w:r w:rsidRPr="00E62137">
        <w:rPr>
          <w:rFonts w:ascii="Arial" w:hAnsi="Arial" w:cs="Arial"/>
          <w:b/>
          <w:bCs/>
        </w:rPr>
        <w:t>Resourcing</w:t>
      </w:r>
    </w:p>
    <w:p w:rsidR="004F4A57" w:rsidRPr="00E62137" w:rsidP="00B46098">
      <w:pPr>
        <w:rPr>
          <w:rFonts w:ascii="Arial" w:hAnsi="Arial" w:cs="Arial"/>
        </w:rPr>
      </w:pPr>
      <w:r w:rsidRPr="00E62137">
        <w:rPr>
          <w:rFonts w:ascii="Arial" w:hAnsi="Arial" w:cs="Arial"/>
        </w:rPr>
        <w:t>Nurses emphasise that meaningful inv</w:t>
      </w:r>
      <w:r w:rsidRPr="00021DB4">
        <w:rPr>
          <w:rFonts w:ascii="Arial" w:hAnsi="Arial" w:cs="Arial"/>
        </w:rPr>
        <w:t>olvement requires time, accessible information and appropriate tools, which</w:t>
      </w:r>
      <w:r w:rsidRPr="00E62137">
        <w:rPr>
          <w:rFonts w:ascii="Arial" w:hAnsi="Arial" w:cs="Arial"/>
        </w:rPr>
        <w:t xml:space="preserve"> are not always available. Families often report feeling they have limited options or understanding of what transition involves. Nurses suggest that peer support, co</w:t>
      </w:r>
      <w:r w:rsidRPr="00E62137">
        <w:rPr>
          <w:rFonts w:ascii="Arial" w:hAnsi="Arial" w:cs="Arial"/>
        </w:rPr>
        <w:noBreakHyphen/>
        <w:t xml:space="preserve">produced resources, and dedicated transition information would enable greater involvement of young people and carers. </w:t>
      </w:r>
    </w:p>
    <w:p w:rsidR="004F4A57" w:rsidRPr="00E62137" w:rsidP="00B46098">
      <w:pPr>
        <w:rPr>
          <w:rFonts w:ascii="Arial" w:hAnsi="Arial" w:cs="Arial"/>
          <w:b/>
          <w:bCs/>
        </w:rPr>
      </w:pPr>
      <w:r w:rsidRPr="00E62137">
        <w:rPr>
          <w:rFonts w:ascii="Arial" w:hAnsi="Arial" w:cs="Arial"/>
          <w:b/>
          <w:bCs/>
        </w:rPr>
        <w:t>Effectiveness and implementation</w:t>
      </w:r>
    </w:p>
    <w:p w:rsidR="004F4A57" w:rsidRPr="00E62137" w:rsidP="00B46098">
      <w:pPr>
        <w:rPr>
          <w:rFonts w:ascii="Arial" w:hAnsi="Arial" w:cs="Arial"/>
        </w:rPr>
      </w:pPr>
      <w:r w:rsidRPr="00E62137">
        <w:rPr>
          <w:rFonts w:ascii="Arial" w:hAnsi="Arial" w:cs="Arial"/>
        </w:rPr>
        <w:t>WellChild</w:t>
      </w:r>
      <w:r w:rsidRPr="00E62137">
        <w:rPr>
          <w:rFonts w:ascii="Arial" w:hAnsi="Arial" w:cs="Arial"/>
        </w:rPr>
        <w:t xml:space="preserve"> nurses propose practical approaches such as videos of lived experience, transition checklists, healthcare passports, and involving young people and parents directly in transition working groups. They stress the importance of managing expectations, noting that not all nurses work directly with families, and clarity is needed about roles and remits. </w:t>
      </w:r>
    </w:p>
    <w:p w:rsidR="004F4A57" w:rsidRPr="00E62137" w:rsidP="00B46098">
      <w:pPr>
        <w:rPr>
          <w:rFonts w:ascii="Arial" w:hAnsi="Arial" w:cs="Arial"/>
          <w:b/>
          <w:bCs/>
        </w:rPr>
      </w:pPr>
      <w:r w:rsidRPr="00E62137">
        <w:rPr>
          <w:rFonts w:ascii="Arial" w:hAnsi="Arial" w:cs="Arial"/>
          <w:b/>
          <w:bCs/>
        </w:rPr>
        <w:t>Impact and outcomes</w:t>
      </w:r>
    </w:p>
    <w:p w:rsidR="004F4A57" w:rsidRPr="00E62137" w:rsidP="00B46098">
      <w:pPr>
        <w:rPr>
          <w:rFonts w:ascii="Arial" w:hAnsi="Arial" w:cs="Arial"/>
        </w:rPr>
      </w:pPr>
      <w:r w:rsidRPr="00E62137">
        <w:rPr>
          <w:rFonts w:ascii="Arial" w:hAnsi="Arial" w:cs="Arial"/>
        </w:rPr>
        <w:t xml:space="preserve">Where young people and carers are involved early and meaningfully, nurses report improved confidence, better preparation, and more realistic planning. Lack of involvement is associated with disengagement and distress, particularly at points of service change. </w:t>
      </w:r>
    </w:p>
    <w:p w:rsidR="004F4A57" w:rsidRPr="00E62137" w:rsidP="00B46098">
      <w:pPr>
        <w:rPr>
          <w:rFonts w:ascii="Arial" w:hAnsi="Arial" w:cs="Arial"/>
          <w:b/>
          <w:bCs/>
        </w:rPr>
      </w:pPr>
      <w:r w:rsidRPr="00E62137">
        <w:rPr>
          <w:rFonts w:ascii="Arial" w:hAnsi="Arial" w:cs="Arial"/>
          <w:b/>
          <w:bCs/>
        </w:rPr>
        <w:t>Focus Area 4: Workforce and training</w:t>
      </w:r>
    </w:p>
    <w:p w:rsidR="004F4A57" w:rsidRPr="00E62137" w:rsidP="00B46098">
      <w:pPr>
        <w:rPr>
          <w:rFonts w:ascii="Arial" w:hAnsi="Arial" w:cs="Arial"/>
          <w:b/>
          <w:bCs/>
        </w:rPr>
      </w:pPr>
      <w:r w:rsidRPr="00E62137">
        <w:rPr>
          <w:rFonts w:ascii="Arial" w:hAnsi="Arial" w:cs="Arial"/>
          <w:b/>
          <w:bCs/>
        </w:rPr>
        <w:t>Resourcing</w:t>
      </w:r>
    </w:p>
    <w:p w:rsidR="004F4A57" w:rsidRPr="00E62137" w:rsidP="00B46098">
      <w:pPr>
        <w:rPr>
          <w:rFonts w:ascii="Arial" w:hAnsi="Arial" w:cs="Arial"/>
        </w:rPr>
      </w:pPr>
      <w:r w:rsidRPr="00E62137">
        <w:rPr>
          <w:rFonts w:ascii="Arial" w:hAnsi="Arial" w:cs="Arial"/>
        </w:rPr>
        <w:t>Nurses identify gaps in training on adolescent development, transition planning, and adult service systems. Transition work is often an “add</w:t>
      </w:r>
      <w:r w:rsidRPr="00E62137">
        <w:rPr>
          <w:rFonts w:ascii="Arial" w:hAnsi="Arial" w:cs="Arial"/>
        </w:rPr>
        <w:noBreakHyphen/>
        <w:t>on” to existing roles, without protected time or clear accountability. Nurses strongly value peer support through sub</w:t>
      </w:r>
      <w:r w:rsidRPr="00E62137">
        <w:rPr>
          <w:rFonts w:ascii="Arial" w:hAnsi="Arial" w:cs="Arial"/>
        </w:rPr>
        <w:noBreakHyphen/>
        <w:t xml:space="preserve">groups, which help share learning and reduce professional isolation. </w:t>
      </w:r>
    </w:p>
    <w:p w:rsidR="004F4A57" w:rsidRPr="00E62137" w:rsidP="00B46098">
      <w:pPr>
        <w:rPr>
          <w:rFonts w:ascii="Arial" w:hAnsi="Arial" w:cs="Arial"/>
          <w:b/>
          <w:bCs/>
        </w:rPr>
      </w:pPr>
      <w:r w:rsidRPr="00E62137">
        <w:rPr>
          <w:rFonts w:ascii="Arial" w:hAnsi="Arial" w:cs="Arial"/>
          <w:b/>
          <w:bCs/>
        </w:rPr>
        <w:t>Effectiveness and implementation</w:t>
      </w:r>
    </w:p>
    <w:p w:rsidR="004F4A57" w:rsidRPr="00E62137" w:rsidP="00B46098">
      <w:pPr>
        <w:rPr>
          <w:rFonts w:ascii="Arial" w:hAnsi="Arial" w:cs="Arial"/>
        </w:rPr>
      </w:pPr>
      <w:r w:rsidRPr="00E62137">
        <w:rPr>
          <w:rFonts w:ascii="Arial" w:hAnsi="Arial" w:cs="Arial"/>
        </w:rPr>
        <w:t xml:space="preserve">The presence of a named worker is viewed as critical to effective transition, yet this is not consistently available. Nurses also highlight the need for senior leadership to champion transition at a strategic level, as frontline efforts alone cannot overcome systemic barriers. </w:t>
      </w:r>
    </w:p>
    <w:p w:rsidR="004F4A57" w:rsidRPr="00E62137" w:rsidP="00B46098">
      <w:pPr>
        <w:rPr>
          <w:rFonts w:ascii="Arial" w:hAnsi="Arial" w:cs="Arial"/>
          <w:b/>
          <w:bCs/>
        </w:rPr>
      </w:pPr>
      <w:r w:rsidRPr="00E62137">
        <w:rPr>
          <w:rFonts w:ascii="Arial" w:hAnsi="Arial" w:cs="Arial"/>
          <w:b/>
          <w:bCs/>
        </w:rPr>
        <w:t>Impact and outcomes</w:t>
      </w:r>
    </w:p>
    <w:p w:rsidR="004F4A57" w:rsidRPr="00E62137" w:rsidP="00B46098">
      <w:pPr>
        <w:rPr>
          <w:rFonts w:ascii="Arial" w:hAnsi="Arial" w:cs="Arial"/>
        </w:rPr>
      </w:pPr>
      <w:r w:rsidRPr="00E62137">
        <w:rPr>
          <w:rFonts w:ascii="Arial" w:hAnsi="Arial" w:cs="Arial"/>
        </w:rPr>
        <w:t>Where staff lack training or time, transition quality is compromised, increasing risk for young people and stress for families and professionals. Conversely, supported and connected staff are better able to advocate, coordinate, and deliver person</w:t>
      </w:r>
      <w:r w:rsidRPr="00E62137">
        <w:rPr>
          <w:rFonts w:ascii="Arial" w:hAnsi="Arial" w:cs="Arial"/>
        </w:rPr>
        <w:noBreakHyphen/>
        <w:t xml:space="preserve">centred transitions. </w:t>
      </w:r>
    </w:p>
    <w:p w:rsidR="004F4A57" w:rsidRPr="00E62137" w:rsidP="00B46098">
      <w:pPr>
        <w:rPr>
          <w:rFonts w:ascii="Arial" w:hAnsi="Arial" w:cs="Arial"/>
          <w:b/>
          <w:bCs/>
        </w:rPr>
      </w:pPr>
      <w:r w:rsidRPr="00E62137">
        <w:rPr>
          <w:rFonts w:ascii="Arial" w:hAnsi="Arial" w:cs="Arial"/>
          <w:b/>
          <w:bCs/>
        </w:rPr>
        <w:t>Focus Area 5: Enabling developmentally appropriate independence</w:t>
      </w:r>
    </w:p>
    <w:p w:rsidR="004F4A57" w:rsidRPr="00E62137" w:rsidP="00B46098">
      <w:pPr>
        <w:rPr>
          <w:rFonts w:ascii="Arial" w:hAnsi="Arial" w:cs="Arial"/>
        </w:rPr>
      </w:pPr>
      <w:r w:rsidRPr="00E62137">
        <w:rPr>
          <w:rFonts w:ascii="Arial" w:hAnsi="Arial" w:cs="Arial"/>
        </w:rPr>
        <w:t>WellChild</w:t>
      </w:r>
      <w:r w:rsidRPr="00E62137">
        <w:rPr>
          <w:rFonts w:ascii="Arial" w:hAnsi="Arial" w:cs="Arial"/>
        </w:rPr>
        <w:t xml:space="preserve"> nurses emphasise that independence should be framed around </w:t>
      </w:r>
      <w:r w:rsidRPr="00021DB4">
        <w:rPr>
          <w:rFonts w:ascii="Arial" w:hAnsi="Arial" w:cs="Arial"/>
        </w:rPr>
        <w:t xml:space="preserve">developmental readiness rather than chronological age. They report that rigid age </w:t>
      </w:r>
      <w:r w:rsidRPr="00021DB4">
        <w:rPr>
          <w:rFonts w:ascii="Arial" w:hAnsi="Arial" w:cs="Arial"/>
        </w:rPr>
        <w:t>cut</w:t>
      </w:r>
      <w:r w:rsidRPr="00021DB4">
        <w:rPr>
          <w:rFonts w:ascii="Arial" w:hAnsi="Arial" w:cs="Arial"/>
        </w:rPr>
        <w:noBreakHyphen/>
        <w:t>offs do not reflect the realities of young people with complex</w:t>
      </w:r>
      <w:r w:rsidRPr="00E62137">
        <w:rPr>
          <w:rFonts w:ascii="Arial" w:hAnsi="Arial" w:cs="Arial"/>
        </w:rPr>
        <w:t xml:space="preserve"> needs, many of whom will continue to require high levels of support into adulthood. Person</w:t>
      </w:r>
      <w:r w:rsidRPr="00E62137">
        <w:rPr>
          <w:rFonts w:ascii="Arial" w:hAnsi="Arial" w:cs="Arial"/>
        </w:rPr>
        <w:noBreakHyphen/>
        <w:t>centred planning, realistic goal</w:t>
      </w:r>
      <w:r w:rsidRPr="00E62137">
        <w:rPr>
          <w:rFonts w:ascii="Arial" w:hAnsi="Arial" w:cs="Arial"/>
        </w:rPr>
        <w:noBreakHyphen/>
        <w:t xml:space="preserve">setting, and continuity of trusted relationships are seen as key enablers of appropriate independence. </w:t>
      </w:r>
    </w:p>
    <w:p w:rsidR="004F4A57" w:rsidRPr="00E62137" w:rsidP="00B46098">
      <w:pPr>
        <w:rPr>
          <w:rFonts w:ascii="Arial" w:hAnsi="Arial" w:cs="Arial"/>
          <w:b/>
          <w:bCs/>
        </w:rPr>
      </w:pPr>
      <w:r w:rsidRPr="00E62137">
        <w:rPr>
          <w:rFonts w:ascii="Arial" w:hAnsi="Arial" w:cs="Arial"/>
          <w:b/>
          <w:bCs/>
        </w:rPr>
        <w:t>Focus Area 6: Promoting equity across the transition</w:t>
      </w:r>
    </w:p>
    <w:p w:rsidR="004F4A57" w:rsidRPr="00E62137" w:rsidP="00B46098">
      <w:pPr>
        <w:rPr>
          <w:rFonts w:ascii="Arial" w:hAnsi="Arial" w:cs="Arial"/>
        </w:rPr>
      </w:pPr>
      <w:r w:rsidRPr="00E62137">
        <w:rPr>
          <w:rFonts w:ascii="Arial" w:hAnsi="Arial" w:cs="Arial"/>
        </w:rPr>
        <w:t>Nurses highlight significant geographical variation in transition support, contributing to a “postcode lottery”. They stress the need for accessible, youth</w:t>
      </w:r>
      <w:r w:rsidRPr="00E62137">
        <w:rPr>
          <w:rFonts w:ascii="Arial" w:hAnsi="Arial" w:cs="Arial"/>
        </w:rPr>
        <w:noBreakHyphen/>
        <w:t>friendly and culturally appropriate information, and for tools that support different communication needs. Data on outcomes for underserved groups is limited, making it difficult to monitor equity or target improvement. Nurses view improved data collection as essential to promoting equitable transitions.</w:t>
      </w:r>
    </w:p>
    <w:p w:rsidR="004F4A57"/>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46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0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0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098"/>
    <w:rPr>
      <w:rFonts w:eastAsiaTheme="majorEastAsia" w:cstheme="majorBidi"/>
      <w:color w:val="272727" w:themeColor="text1" w:themeTint="D8"/>
    </w:rPr>
  </w:style>
  <w:style w:type="paragraph" w:styleId="Title">
    <w:name w:val="Title"/>
    <w:basedOn w:val="Normal"/>
    <w:next w:val="Normal"/>
    <w:link w:val="TitleChar"/>
    <w:uiPriority w:val="10"/>
    <w:qFormat/>
    <w:rsid w:val="00B46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098"/>
    <w:pPr>
      <w:spacing w:before="160"/>
      <w:jc w:val="center"/>
    </w:pPr>
    <w:rPr>
      <w:i/>
      <w:iCs/>
      <w:color w:val="404040" w:themeColor="text1" w:themeTint="BF"/>
    </w:rPr>
  </w:style>
  <w:style w:type="character" w:customStyle="1" w:styleId="QuoteChar">
    <w:name w:val="Quote Char"/>
    <w:basedOn w:val="DefaultParagraphFont"/>
    <w:link w:val="Quote"/>
    <w:uiPriority w:val="29"/>
    <w:rsid w:val="00B46098"/>
    <w:rPr>
      <w:i/>
      <w:iCs/>
      <w:color w:val="404040" w:themeColor="text1" w:themeTint="BF"/>
    </w:rPr>
  </w:style>
  <w:style w:type="paragraph" w:styleId="ListParagraph">
    <w:name w:val="List Paragraph"/>
    <w:basedOn w:val="Normal"/>
    <w:uiPriority w:val="34"/>
    <w:qFormat/>
    <w:rsid w:val="00B46098"/>
    <w:pPr>
      <w:ind w:left="720"/>
      <w:contextualSpacing/>
    </w:pPr>
  </w:style>
  <w:style w:type="character" w:styleId="IntenseEmphasis">
    <w:name w:val="Intense Emphasis"/>
    <w:basedOn w:val="DefaultParagraphFont"/>
    <w:uiPriority w:val="21"/>
    <w:qFormat/>
    <w:rsid w:val="00B46098"/>
    <w:rPr>
      <w:i/>
      <w:iCs/>
      <w:color w:val="0F4761" w:themeColor="accent1" w:themeShade="BF"/>
    </w:rPr>
  </w:style>
  <w:style w:type="paragraph" w:styleId="IntenseQuote">
    <w:name w:val="Intense Quote"/>
    <w:basedOn w:val="Normal"/>
    <w:next w:val="Normal"/>
    <w:link w:val="IntenseQuoteChar"/>
    <w:uiPriority w:val="30"/>
    <w:qFormat/>
    <w:rsid w:val="00B46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098"/>
    <w:rPr>
      <w:i/>
      <w:iCs/>
      <w:color w:val="0F4761" w:themeColor="accent1" w:themeShade="BF"/>
    </w:rPr>
  </w:style>
  <w:style w:type="character" w:styleId="IntenseReference">
    <w:name w:val="Intense Reference"/>
    <w:basedOn w:val="DefaultParagraphFont"/>
    <w:uiPriority w:val="32"/>
    <w:qFormat/>
    <w:rsid w:val="00B46098"/>
    <w:rPr>
      <w:b/>
      <w:bCs/>
      <w:smallCaps/>
      <w:color w:val="0F4761" w:themeColor="accent1" w:themeShade="BF"/>
      <w:spacing w:val="5"/>
    </w:rPr>
  </w:style>
  <w:style w:type="character" w:styleId="Hyperlink">
    <w:name w:val="Hyperlink"/>
    <w:basedOn w:val="DefaultParagraphFont"/>
    <w:uiPriority w:val="99"/>
    <w:unhideWhenUsed/>
    <w:rsid w:val="00B46098"/>
    <w:rPr>
      <w:color w:val="467886" w:themeColor="hyperlink"/>
      <w:u w:val="single"/>
    </w:rPr>
  </w:style>
  <w:style w:type="character" w:customStyle="1" w:styleId="UnresolvedMention1">
    <w:name w:val="Unresolved Mention1"/>
    <w:basedOn w:val="DefaultParagraphFont"/>
    <w:uiPriority w:val="99"/>
    <w:semiHidden/>
    <w:unhideWhenUsed/>
    <w:rsid w:val="00B460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TRN0004</dc:title>
  <cp:revision>0</cp:revision>
</cp:coreProperties>
</file>