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25C9" w:rsidRPr="001D5EAF" w:rsidP="007725C9">
      <w:pPr>
        <w:ind w:left="720"/>
        <w:jc w:val="center"/>
        <w:rPr>
          <w:rFonts w:asciiTheme="minorBidi" w:hAnsiTheme="minorBidi"/>
          <w:b/>
          <w:bCs/>
          <w:sz w:val="32"/>
          <w:szCs w:val="32"/>
        </w:rPr>
      </w:pPr>
      <w:bookmarkStart w:id="0" w:name="_faesot6jyns6" w:colFirst="0" w:colLast="0"/>
      <w:bookmarkEnd w:id="0"/>
      <w:r>
        <w:rPr>
          <w:rFonts w:asciiTheme="minorBidi" w:hAnsiTheme="minorBidi"/>
          <w:b/>
          <w:bCs/>
          <w:sz w:val="32"/>
          <w:szCs w:val="32"/>
        </w:rPr>
        <w:t xml:space="preserve">Written Evidence Submitted by </w:t>
      </w:r>
      <w:r w:rsidRPr="00854FAB">
        <w:rPr>
          <w:rFonts w:asciiTheme="minorBidi" w:hAnsiTheme="minorBidi"/>
          <w:b/>
          <w:bCs/>
          <w:sz w:val="32"/>
          <w:szCs w:val="32"/>
        </w:rPr>
        <w:t>FairGo</w:t>
      </w:r>
      <w:r w:rsidRPr="00854FAB">
        <w:rPr>
          <w:rFonts w:asciiTheme="minorBidi" w:hAnsiTheme="minorBidi"/>
          <w:b/>
          <w:bCs/>
          <w:sz w:val="32"/>
          <w:szCs w:val="32"/>
        </w:rPr>
        <w:t xml:space="preserve"> CIC</w:t>
      </w:r>
      <w:r>
        <w:rPr>
          <w:rFonts w:asciiTheme="minorBidi" w:hAnsiTheme="minorBidi"/>
          <w:b/>
          <w:bCs/>
          <w:sz w:val="32"/>
          <w:szCs w:val="32"/>
        </w:rPr>
        <w:t xml:space="preserve"> (</w:t>
      </w:r>
      <w:r w:rsidRPr="001D5EAF">
        <w:rPr>
          <w:rFonts w:asciiTheme="minorBidi" w:hAnsiTheme="minorBidi"/>
          <w:b/>
          <w:bCs/>
          <w:sz w:val="32"/>
          <w:szCs w:val="32"/>
        </w:rPr>
        <w:t>TRN000</w:t>
      </w:r>
      <w:r>
        <w:rPr>
          <w:rFonts w:asciiTheme="minorBidi" w:hAnsiTheme="minorBidi"/>
          <w:b/>
          <w:bCs/>
          <w:sz w:val="32"/>
          <w:szCs w:val="32"/>
        </w:rPr>
        <w:t>3</w:t>
      </w:r>
      <w:r>
        <w:rPr>
          <w:rFonts w:asciiTheme="minorBidi" w:hAnsiTheme="minorBidi"/>
          <w:b/>
          <w:bCs/>
          <w:sz w:val="32"/>
          <w:szCs w:val="32"/>
        </w:rPr>
        <w:t>)</w:t>
      </w:r>
    </w:p>
    <w:p w:rsidR="007725C9">
      <w:pPr>
        <w:pStyle w:val="Heading2"/>
        <w:keepNext w:val="0"/>
        <w:keepLines w:val="0"/>
        <w:spacing w:after="80"/>
        <w:rPr>
          <w:b/>
          <w:bCs/>
          <w:sz w:val="26"/>
          <w:szCs w:val="26"/>
        </w:rPr>
      </w:pPr>
    </w:p>
    <w:p w:rsidR="00AC5C81">
      <w:pPr>
        <w:pStyle w:val="Heading2"/>
        <w:keepNext w:val="0"/>
        <w:keepLines w:val="0"/>
        <w:spacing w:after="80"/>
        <w:rPr>
          <w:b/>
          <w:bCs/>
          <w:sz w:val="26"/>
          <w:szCs w:val="26"/>
        </w:rPr>
      </w:pPr>
      <w:r>
        <w:rPr>
          <w:b/>
          <w:bCs/>
          <w:sz w:val="26"/>
          <w:szCs w:val="26"/>
        </w:rPr>
        <w:t>1) One-page briefing</w:t>
      </w:r>
    </w:p>
    <w:p w:rsidR="00AC5C81">
      <w:pPr>
        <w:spacing w:before="240" w:after="240" w:line="240" w:lineRule="auto"/>
      </w:pPr>
      <w:r>
        <w:rPr>
          <w:b/>
          <w:bCs/>
        </w:rPr>
        <w:t>Submitter:</w:t>
      </w:r>
      <w:r>
        <w:t xml:space="preserve"> Hleb Buziuk, independent public policy and governance researcher. This submission is based on published evidence only and does not represent a provider, commissioner or advocacy organisation.</w:t>
      </w:r>
    </w:p>
    <w:p w:rsidR="00AC5C81">
      <w:pPr>
        <w:spacing w:before="240" w:after="240" w:line="240" w:lineRule="auto"/>
        <w:rPr>
          <w:b/>
          <w:bCs/>
        </w:rPr>
      </w:pPr>
      <w:r>
        <w:rPr>
          <w:b/>
          <w:bCs/>
        </w:rPr>
        <w:t>Three key messages</w:t>
      </w:r>
    </w:p>
    <w:p w:rsidR="00AC5C81">
      <w:pPr>
        <w:numPr>
          <w:ilvl w:val="0"/>
          <w:numId w:val="15"/>
        </w:numPr>
        <w:spacing w:before="240" w:line="240" w:lineRule="auto"/>
      </w:pPr>
      <w:r>
        <w:t>The main national frameworks are already reasonably specific. They expect early planning, coordinated plans, named workers, adult-service contact before transfer, and continuity where adult care is not yet in place [1] [2] [3] [4].</w:t>
      </w:r>
    </w:p>
    <w:p w:rsidR="00AC5C81">
      <w:pPr>
        <w:numPr>
          <w:ilvl w:val="0"/>
          <w:numId w:val="15"/>
        </w:numPr>
        <w:spacing w:line="240" w:lineRule="auto"/>
      </w:pPr>
      <w:r>
        <w:t>A central implementation risk is not simply a late transfer date. It is a missing or weak receiving pathway in adult services, especially where thresholds are tighter or no adult specialty exists [5] [6] [7].</w:t>
      </w:r>
    </w:p>
    <w:p w:rsidR="00AC5C81">
      <w:pPr>
        <w:numPr>
          <w:ilvl w:val="0"/>
          <w:numId w:val="15"/>
        </w:numPr>
        <w:spacing w:after="240" w:line="240" w:lineRule="auto"/>
      </w:pPr>
      <w:r>
        <w:t>“Independence” should not mean unsupported self-management. The best-supported design features are adult-team contact before transfer, support for health self-efficacy, and parent or carer involvement calibrated to the young person’s wishes and needs [8].</w:t>
      </w:r>
    </w:p>
    <w:p w:rsidR="00AC5C81">
      <w:pPr>
        <w:spacing w:before="240" w:after="240" w:line="240" w:lineRule="auto"/>
        <w:rPr>
          <w:b/>
          <w:bCs/>
        </w:rPr>
      </w:pPr>
      <w:r>
        <w:rPr>
          <w:b/>
          <w:bCs/>
        </w:rPr>
        <w:t>Key findings</w:t>
      </w:r>
    </w:p>
    <w:p w:rsidR="00AC5C81">
      <w:pPr>
        <w:numPr>
          <w:ilvl w:val="0"/>
          <w:numId w:val="4"/>
        </w:numPr>
        <w:spacing w:before="240" w:line="240" w:lineRule="auto"/>
      </w:pPr>
      <w:r>
        <w:t>Transition should be judged by continuity and pathway readiness, not by whether a file moved at 18. NICE and the Care Act point to a “no gap” standard, but inspection, audit and mental health research show the practical risk where adult provision is unclear [1] [3] [5] [6] [7].</w:t>
      </w:r>
    </w:p>
    <w:p w:rsidR="00AC5C81">
      <w:pPr>
        <w:numPr>
          <w:ilvl w:val="0"/>
          <w:numId w:val="4"/>
        </w:numPr>
        <w:spacing w:line="240" w:lineRule="auto"/>
      </w:pPr>
      <w:r>
        <w:t>Named workers are a design safeguard only if they have protected time, cross-service authority and adult-side continuity. Otherwise, the role can become a label rather than a mechanism [1] [4] [6].</w:t>
      </w:r>
    </w:p>
    <w:p w:rsidR="00AC5C81">
      <w:pPr>
        <w:numPr>
          <w:ilvl w:val="0"/>
          <w:numId w:val="4"/>
        </w:numPr>
        <w:spacing w:line="240" w:lineRule="auto"/>
      </w:pPr>
      <w:r>
        <w:t>For care leavers, health and mental health planning should sit inside the same adulthood-planning process as housing, education, employment and support networks [1] [2] [9].</w:t>
      </w:r>
    </w:p>
    <w:p w:rsidR="00AC5C81">
      <w:pPr>
        <w:numPr>
          <w:ilvl w:val="0"/>
          <w:numId w:val="4"/>
        </w:numPr>
        <w:spacing w:after="240" w:line="240" w:lineRule="auto"/>
      </w:pPr>
      <w:r>
        <w:t>Experience signal: official care-leaver research and ombudsman casework suggest the recurring friction is abruptness, uncertainty and families having to bridge gaps. This is experience and casework evidence, not prevalence [9] [10].</w:t>
      </w:r>
    </w:p>
    <w:p w:rsidR="00AC5C81">
      <w:pPr>
        <w:spacing w:before="240" w:after="240" w:line="240" w:lineRule="auto"/>
        <w:rPr>
          <w:b/>
          <w:bCs/>
        </w:rPr>
      </w:pPr>
      <w:r>
        <w:rPr>
          <w:b/>
          <w:bCs/>
        </w:rPr>
        <w:t>Recommendations</w:t>
      </w:r>
    </w:p>
    <w:p w:rsidR="00AC5C81">
      <w:pPr>
        <w:numPr>
          <w:ilvl w:val="0"/>
          <w:numId w:val="12"/>
        </w:numPr>
        <w:spacing w:before="240" w:line="240" w:lineRule="auto"/>
      </w:pPr>
      <w:r>
        <w:rPr>
          <w:b/>
          <w:bCs/>
        </w:rPr>
        <w:t>Committee, at evidence sessions:</w:t>
      </w:r>
      <w:r>
        <w:t xml:space="preserve"> ask witnesses to define a completed transition as either a file transfer, first adult contact, or functioning continuity without a gap.</w:t>
      </w:r>
    </w:p>
    <w:p w:rsidR="00AC5C81">
      <w:pPr>
        <w:numPr>
          <w:ilvl w:val="0"/>
          <w:numId w:val="12"/>
        </w:numPr>
        <w:spacing w:line="240" w:lineRule="auto"/>
      </w:pPr>
      <w:r>
        <w:rPr>
          <w:b/>
          <w:bCs/>
        </w:rPr>
        <w:t>Government and national bodies, within guidance and accountability work:</w:t>
      </w:r>
      <w:r>
        <w:t xml:space="preserve"> test whether local systems record a named receiving service or explicit fallback for each young person identified as likely to need transition planning.</w:t>
      </w:r>
    </w:p>
    <w:p w:rsidR="00AC5C81">
      <w:pPr>
        <w:numPr>
          <w:ilvl w:val="0"/>
          <w:numId w:val="12"/>
        </w:numPr>
        <w:spacing w:line="240" w:lineRule="auto"/>
      </w:pPr>
      <w:r>
        <w:rPr>
          <w:b/>
          <w:bCs/>
        </w:rPr>
        <w:t>ICBs, local authorities and providers:</w:t>
      </w:r>
      <w:r>
        <w:t xml:space="preserve"> treat adult-team contact, self-efficacy support and agreed carer involvement as core pathway features, not optional good practice.</w:t>
      </w:r>
    </w:p>
    <w:p w:rsidR="00AC5C81">
      <w:pPr>
        <w:numPr>
          <w:ilvl w:val="0"/>
          <w:numId w:val="12"/>
        </w:numPr>
        <w:spacing w:after="240" w:line="240" w:lineRule="auto"/>
      </w:pPr>
      <w:r>
        <w:rPr>
          <w:b/>
          <w:bCs/>
        </w:rPr>
        <w:t>Local authorities and partners:</w:t>
      </w:r>
      <w:r>
        <w:t xml:space="preserve"> ensure Pathway Plans for care leavers include named health and mental health actions, not only accommodation and finance.</w:t>
      </w:r>
    </w:p>
    <w:p w:rsidR="00AC5C81">
      <w:pPr>
        <w:spacing w:before="240" w:after="240" w:line="240" w:lineRule="auto"/>
        <w:rPr>
          <w:b/>
          <w:bCs/>
        </w:rPr>
      </w:pPr>
      <w:r>
        <w:rPr>
          <w:b/>
          <w:bCs/>
        </w:rPr>
        <w:t>What is new compared with official sources</w:t>
      </w:r>
    </w:p>
    <w:p w:rsidR="00AC5C81">
      <w:pPr>
        <w:numPr>
          <w:ilvl w:val="0"/>
          <w:numId w:val="3"/>
        </w:numPr>
        <w:spacing w:before="240" w:line="240" w:lineRule="auto"/>
      </w:pPr>
      <w:r>
        <w:t>A policy-salient failure mode is “no adult route”, not simply “late transfer” [5] [6] [7].</w:t>
      </w:r>
    </w:p>
    <w:p w:rsidR="00AC5C81">
      <w:pPr>
        <w:numPr>
          <w:ilvl w:val="0"/>
          <w:numId w:val="3"/>
        </w:numPr>
        <w:spacing w:line="240" w:lineRule="auto"/>
      </w:pPr>
      <w:r>
        <w:t>A named worker without time, authority and adult-service engagement is unlikely to change outcomes [1] [4] [6].</w:t>
      </w:r>
    </w:p>
    <w:p w:rsidR="00AC5C81">
      <w:pPr>
        <w:numPr>
          <w:ilvl w:val="0"/>
          <w:numId w:val="3"/>
        </w:numPr>
        <w:spacing w:after="240" w:line="240" w:lineRule="auto"/>
      </w:pPr>
      <w:r>
        <w:t xml:space="preserve">Primary care can support </w:t>
      </w:r>
      <w:r>
        <w:t>continuity, but</w:t>
      </w:r>
      <w:r>
        <w:t xml:space="preserve"> should not be used to disguise an </w:t>
      </w:r>
      <w:r>
        <w:t>uncommissioned</w:t>
      </w:r>
      <w:r>
        <w:t xml:space="preserve"> specialist gap [1] [7].</w:t>
      </w:r>
    </w:p>
    <w:p w:rsidR="00AC5C81">
      <w:pPr>
        <w:spacing w:before="240" w:after="240" w:line="240" w:lineRule="auto"/>
      </w:pPr>
      <w:r>
        <w:t>Methods are summarised in section 3. Proportionate indicators are in section 7, and suggested hearing questions are in section 9.</w:t>
      </w:r>
    </w:p>
    <w:p w:rsidR="00AC5C81">
      <w:pPr>
        <w:pStyle w:val="Heading2"/>
        <w:keepNext w:val="0"/>
        <w:keepLines w:val="0"/>
        <w:spacing w:after="80"/>
        <w:rPr>
          <w:b/>
          <w:bCs/>
          <w:sz w:val="26"/>
          <w:szCs w:val="26"/>
        </w:rPr>
      </w:pPr>
      <w:bookmarkStart w:id="1" w:name="_wqhkd0drhf8k" w:colFirst="0" w:colLast="0"/>
      <w:bookmarkEnd w:id="1"/>
      <w:r>
        <w:rPr>
          <w:b/>
          <w:bCs/>
          <w:sz w:val="26"/>
          <w:szCs w:val="26"/>
        </w:rPr>
        <w:t>2) About</w:t>
      </w:r>
    </w:p>
    <w:p w:rsidR="00AC5C81">
      <w:pPr>
        <w:spacing w:before="240" w:after="240" w:line="240" w:lineRule="auto"/>
      </w:pPr>
      <w:r>
        <w:t>I am an independent public policy and governance researcher. I have focused this submission on evidence that is relevant to the Panel’s questions and suitable for parliamentary scrutiny. I do not submit individual case material and have avoided identifying details.</w:t>
      </w:r>
    </w:p>
    <w:p w:rsidR="00AC5C81">
      <w:pPr>
        <w:pStyle w:val="Heading2"/>
        <w:keepNext w:val="0"/>
        <w:keepLines w:val="0"/>
        <w:spacing w:after="80"/>
        <w:rPr>
          <w:b/>
          <w:bCs/>
          <w:sz w:val="26"/>
          <w:szCs w:val="26"/>
        </w:rPr>
      </w:pPr>
      <w:bookmarkStart w:id="2" w:name="_3e4cmbjosh2b" w:colFirst="0" w:colLast="0"/>
      <w:bookmarkEnd w:id="2"/>
      <w:r>
        <w:rPr>
          <w:b/>
          <w:bCs/>
          <w:sz w:val="26"/>
          <w:szCs w:val="26"/>
        </w:rPr>
        <w:t>3) Methods, sources, limitations</w:t>
      </w:r>
    </w:p>
    <w:p w:rsidR="00AC5C81">
      <w:pPr>
        <w:spacing w:before="240" w:after="240" w:line="240" w:lineRule="auto"/>
      </w:pPr>
      <w:r>
        <w:t>I reviewed published legislation, statutory and national guidance, inspectorate evidence, national audit, longitudinal research, mental health transition research, official care-leaver research and ombudsman casework.</w:t>
      </w:r>
    </w:p>
    <w:p w:rsidR="00AC5C81">
      <w:pPr>
        <w:spacing w:before="240" w:after="240" w:line="240" w:lineRule="auto"/>
      </w:pPr>
      <w:r>
        <w:t>The evidence answers different types of question. NICE, statute and NHS England guidance set expected practice. Inspectorate and audit evidence help assess implementation. Longitudinal research gives some evidence on service features associated with better outcomes. Official casework and care-leaver research help explain experience and failure modes, but do not estimate prevalence.</w:t>
      </w:r>
    </w:p>
    <w:p w:rsidR="00AC5C81">
      <w:pPr>
        <w:spacing w:before="240" w:after="240" w:line="240" w:lineRule="auto"/>
      </w:pPr>
      <w:r>
        <w:t>Lived experience sources are used only where their method is transparent. Ombudsman cases are single investigated cases. They are useful for practical learning, not for judging how common a problem is.</w:t>
      </w:r>
    </w:p>
    <w:p w:rsidR="00AC5C81">
      <w:pPr>
        <w:spacing w:before="240" w:after="240" w:line="240" w:lineRule="auto"/>
      </w:pPr>
      <w:r>
        <w:t>No parliamentary testimony is used as outcome or prevalence evidence in this submission.</w:t>
      </w:r>
    </w:p>
    <w:p w:rsidR="00AC5C81">
      <w:pPr>
        <w:spacing w:before="240" w:after="240" w:line="240" w:lineRule="auto"/>
      </w:pPr>
      <w:r>
        <w:t>A limitation is that there is no single national linked dataset showing the whole transition journey across children’s services, adult health, social care, primary care, leaving-care support and wider adulthood outcomes.</w:t>
      </w:r>
    </w:p>
    <w:p w:rsidR="00AC5C81">
      <w:pPr>
        <w:pStyle w:val="Heading2"/>
        <w:keepNext w:val="0"/>
        <w:keepLines w:val="0"/>
        <w:spacing w:after="80"/>
        <w:rPr>
          <w:b/>
          <w:bCs/>
          <w:sz w:val="26"/>
          <w:szCs w:val="26"/>
        </w:rPr>
      </w:pPr>
      <w:bookmarkStart w:id="3" w:name="_o5lqfrsvvffp" w:colFirst="0" w:colLast="0"/>
      <w:bookmarkEnd w:id="3"/>
      <w:r>
        <w:rPr>
          <w:b/>
          <w:bCs/>
          <w:sz w:val="26"/>
          <w:szCs w:val="26"/>
        </w:rPr>
        <w:t>4) Context</w:t>
      </w:r>
    </w:p>
    <w:p w:rsidR="00AC5C81">
      <w:pPr>
        <w:spacing w:before="240" w:after="240" w:line="240" w:lineRule="auto"/>
      </w:pPr>
      <w:r>
        <w:t>The Expert Panel is evaluating 15 statements of intent across six areas: timeliness, coordination, involvement, workforce, developmentally appropriate independence and equity [11]. This submission treats the practical policy levers as England-focused because the grid relies on England legislation, NICE guidance, SEND guidance, OHID standards and NHS England material.</w:t>
      </w:r>
    </w:p>
    <w:p w:rsidR="00AC5C81">
      <w:pPr>
        <w:spacing w:before="240" w:after="240" w:line="240" w:lineRule="auto"/>
      </w:pPr>
      <w:r>
        <w:t xml:space="preserve">The central policy distinction is between </w:t>
      </w:r>
      <w:r>
        <w:rPr>
          <w:b/>
          <w:bCs/>
        </w:rPr>
        <w:t>transition</w:t>
      </w:r>
      <w:r>
        <w:t xml:space="preserve">, a planned process before and after transfer, and </w:t>
      </w:r>
      <w:r>
        <w:rPr>
          <w:b/>
          <w:bCs/>
        </w:rPr>
        <w:t>transfer</w:t>
      </w:r>
      <w:r>
        <w:t>, the administrative or clinical handover event. Performance measures that focus only on transfer risk missing the young person’s experience of continuity.</w:t>
      </w:r>
    </w:p>
    <w:p w:rsidR="00AC5C81">
      <w:pPr>
        <w:pStyle w:val="Heading2"/>
        <w:keepNext w:val="0"/>
        <w:keepLines w:val="0"/>
        <w:spacing w:after="80"/>
        <w:rPr>
          <w:b/>
          <w:bCs/>
          <w:sz w:val="26"/>
          <w:szCs w:val="26"/>
        </w:rPr>
      </w:pPr>
      <w:bookmarkStart w:id="4" w:name="_3jbeazqbrhv2" w:colFirst="0" w:colLast="0"/>
      <w:bookmarkEnd w:id="4"/>
      <w:r>
        <w:rPr>
          <w:b/>
          <w:bCs/>
          <w:sz w:val="26"/>
          <w:szCs w:val="26"/>
        </w:rPr>
        <w:t>5) Evidence mapped to theme clusters</w:t>
      </w:r>
    </w:p>
    <w:p w:rsidR="00AC5C81">
      <w:pPr>
        <w:pStyle w:val="Heading3"/>
        <w:keepNext w:val="0"/>
        <w:keepLines w:val="0"/>
        <w:spacing w:before="280"/>
        <w:rPr>
          <w:b/>
          <w:bCs/>
          <w:color w:val="000000"/>
          <w:sz w:val="24"/>
          <w:szCs w:val="24"/>
        </w:rPr>
      </w:pPr>
      <w:bookmarkStart w:id="5" w:name="_47b16vps11lj" w:colFirst="0" w:colLast="0"/>
      <w:bookmarkEnd w:id="5"/>
      <w:r>
        <w:rPr>
          <w:b/>
          <w:bCs/>
          <w:color w:val="000000"/>
          <w:sz w:val="24"/>
          <w:szCs w:val="24"/>
        </w:rPr>
        <w:t>5.1 Early planning, eligibility and continuity at transfer</w:t>
      </w:r>
    </w:p>
    <w:p w:rsidR="00AC5C81">
      <w:pPr>
        <w:spacing w:before="240" w:after="240" w:line="240" w:lineRule="auto"/>
      </w:pPr>
      <w:r>
        <w:t>The expected standard is early, needs-based planning and no avoidable gap where the young person is likely to need adult care or support. NICE quality standards point to planning from Year 9 or immediately after later entry, and the Care Act provides continuity protections where adult arrangements are not yet in place [1] [3]. CQC’s 2022 themed review and later official casework show why the legal design matters in practice: uncertainty at 18 can shift burden onto families and delay support [10] [12].</w:t>
      </w:r>
    </w:p>
    <w:p w:rsidR="00AC5C81">
      <w:pPr>
        <w:numPr>
          <w:ilvl w:val="0"/>
          <w:numId w:val="6"/>
        </w:numPr>
        <w:spacing w:before="240" w:line="240" w:lineRule="auto"/>
      </w:pPr>
      <w:r>
        <w:t xml:space="preserve">The design parameter is a </w:t>
      </w:r>
      <w:r>
        <w:rPr>
          <w:b/>
          <w:bCs/>
        </w:rPr>
        <w:t>transfer trigger rule</w:t>
      </w:r>
      <w:r>
        <w:t>: planning should start by a defined point and adjust to individual need, rather than waiting for an age cut-off.</w:t>
      </w:r>
    </w:p>
    <w:p w:rsidR="00AC5C81">
      <w:pPr>
        <w:numPr>
          <w:ilvl w:val="0"/>
          <w:numId w:val="6"/>
        </w:numPr>
        <w:spacing w:line="240" w:lineRule="auto"/>
      </w:pPr>
      <w:r>
        <w:t>Conditions: early identification, shared records, local authority assessment capacity and adult-service visibility.</w:t>
      </w:r>
    </w:p>
    <w:p w:rsidR="00AC5C81">
      <w:pPr>
        <w:numPr>
          <w:ilvl w:val="0"/>
          <w:numId w:val="6"/>
        </w:numPr>
        <w:spacing w:after="240" w:line="240" w:lineRule="auto"/>
      </w:pPr>
      <w:r>
        <w:t>Failure mode: children’s provision stops before adult provision is ready.</w:t>
      </w:r>
    </w:p>
    <w:p w:rsidR="00AC5C81">
      <w:pPr>
        <w:spacing w:before="240" w:after="240" w:line="240" w:lineRule="auto"/>
      </w:pPr>
      <w:r>
        <w:t>A-OFFICIAL) Illustrative vignette (officially reported case): an ombudsman investigation found delayed transition assessment and direct payments stopping before adult arrangements were in place. This illustrates a continuity failure mode, not how often such failures occur [10].</w:t>
      </w:r>
    </w:p>
    <w:p w:rsidR="00AC5C81">
      <w:pPr>
        <w:pStyle w:val="Heading3"/>
        <w:keepNext w:val="0"/>
        <w:keepLines w:val="0"/>
        <w:spacing w:before="280"/>
        <w:rPr>
          <w:b/>
          <w:bCs/>
          <w:color w:val="000000"/>
          <w:sz w:val="24"/>
          <w:szCs w:val="24"/>
        </w:rPr>
      </w:pPr>
      <w:bookmarkStart w:id="6" w:name="_n44l2ai5nx64" w:colFirst="0" w:colLast="0"/>
      <w:bookmarkEnd w:id="6"/>
      <w:r>
        <w:rPr>
          <w:b/>
          <w:bCs/>
          <w:color w:val="000000"/>
          <w:sz w:val="24"/>
          <w:szCs w:val="24"/>
        </w:rPr>
        <w:t>5.2 Joint commissioning, gap analysis and receiving pathways</w:t>
      </w:r>
    </w:p>
    <w:p w:rsidR="00AC5C81">
      <w:pPr>
        <w:spacing w:before="240" w:after="240" w:line="240" w:lineRule="auto"/>
      </w:pPr>
      <w:r>
        <w:t>An important implementation issue is whether there is a real receiving pathway. The Panel’s grid asks about gap analysis for young people who do not meet adult criteria, whose needs sit between services, or for whom no adult service exists [11]. Ofsted/CQC found uneven preparation-for-adulthood arrangements for young people with SEND, while NCEPOD and TRACK show how weak adult routes, poor information transfer and limited joint working can undermine transition [5] [6] [7].</w:t>
      </w:r>
    </w:p>
    <w:p w:rsidR="00AC5C81">
      <w:pPr>
        <w:numPr>
          <w:ilvl w:val="0"/>
          <w:numId w:val="17"/>
        </w:numPr>
        <w:spacing w:before="240" w:line="240" w:lineRule="auto"/>
      </w:pPr>
      <w:r>
        <w:t xml:space="preserve">The design parameter is a </w:t>
      </w:r>
      <w:r>
        <w:rPr>
          <w:b/>
          <w:bCs/>
        </w:rPr>
        <w:t>receiving-pathway rule</w:t>
      </w:r>
      <w:r>
        <w:t>: each plan should name the adult service or the managed fallback.</w:t>
      </w:r>
    </w:p>
    <w:p w:rsidR="00AC5C81">
      <w:pPr>
        <w:numPr>
          <w:ilvl w:val="0"/>
          <w:numId w:val="17"/>
        </w:numPr>
        <w:spacing w:line="240" w:lineRule="auto"/>
      </w:pPr>
      <w:r>
        <w:t>Conditions: joint commissioning, adult-service capacity, GP role clarity and escalation when adult acceptance is delayed.</w:t>
      </w:r>
    </w:p>
    <w:p w:rsidR="00AC5C81">
      <w:pPr>
        <w:numPr>
          <w:ilvl w:val="0"/>
          <w:numId w:val="17"/>
        </w:numPr>
        <w:spacing w:line="240" w:lineRule="auto"/>
      </w:pPr>
      <w:r>
        <w:t>Failure mode: GP handover is counted as success even where specialist need remains.</w:t>
      </w:r>
    </w:p>
    <w:p w:rsidR="00AC5C81">
      <w:pPr>
        <w:numPr>
          <w:ilvl w:val="0"/>
          <w:numId w:val="17"/>
        </w:numPr>
        <w:spacing w:after="240" w:line="240" w:lineRule="auto"/>
      </w:pPr>
      <w:r>
        <w:t xml:space="preserve">Trade-off: primary care may be appropriate for some young </w:t>
      </w:r>
      <w:r>
        <w:t>people, but</w:t>
      </w:r>
      <w:r>
        <w:t xml:space="preserve"> should not be used as a substitute for a missing adult pathway.</w:t>
      </w:r>
    </w:p>
    <w:p w:rsidR="00AC5C81">
      <w:pPr>
        <w:pStyle w:val="Heading3"/>
        <w:keepNext w:val="0"/>
        <w:keepLines w:val="0"/>
        <w:spacing w:before="280"/>
        <w:rPr>
          <w:b/>
          <w:bCs/>
          <w:color w:val="000000"/>
          <w:sz w:val="24"/>
          <w:szCs w:val="24"/>
        </w:rPr>
      </w:pPr>
      <w:bookmarkStart w:id="7" w:name="_mzasvlp3jy70" w:colFirst="0" w:colLast="0"/>
      <w:bookmarkEnd w:id="7"/>
      <w:r>
        <w:rPr>
          <w:b/>
          <w:bCs/>
          <w:color w:val="000000"/>
          <w:sz w:val="24"/>
          <w:szCs w:val="24"/>
        </w:rPr>
        <w:t>5.3 Participation, communication and equity</w:t>
      </w:r>
    </w:p>
    <w:p w:rsidR="00AC5C81">
      <w:pPr>
        <w:spacing w:before="240" w:after="240" w:line="240" w:lineRule="auto"/>
      </w:pPr>
      <w:r>
        <w:t>Meaningful involvement is not only consultation. It requires accessible information, communication tools, adult-service contact, and a clear agreement about parent or carer involvement. NICE and NHS England guidance support this, and the SEND Code reinforces participation for children and young people with SEND [1] [4] [13]. OHID’s youth-friendly standards add practical expectations on accessible, age-appropriate information [14].</w:t>
      </w:r>
    </w:p>
    <w:p w:rsidR="00AC5C81">
      <w:pPr>
        <w:numPr>
          <w:ilvl w:val="0"/>
          <w:numId w:val="10"/>
        </w:numPr>
        <w:spacing w:before="240" w:line="240" w:lineRule="auto"/>
      </w:pPr>
      <w:r>
        <w:t xml:space="preserve">The design parameter is a </w:t>
      </w:r>
      <w:r>
        <w:rPr>
          <w:b/>
          <w:bCs/>
        </w:rPr>
        <w:t>participation rule</w:t>
      </w:r>
      <w:r>
        <w:t>: record the young person’s wishes, communication needs, agreed carer role and adult-team contact.</w:t>
      </w:r>
    </w:p>
    <w:p w:rsidR="00AC5C81">
      <w:pPr>
        <w:numPr>
          <w:ilvl w:val="0"/>
          <w:numId w:val="10"/>
        </w:numPr>
        <w:spacing w:line="240" w:lineRule="auto"/>
      </w:pPr>
      <w:r>
        <w:t>Conditions: accessible materials, advocacy, communication passports or equivalent tools, and culturally competent staff.</w:t>
      </w:r>
    </w:p>
    <w:p w:rsidR="00AC5C81">
      <w:pPr>
        <w:numPr>
          <w:ilvl w:val="0"/>
          <w:numId w:val="10"/>
        </w:numPr>
        <w:spacing w:line="240" w:lineRule="auto"/>
      </w:pPr>
      <w:r>
        <w:t>Failure mode: a plan records “views sought” without showing how communication support changed the decision.</w:t>
      </w:r>
    </w:p>
    <w:p w:rsidR="00AC5C81">
      <w:pPr>
        <w:numPr>
          <w:ilvl w:val="0"/>
          <w:numId w:val="10"/>
        </w:numPr>
        <w:spacing w:after="240" w:line="240" w:lineRule="auto"/>
      </w:pPr>
      <w:r>
        <w:t>Equity risk: young people with communication needs may be formally included but not substantively heard.</w:t>
      </w:r>
    </w:p>
    <w:p w:rsidR="00AC5C81">
      <w:pPr>
        <w:pStyle w:val="Heading3"/>
        <w:keepNext w:val="0"/>
        <w:keepLines w:val="0"/>
        <w:spacing w:before="280"/>
        <w:rPr>
          <w:b/>
          <w:bCs/>
          <w:color w:val="000000"/>
          <w:sz w:val="24"/>
          <w:szCs w:val="24"/>
        </w:rPr>
      </w:pPr>
      <w:bookmarkStart w:id="8" w:name="_d644xqvjpa64" w:colFirst="0" w:colLast="0"/>
      <w:bookmarkEnd w:id="8"/>
      <w:r>
        <w:rPr>
          <w:b/>
          <w:bCs/>
          <w:color w:val="000000"/>
          <w:sz w:val="24"/>
          <w:szCs w:val="24"/>
        </w:rPr>
        <w:t>5.4 Workforce capability, named roles and strategic ownership</w:t>
      </w:r>
    </w:p>
    <w:p w:rsidR="00AC5C81">
      <w:pPr>
        <w:spacing w:before="240" w:after="240" w:line="240" w:lineRule="auto"/>
      </w:pPr>
      <w:r>
        <w:t>The named worker is important, but only as part of an operating model. NICE expects a named worker before, during and after transfer, and NHS England’s 2026 guidance sets out proposed actions for ICBs, providers and clinical teams [1] [4]. NCEPOD found workforce and organisational variation, including limited access to key workers and weak embedding of transition responsibilities in job plans [6].</w:t>
      </w:r>
    </w:p>
    <w:p w:rsidR="00AC5C81">
      <w:pPr>
        <w:numPr>
          <w:ilvl w:val="0"/>
          <w:numId w:val="2"/>
        </w:numPr>
        <w:spacing w:before="240" w:line="240" w:lineRule="auto"/>
      </w:pPr>
      <w:r>
        <w:t xml:space="preserve">The design parameter is a </w:t>
      </w:r>
      <w:r>
        <w:rPr>
          <w:b/>
          <w:bCs/>
        </w:rPr>
        <w:t>co-ordinator capacity rule</w:t>
      </w:r>
      <w:r>
        <w:t>: caseload, protected time, adult counterpart and escalation authority should be visible.</w:t>
      </w:r>
    </w:p>
    <w:p w:rsidR="00AC5C81">
      <w:pPr>
        <w:numPr>
          <w:ilvl w:val="0"/>
          <w:numId w:val="2"/>
        </w:numPr>
        <w:spacing w:line="240" w:lineRule="auto"/>
      </w:pPr>
      <w:r>
        <w:t>Conditions: executive ownership, staff training, role clarity and adult-service participation.</w:t>
      </w:r>
    </w:p>
    <w:p w:rsidR="00AC5C81">
      <w:pPr>
        <w:numPr>
          <w:ilvl w:val="0"/>
          <w:numId w:val="2"/>
        </w:numPr>
        <w:spacing w:line="240" w:lineRule="auto"/>
      </w:pPr>
      <w:r>
        <w:t>Failure mode: the named person becomes responsible for chasing gaps they cannot resolve.</w:t>
      </w:r>
    </w:p>
    <w:p w:rsidR="00AC5C81">
      <w:pPr>
        <w:numPr>
          <w:ilvl w:val="0"/>
          <w:numId w:val="2"/>
        </w:numPr>
        <w:spacing w:after="240" w:line="240" w:lineRule="auto"/>
      </w:pPr>
      <w:r>
        <w:t>Equity risk: families with more capacity to chase may secure smoother continuity than those with less advocacy resource. This is a design risk rather than a prevalence claim.</w:t>
      </w:r>
    </w:p>
    <w:p w:rsidR="00AC5C81">
      <w:pPr>
        <w:pStyle w:val="Heading3"/>
        <w:keepNext w:val="0"/>
        <w:keepLines w:val="0"/>
        <w:spacing w:before="280"/>
        <w:rPr>
          <w:b/>
          <w:bCs/>
          <w:color w:val="000000"/>
          <w:sz w:val="24"/>
          <w:szCs w:val="24"/>
        </w:rPr>
      </w:pPr>
      <w:bookmarkStart w:id="9" w:name="_xqb5ialh2836" w:colFirst="0" w:colLast="0"/>
      <w:bookmarkEnd w:id="9"/>
      <w:r>
        <w:rPr>
          <w:b/>
          <w:bCs/>
          <w:color w:val="000000"/>
          <w:sz w:val="24"/>
          <w:szCs w:val="24"/>
        </w:rPr>
        <w:t>5.5 Developmentally appropriate independence and care-leaver pathways</w:t>
      </w:r>
    </w:p>
    <w:p w:rsidR="00AC5C81">
      <w:pPr>
        <w:spacing w:before="240" w:after="240" w:line="240" w:lineRule="auto"/>
      </w:pPr>
      <w:r>
        <w:t>Developmentally appropriate independence should mean supported adulthood, not a sudden transfer of risk to the young person. The NIHR transition programme found three features most consistently associated with better outcomes: meeting the adult team before transfer, promoting confidence in managing health, and appropriate parent involvement [8]. NICE also expects transition support to address education, employment, community inclusion, health and wellbeing, independent living and housing [2].</w:t>
      </w:r>
    </w:p>
    <w:p w:rsidR="00AC5C81">
      <w:pPr>
        <w:spacing w:before="240" w:after="240" w:line="240" w:lineRule="auto"/>
      </w:pPr>
      <w:r>
        <w:t>For care leavers, Ofsted’s research shows the importance of timely personal adviser involvement, participation in planning and clarity on mental health support [9]. This evidence is self-report and interview-based, but it aligns with the policy expectation that health and mental health sit within wider Pathway Plans.</w:t>
      </w:r>
    </w:p>
    <w:p w:rsidR="00AC5C81">
      <w:pPr>
        <w:numPr>
          <w:ilvl w:val="0"/>
          <w:numId w:val="11"/>
        </w:numPr>
        <w:spacing w:before="240" w:line="240" w:lineRule="auto"/>
      </w:pPr>
      <w:r>
        <w:t xml:space="preserve">The design parameter is an </w:t>
      </w:r>
      <w:r>
        <w:rPr>
          <w:b/>
          <w:bCs/>
        </w:rPr>
        <w:t>integrated adulthood-planning rule</w:t>
      </w:r>
      <w:r>
        <w:t>: health, mental health, housing and education or employment should not be parallel plans.</w:t>
      </w:r>
    </w:p>
    <w:p w:rsidR="00AC5C81">
      <w:pPr>
        <w:numPr>
          <w:ilvl w:val="0"/>
          <w:numId w:val="11"/>
        </w:numPr>
        <w:spacing w:line="240" w:lineRule="auto"/>
      </w:pPr>
      <w:r>
        <w:t>Conditions: personal adviser timing, health input into Pathway Plans, and accessible routes to mental health support.</w:t>
      </w:r>
    </w:p>
    <w:p w:rsidR="00AC5C81">
      <w:pPr>
        <w:numPr>
          <w:ilvl w:val="0"/>
          <w:numId w:val="11"/>
        </w:numPr>
        <w:spacing w:after="240" w:line="240" w:lineRule="auto"/>
      </w:pPr>
      <w:r>
        <w:t>Failure mode: “independence” is treated as withdrawal of relational support.</w:t>
      </w:r>
    </w:p>
    <w:p w:rsidR="00AC5C81">
      <w:pPr>
        <w:pStyle w:val="Heading2"/>
        <w:keepNext w:val="0"/>
        <w:keepLines w:val="0"/>
        <w:spacing w:after="80"/>
        <w:rPr>
          <w:b/>
          <w:bCs/>
          <w:sz w:val="26"/>
          <w:szCs w:val="26"/>
        </w:rPr>
      </w:pPr>
      <w:bookmarkStart w:id="10" w:name="_66c2wfnooifv" w:colFirst="0" w:colLast="0"/>
      <w:bookmarkEnd w:id="10"/>
      <w:r>
        <w:rPr>
          <w:b/>
          <w:bCs/>
          <w:sz w:val="26"/>
          <w:szCs w:val="26"/>
        </w:rPr>
        <w:t>6) Recommendations</w:t>
      </w:r>
    </w:p>
    <w:p w:rsidR="00AC5C81">
      <w:pPr>
        <w:spacing w:before="240" w:after="240" w:line="240" w:lineRule="auto"/>
        <w:rPr>
          <w:b/>
          <w:bCs/>
        </w:rPr>
      </w:pPr>
      <w:r>
        <w:rPr>
          <w:b/>
          <w:bCs/>
        </w:rPr>
        <w:t>Committee levers</w:t>
      </w:r>
    </w:p>
    <w:p w:rsidR="00AC5C81">
      <w:pPr>
        <w:numPr>
          <w:ilvl w:val="0"/>
          <w:numId w:val="5"/>
        </w:numPr>
        <w:spacing w:before="240" w:line="240" w:lineRule="auto"/>
      </w:pPr>
      <w:r>
        <w:t>Ask the Government and national bodies to define what “managed without gaps” means in evaluative terms: not only transfer date, but adult contact, named receiving route and continuity after transfer.</w:t>
      </w:r>
    </w:p>
    <w:p w:rsidR="00AC5C81">
      <w:pPr>
        <w:numPr>
          <w:ilvl w:val="0"/>
          <w:numId w:val="5"/>
        </w:numPr>
        <w:spacing w:line="240" w:lineRule="auto"/>
      </w:pPr>
      <w:r>
        <w:t>Ask for evidence that gap analyses are acted on, especially for young people below adult thresholds or without an equivalent adult specialty.</w:t>
      </w:r>
    </w:p>
    <w:p w:rsidR="00AC5C81">
      <w:pPr>
        <w:numPr>
          <w:ilvl w:val="0"/>
          <w:numId w:val="5"/>
        </w:numPr>
        <w:spacing w:after="240" w:line="240" w:lineRule="auto"/>
      </w:pPr>
      <w:r>
        <w:t>Ask whether workforce plans include protected time and authority for named workers, rather than counting role allocation alone.</w:t>
      </w:r>
    </w:p>
    <w:p w:rsidR="00AC5C81">
      <w:pPr>
        <w:spacing w:before="240" w:after="240" w:line="240" w:lineRule="auto"/>
        <w:rPr>
          <w:b/>
          <w:bCs/>
        </w:rPr>
      </w:pPr>
      <w:r>
        <w:rPr>
          <w:b/>
          <w:bCs/>
        </w:rPr>
        <w:t>Delivery actions for local systems</w:t>
      </w:r>
    </w:p>
    <w:p w:rsidR="00AC5C81">
      <w:pPr>
        <w:numPr>
          <w:ilvl w:val="0"/>
          <w:numId w:val="8"/>
        </w:numPr>
        <w:spacing w:before="240" w:line="240" w:lineRule="auto"/>
      </w:pPr>
      <w:r>
        <w:t xml:space="preserve">ICBs, local authorities and providers should require every transition plan, where relevant to the young person’s needs, to </w:t>
      </w:r>
      <w:r>
        <w:t>show:</w:t>
      </w:r>
      <w:r>
        <w:t xml:space="preserve"> planning start date, named co-ordinator, named receiving service or fallback, adult-team contact, and escalation route.</w:t>
      </w:r>
    </w:p>
    <w:p w:rsidR="00AC5C81">
      <w:pPr>
        <w:numPr>
          <w:ilvl w:val="0"/>
          <w:numId w:val="8"/>
        </w:numPr>
        <w:spacing w:after="240" w:line="240" w:lineRule="auto"/>
      </w:pPr>
      <w:r>
        <w:t>Local authorities should audit whether care-leaver Pathway Plans include named health and mental health actions and routes to support.</w:t>
      </w:r>
    </w:p>
    <w:p w:rsidR="00AC5C81">
      <w:pPr>
        <w:spacing w:before="240" w:after="240" w:line="240" w:lineRule="auto"/>
        <w:rPr>
          <w:b/>
          <w:bCs/>
        </w:rPr>
      </w:pPr>
      <w:r>
        <w:rPr>
          <w:b/>
          <w:bCs/>
        </w:rPr>
        <w:t>Sequencing</w:t>
      </w:r>
    </w:p>
    <w:p w:rsidR="00AC5C81">
      <w:pPr>
        <w:numPr>
          <w:ilvl w:val="0"/>
          <w:numId w:val="14"/>
        </w:numPr>
        <w:spacing w:before="240" w:line="240" w:lineRule="auto"/>
      </w:pPr>
      <w:r>
        <w:t>Identify the cohort early.</w:t>
      </w:r>
    </w:p>
    <w:p w:rsidR="00AC5C81">
      <w:pPr>
        <w:numPr>
          <w:ilvl w:val="0"/>
          <w:numId w:val="14"/>
        </w:numPr>
        <w:spacing w:line="240" w:lineRule="auto"/>
      </w:pPr>
      <w:r>
        <w:t>Confirm adult route or managed fallback before transfer.</w:t>
      </w:r>
    </w:p>
    <w:p w:rsidR="00AC5C81">
      <w:pPr>
        <w:numPr>
          <w:ilvl w:val="0"/>
          <w:numId w:val="14"/>
        </w:numPr>
        <w:spacing w:line="240" w:lineRule="auto"/>
      </w:pPr>
      <w:r>
        <w:t>Assign co-ordination with capacity and escalation authority.</w:t>
      </w:r>
    </w:p>
    <w:p w:rsidR="00AC5C81">
      <w:pPr>
        <w:numPr>
          <w:ilvl w:val="0"/>
          <w:numId w:val="14"/>
        </w:numPr>
        <w:spacing w:after="240" w:line="240" w:lineRule="auto"/>
      </w:pPr>
      <w:r>
        <w:t>Review first adult contact and continuity after transfer.</w:t>
      </w:r>
    </w:p>
    <w:p w:rsidR="00AC5C81">
      <w:pPr>
        <w:spacing w:before="240" w:after="240" w:line="240" w:lineRule="auto"/>
        <w:rPr>
          <w:b/>
          <w:bCs/>
        </w:rPr>
      </w:pPr>
      <w:r>
        <w:rPr>
          <w:b/>
          <w:bCs/>
        </w:rPr>
        <w:t>Trade-offs and safeguards</w:t>
      </w:r>
    </w:p>
    <w:p w:rsidR="00AC5C81">
      <w:pPr>
        <w:numPr>
          <w:ilvl w:val="0"/>
          <w:numId w:val="9"/>
        </w:numPr>
        <w:spacing w:before="240" w:line="240" w:lineRule="auto"/>
      </w:pPr>
      <w:r>
        <w:t xml:space="preserve">A needs-based transfer point is preferable to rigid age transfer, but it needs visible </w:t>
      </w:r>
      <w:r>
        <w:t>accountability</w:t>
      </w:r>
      <w:r>
        <w:t xml:space="preserve"> so delay is not disguised as flexibility.</w:t>
      </w:r>
    </w:p>
    <w:p w:rsidR="00AC5C81">
      <w:pPr>
        <w:numPr>
          <w:ilvl w:val="0"/>
          <w:numId w:val="9"/>
        </w:numPr>
        <w:spacing w:line="240" w:lineRule="auto"/>
      </w:pPr>
      <w:r>
        <w:t>GP involvement can be good continuity, but it should be distinguished from absence of a commissioned adult pathway.</w:t>
      </w:r>
    </w:p>
    <w:p w:rsidR="00AC5C81">
      <w:pPr>
        <w:numPr>
          <w:ilvl w:val="0"/>
          <w:numId w:val="9"/>
        </w:numPr>
        <w:spacing w:after="240" w:line="240" w:lineRule="auto"/>
      </w:pPr>
      <w:r>
        <w:t>Indicators should not create perverse incentives to record transition as complete before adult support is functioning.</w:t>
      </w:r>
    </w:p>
    <w:p w:rsidR="00AC5C81">
      <w:pPr>
        <w:pStyle w:val="Heading2"/>
        <w:keepNext w:val="0"/>
        <w:keepLines w:val="0"/>
        <w:spacing w:after="80"/>
        <w:rPr>
          <w:b/>
          <w:bCs/>
          <w:sz w:val="26"/>
          <w:szCs w:val="26"/>
        </w:rPr>
      </w:pPr>
      <w:bookmarkStart w:id="11" w:name="_xwja6264zn6j" w:colFirst="0" w:colLast="0"/>
      <w:bookmarkEnd w:id="11"/>
      <w:r>
        <w:rPr>
          <w:b/>
          <w:bCs/>
          <w:sz w:val="26"/>
          <w:szCs w:val="26"/>
        </w:rPr>
        <w:t>7) Learning and evidence strengthening (proportional)</w:t>
      </w:r>
    </w:p>
    <w:p w:rsidR="00AC5C81">
      <w:pPr>
        <w:spacing w:before="240" w:after="240" w:line="240" w:lineRule="auto"/>
        <w:rPr>
          <w:b/>
          <w:bCs/>
        </w:rPr>
      </w:pPr>
      <w:r>
        <w:rPr>
          <w:b/>
          <w:bCs/>
        </w:rPr>
        <w:t>Suggested indicators</w:t>
      </w:r>
    </w:p>
    <w:p w:rsidR="00AC5C81">
      <w:pPr>
        <w:numPr>
          <w:ilvl w:val="0"/>
          <w:numId w:val="13"/>
        </w:numPr>
        <w:spacing w:before="240" w:line="240" w:lineRule="auto"/>
      </w:pPr>
      <w:r>
        <w:t>Proportion of young people identified as likely to need transition planning whose planning starts by Year 9, or within three months of later entry.</w:t>
      </w:r>
    </w:p>
    <w:p w:rsidR="00AC5C81">
      <w:pPr>
        <w:numPr>
          <w:ilvl w:val="0"/>
          <w:numId w:val="13"/>
        </w:numPr>
        <w:spacing w:line="240" w:lineRule="auto"/>
      </w:pPr>
      <w:r>
        <w:t>Proportion with a shared plan showing named co-ordinator, named receiving service or managed fallback.</w:t>
      </w:r>
    </w:p>
    <w:p w:rsidR="00AC5C81">
      <w:pPr>
        <w:numPr>
          <w:ilvl w:val="0"/>
          <w:numId w:val="13"/>
        </w:numPr>
        <w:spacing w:after="240" w:line="240" w:lineRule="auto"/>
      </w:pPr>
      <w:r>
        <w:t>Proportion with no gap in support after transfer, for example no unplanned break between children’s and adult support where continuing support is assessed as needed, with available breakdowns by SEND, care experience and protected characteristics.</w:t>
      </w:r>
    </w:p>
    <w:p w:rsidR="00AC5C81">
      <w:pPr>
        <w:spacing w:before="240" w:after="240" w:line="240" w:lineRule="auto"/>
      </w:pPr>
      <w:r>
        <w:rPr>
          <w:b/>
          <w:bCs/>
        </w:rPr>
        <w:t>Learning question:</w:t>
      </w:r>
      <w:r>
        <w:t xml:space="preserve"> what denominator is used locally for “young people identified as likely to need transition planning”, and what share start planning on time?</w:t>
      </w:r>
    </w:p>
    <w:p w:rsidR="00AC5C81">
      <w:pPr>
        <w:spacing w:before="240" w:after="240" w:line="240" w:lineRule="auto"/>
      </w:pPr>
      <w:r>
        <w:rPr>
          <w:b/>
          <w:bCs/>
        </w:rPr>
        <w:t>Learning question:</w:t>
      </w:r>
      <w:r>
        <w:t xml:space="preserve"> what share reach adult services with a named receiving team, and what share move to GP-only or community fallback because no adult service exists or thresholds are not met?</w:t>
      </w:r>
    </w:p>
    <w:p w:rsidR="00AC5C81">
      <w:pPr>
        <w:spacing w:before="240" w:after="240" w:line="240" w:lineRule="auto"/>
      </w:pPr>
      <w:r>
        <w:rPr>
          <w:b/>
          <w:bCs/>
        </w:rPr>
        <w:t>Learning question:</w:t>
      </w:r>
      <w:r>
        <w:t xml:space="preserve"> what </w:t>
      </w:r>
      <w:r>
        <w:t>are</w:t>
      </w:r>
      <w:r>
        <w:t xml:space="preserve"> actual training uptake, protected time and caseloads for named workers and executive leads?</w:t>
      </w:r>
    </w:p>
    <w:p w:rsidR="00AC5C81">
      <w:pPr>
        <w:spacing w:before="240" w:after="240" w:line="240" w:lineRule="auto"/>
      </w:pPr>
      <w:r>
        <w:rPr>
          <w:b/>
          <w:bCs/>
        </w:rPr>
        <w:t>Learning question:</w:t>
      </w:r>
      <w:r>
        <w:t xml:space="preserve"> what equity splits are available by protected characteristic, SEND, care experience and intersections, while avoiding disclosure through small numbers?</w:t>
      </w:r>
    </w:p>
    <w:p w:rsidR="00AC5C81">
      <w:pPr>
        <w:pStyle w:val="Heading2"/>
        <w:keepNext w:val="0"/>
        <w:keepLines w:val="0"/>
        <w:spacing w:after="80"/>
        <w:rPr>
          <w:b/>
          <w:bCs/>
          <w:sz w:val="26"/>
          <w:szCs w:val="26"/>
        </w:rPr>
      </w:pPr>
      <w:bookmarkStart w:id="12" w:name="_61vgwc9iwajw" w:colFirst="0" w:colLast="0"/>
      <w:bookmarkEnd w:id="12"/>
      <w:r>
        <w:rPr>
          <w:b/>
          <w:bCs/>
          <w:sz w:val="26"/>
          <w:szCs w:val="26"/>
        </w:rPr>
        <w:t>8) Policy logic model, design parameters, dependencies and ethics</w:t>
      </w:r>
    </w:p>
    <w:p w:rsidR="00AC5C81">
      <w:pPr>
        <w:spacing w:before="240" w:after="240" w:line="240" w:lineRule="auto"/>
      </w:pPr>
      <w:r>
        <w:t>A workable transition model would:</w:t>
      </w:r>
    </w:p>
    <w:p w:rsidR="00AC5C81">
      <w:pPr>
        <w:numPr>
          <w:ilvl w:val="0"/>
          <w:numId w:val="16"/>
        </w:numPr>
        <w:spacing w:before="240" w:line="240" w:lineRule="auto"/>
      </w:pPr>
      <w:r>
        <w:t>identify young people likely to need adult support early;</w:t>
      </w:r>
    </w:p>
    <w:p w:rsidR="00AC5C81">
      <w:pPr>
        <w:numPr>
          <w:ilvl w:val="0"/>
          <w:numId w:val="16"/>
        </w:numPr>
        <w:spacing w:line="240" w:lineRule="auto"/>
      </w:pPr>
      <w:r>
        <w:t>start planning while there is still time to build confidence and adjust support;</w:t>
      </w:r>
    </w:p>
    <w:p w:rsidR="00AC5C81">
      <w:pPr>
        <w:numPr>
          <w:ilvl w:val="0"/>
          <w:numId w:val="16"/>
        </w:numPr>
        <w:spacing w:line="240" w:lineRule="auto"/>
      </w:pPr>
      <w:r>
        <w:t>assess adult care and support needs before children’s support stops;</w:t>
      </w:r>
    </w:p>
    <w:p w:rsidR="00AC5C81">
      <w:pPr>
        <w:numPr>
          <w:ilvl w:val="0"/>
          <w:numId w:val="16"/>
        </w:numPr>
        <w:spacing w:line="240" w:lineRule="auto"/>
      </w:pPr>
      <w:r>
        <w:t>name the receiving service or managed fallback;</w:t>
      </w:r>
    </w:p>
    <w:p w:rsidR="00AC5C81">
      <w:pPr>
        <w:numPr>
          <w:ilvl w:val="0"/>
          <w:numId w:val="16"/>
        </w:numPr>
        <w:spacing w:line="240" w:lineRule="auto"/>
      </w:pPr>
      <w:r>
        <w:t>give the young person accessible information and communication support;</w:t>
      </w:r>
    </w:p>
    <w:p w:rsidR="00AC5C81">
      <w:pPr>
        <w:numPr>
          <w:ilvl w:val="0"/>
          <w:numId w:val="16"/>
        </w:numPr>
        <w:spacing w:line="240" w:lineRule="auto"/>
      </w:pPr>
      <w:r>
        <w:t>agree the role of parents or carers with the young person;</w:t>
      </w:r>
    </w:p>
    <w:p w:rsidR="00AC5C81">
      <w:pPr>
        <w:numPr>
          <w:ilvl w:val="0"/>
          <w:numId w:val="16"/>
        </w:numPr>
        <w:spacing w:line="240" w:lineRule="auto"/>
      </w:pPr>
      <w:r>
        <w:t>involve the adult team before transfer where relevant;</w:t>
      </w:r>
    </w:p>
    <w:p w:rsidR="00AC5C81">
      <w:pPr>
        <w:numPr>
          <w:ilvl w:val="0"/>
          <w:numId w:val="16"/>
        </w:numPr>
        <w:spacing w:line="240" w:lineRule="auto"/>
      </w:pPr>
      <w:r>
        <w:t>keep support active after transfer until engagement is secure;</w:t>
      </w:r>
    </w:p>
    <w:p w:rsidR="00AC5C81">
      <w:pPr>
        <w:numPr>
          <w:ilvl w:val="0"/>
          <w:numId w:val="16"/>
        </w:numPr>
        <w:spacing w:line="240" w:lineRule="auto"/>
      </w:pPr>
      <w:r>
        <w:t>include health and mental health in Pathway Plans for care leavers;</w:t>
      </w:r>
    </w:p>
    <w:p w:rsidR="00AC5C81">
      <w:pPr>
        <w:numPr>
          <w:ilvl w:val="0"/>
          <w:numId w:val="16"/>
        </w:numPr>
        <w:spacing w:after="240" w:line="240" w:lineRule="auto"/>
      </w:pPr>
      <w:r>
        <w:t>review outcomes by pathway and equity group, using aggregation where needed to protect privacy.</w:t>
      </w:r>
    </w:p>
    <w:p w:rsidR="00AC5C81">
      <w:pPr>
        <w:spacing w:before="240" w:after="240" w:line="240" w:lineRule="auto"/>
      </w:pPr>
      <w:r>
        <w:t xml:space="preserve">Design parameters </w:t>
      </w:r>
      <w:r>
        <w:t>are:</w:t>
      </w:r>
      <w:r>
        <w:t xml:space="preserve"> transfer trigger, receiving-pathway rule, co-ordinator capacity, participation rule and integrated adulthood planning.</w:t>
      </w:r>
    </w:p>
    <w:p w:rsidR="00AC5C81">
      <w:pPr>
        <w:spacing w:before="240" w:after="240" w:line="240" w:lineRule="auto"/>
      </w:pPr>
      <w:r>
        <w:t>Key dependencies are adult capacity, shared information, commissioning action, GP role clarity, protected staff time and accessible communication support.</w:t>
      </w:r>
    </w:p>
    <w:p w:rsidR="00AC5C81">
      <w:pPr>
        <w:spacing w:before="240" w:after="240" w:line="240" w:lineRule="auto"/>
      </w:pPr>
      <w:r>
        <w:t>Ethics: avoid identifiable stories, use official cases only as illustrations, and do not treat testimony or casework as prevalence.</w:t>
      </w:r>
    </w:p>
    <w:p w:rsidR="00AC5C81">
      <w:pPr>
        <w:pStyle w:val="Heading2"/>
        <w:keepNext w:val="0"/>
        <w:keepLines w:val="0"/>
        <w:spacing w:after="80"/>
        <w:rPr>
          <w:b/>
          <w:bCs/>
          <w:sz w:val="26"/>
          <w:szCs w:val="26"/>
        </w:rPr>
      </w:pPr>
      <w:bookmarkStart w:id="13" w:name="_jsh89j8rayxi" w:colFirst="0" w:colLast="0"/>
      <w:bookmarkEnd w:id="13"/>
      <w:r>
        <w:rPr>
          <w:b/>
          <w:bCs/>
          <w:sz w:val="26"/>
          <w:szCs w:val="26"/>
        </w:rPr>
        <w:t>9) Hearing questions</w:t>
      </w:r>
    </w:p>
    <w:p w:rsidR="00AC5C81">
      <w:pPr>
        <w:spacing w:before="240" w:after="240" w:line="240" w:lineRule="auto"/>
        <w:rPr>
          <w:b/>
          <w:bCs/>
        </w:rPr>
      </w:pPr>
      <w:r>
        <w:rPr>
          <w:b/>
          <w:bCs/>
        </w:rPr>
        <w:t>For Government and national bodies</w:t>
      </w:r>
    </w:p>
    <w:p w:rsidR="00AC5C81">
      <w:pPr>
        <w:numPr>
          <w:ilvl w:val="0"/>
          <w:numId w:val="18"/>
        </w:numPr>
        <w:spacing w:before="240" w:line="240" w:lineRule="auto"/>
      </w:pPr>
      <w:r>
        <w:t>What minimum test should count as a successful transition: transfer date, first adult contact, or continuity without a gap?</w:t>
      </w:r>
    </w:p>
    <w:p w:rsidR="00AC5C81">
      <w:pPr>
        <w:numPr>
          <w:ilvl w:val="0"/>
          <w:numId w:val="18"/>
        </w:numPr>
        <w:spacing w:line="240" w:lineRule="auto"/>
      </w:pPr>
      <w:r>
        <w:t>How do national bodies expect systems to handle young people who do not meet adult thresholds or have no equivalent adult specialty?</w:t>
      </w:r>
    </w:p>
    <w:p w:rsidR="00AC5C81">
      <w:pPr>
        <w:numPr>
          <w:ilvl w:val="0"/>
          <w:numId w:val="18"/>
        </w:numPr>
        <w:spacing w:after="240" w:line="240" w:lineRule="auto"/>
      </w:pPr>
      <w:r>
        <w:t>What should be measured nationally without creating a tick-box transition culture?</w:t>
      </w:r>
    </w:p>
    <w:p w:rsidR="00AC5C81">
      <w:pPr>
        <w:spacing w:before="240" w:after="240" w:line="240" w:lineRule="auto"/>
        <w:rPr>
          <w:b/>
          <w:bCs/>
        </w:rPr>
      </w:pPr>
      <w:r>
        <w:rPr>
          <w:b/>
          <w:bCs/>
        </w:rPr>
        <w:t>For ICBs, local authorities and providers</w:t>
      </w:r>
    </w:p>
    <w:p w:rsidR="00AC5C81">
      <w:pPr>
        <w:numPr>
          <w:ilvl w:val="0"/>
          <w:numId w:val="7"/>
        </w:numPr>
        <w:spacing w:before="240" w:line="240" w:lineRule="auto"/>
      </w:pPr>
      <w:r>
        <w:t>How do you know which young people are likely to transition, and when planning starts?</w:t>
      </w:r>
    </w:p>
    <w:p w:rsidR="00AC5C81">
      <w:pPr>
        <w:numPr>
          <w:ilvl w:val="0"/>
          <w:numId w:val="7"/>
        </w:numPr>
        <w:spacing w:line="240" w:lineRule="auto"/>
      </w:pPr>
      <w:r>
        <w:t>What happens when the adult service is delayed, unavailable or rejects the referral?</w:t>
      </w:r>
    </w:p>
    <w:p w:rsidR="00AC5C81">
      <w:pPr>
        <w:numPr>
          <w:ilvl w:val="0"/>
          <w:numId w:val="7"/>
        </w:numPr>
        <w:spacing w:line="240" w:lineRule="auto"/>
      </w:pPr>
      <w:r>
        <w:t>What protected time, caseload and escalation authority does a named worker have?</w:t>
      </w:r>
    </w:p>
    <w:p w:rsidR="00AC5C81">
      <w:pPr>
        <w:numPr>
          <w:ilvl w:val="0"/>
          <w:numId w:val="7"/>
        </w:numPr>
        <w:spacing w:after="240" w:line="240" w:lineRule="auto"/>
      </w:pPr>
      <w:r>
        <w:t>How do you decide the right level of parent or carer involvement?</w:t>
      </w:r>
    </w:p>
    <w:p w:rsidR="00AC5C81">
      <w:pPr>
        <w:spacing w:before="240" w:after="240" w:line="240" w:lineRule="auto"/>
        <w:rPr>
          <w:b/>
          <w:bCs/>
        </w:rPr>
      </w:pPr>
      <w:r>
        <w:rPr>
          <w:b/>
          <w:bCs/>
        </w:rPr>
        <w:t>For care-leaver and SEND witnesses</w:t>
      </w:r>
    </w:p>
    <w:p w:rsidR="00AC5C81">
      <w:pPr>
        <w:numPr>
          <w:ilvl w:val="0"/>
          <w:numId w:val="1"/>
        </w:numPr>
        <w:spacing w:before="240" w:line="240" w:lineRule="auto"/>
      </w:pPr>
      <w:r>
        <w:t>How do Pathway Plans show health and mental health actions?</w:t>
      </w:r>
    </w:p>
    <w:p w:rsidR="00AC5C81">
      <w:pPr>
        <w:numPr>
          <w:ilvl w:val="0"/>
          <w:numId w:val="1"/>
        </w:numPr>
        <w:spacing w:after="240" w:line="240" w:lineRule="auto"/>
      </w:pPr>
      <w:r>
        <w:t>How are young people with communication needs supported to shape decisions?</w:t>
      </w:r>
    </w:p>
    <w:p w:rsidR="00AC5C81">
      <w:pPr>
        <w:spacing w:before="240" w:after="240" w:line="240" w:lineRule="auto"/>
        <w:rPr>
          <w:b/>
          <w:bCs/>
        </w:rPr>
      </w:pPr>
      <w:r>
        <w:rPr>
          <w:b/>
          <w:bCs/>
        </w:rPr>
        <w:t>Artefact and data requests</w:t>
      </w:r>
    </w:p>
    <w:p w:rsidR="00AC5C81">
      <w:pPr>
        <w:numPr>
          <w:ilvl w:val="0"/>
          <w:numId w:val="19"/>
        </w:numPr>
        <w:spacing w:before="240" w:line="240" w:lineRule="auto"/>
      </w:pPr>
      <w:r>
        <w:t>Please provide one current pathway template showing the named co-ordinator, receiving adult service or fallback, and escalation route.</w:t>
      </w:r>
    </w:p>
    <w:p w:rsidR="00AC5C81">
      <w:pPr>
        <w:numPr>
          <w:ilvl w:val="0"/>
          <w:numId w:val="19"/>
        </w:numPr>
        <w:spacing w:after="240" w:line="240" w:lineRule="auto"/>
      </w:pPr>
      <w:r>
        <w:t>Please provide a simple dashboard showing planning start, named receiving route, first adult contact and fallback route, with available equity breakdowns where numbers allow safe reporting.</w:t>
      </w:r>
    </w:p>
    <w:p w:rsidR="00AC5C81">
      <w:pPr>
        <w:pStyle w:val="Heading2"/>
        <w:keepNext w:val="0"/>
        <w:keepLines w:val="0"/>
        <w:spacing w:after="80"/>
        <w:rPr>
          <w:b/>
          <w:bCs/>
          <w:sz w:val="26"/>
          <w:szCs w:val="26"/>
        </w:rPr>
      </w:pPr>
      <w:bookmarkStart w:id="14" w:name="_ndyt68x10o6d" w:colFirst="0" w:colLast="0"/>
      <w:bookmarkEnd w:id="14"/>
      <w:r>
        <w:rPr>
          <w:b/>
          <w:bCs/>
          <w:sz w:val="26"/>
          <w:szCs w:val="26"/>
        </w:rPr>
        <w:t>10) References + Annex A</w:t>
      </w:r>
    </w:p>
    <w:p w:rsidR="00AC5C81">
      <w:pPr>
        <w:spacing w:before="240" w:after="240" w:line="240" w:lineRule="auto"/>
        <w:rPr>
          <w:b/>
          <w:bCs/>
        </w:rPr>
      </w:pPr>
      <w:r>
        <w:rPr>
          <w:b/>
          <w:bCs/>
        </w:rPr>
        <w:t>References</w:t>
      </w:r>
    </w:p>
    <w:p w:rsidR="00AC5C81">
      <w:pPr>
        <w:spacing w:before="240" w:after="240" w:line="240" w:lineRule="auto"/>
        <w:rPr>
          <w:color w:val="1155CC"/>
          <w:u w:val="single"/>
        </w:rPr>
      </w:pPr>
      <w:r>
        <w:t xml:space="preserve">[1] NICE (2016, updated 2023) </w:t>
      </w:r>
      <w:r>
        <w:rPr>
          <w:i/>
          <w:iCs/>
        </w:rPr>
        <w:t xml:space="preserve">Transition from </w:t>
      </w:r>
      <w:r>
        <w:rPr>
          <w:i/>
          <w:iCs/>
        </w:rPr>
        <w:t>children’s</w:t>
      </w:r>
      <w:r>
        <w:rPr>
          <w:i/>
          <w:iCs/>
        </w:rPr>
        <w:t xml:space="preserve"> to adults’ services: Quality Standard QS140</w:t>
      </w:r>
      <w:r>
        <w:t xml:space="preserve">. </w:t>
      </w:r>
      <w:r>
        <w:fldChar w:fldCharType="begin"/>
      </w:r>
      <w:r>
        <w:instrText xml:space="preserve"> HYPERLINK "https://www.nice.org.uk/guidance/qs140" </w:instrText>
      </w:r>
      <w:r>
        <w:fldChar w:fldCharType="separate"/>
      </w:r>
      <w:r>
        <w:rPr>
          <w:color w:val="1155CC"/>
          <w:u w:val="single"/>
        </w:rPr>
        <w:t>https://www.nice.org.uk/guidance/qs140</w:t>
      </w:r>
      <w:r>
        <w:fldChar w:fldCharType="end"/>
      </w:r>
      <w:r>
        <w:t xml:space="preserve"> </w:t>
      </w:r>
    </w:p>
    <w:p w:rsidR="00AC5C81">
      <w:pPr>
        <w:spacing w:before="240" w:after="240" w:line="240" w:lineRule="auto"/>
        <w:rPr>
          <w:color w:val="1155CC"/>
          <w:u w:val="single"/>
        </w:rPr>
      </w:pPr>
      <w:r>
        <w:t xml:space="preserve">[2] NICE (2016) </w:t>
      </w:r>
      <w:r>
        <w:rPr>
          <w:i/>
          <w:iCs/>
        </w:rPr>
        <w:t xml:space="preserve">Transition from </w:t>
      </w:r>
      <w:r>
        <w:rPr>
          <w:i/>
          <w:iCs/>
        </w:rPr>
        <w:t>children’s</w:t>
      </w:r>
      <w:r>
        <w:rPr>
          <w:i/>
          <w:iCs/>
        </w:rPr>
        <w:t xml:space="preserve"> to adults’ services for young people using health or social care services: NG43</w:t>
      </w:r>
      <w:r>
        <w:t xml:space="preserve">. </w:t>
      </w:r>
      <w:r>
        <w:fldChar w:fldCharType="begin"/>
      </w:r>
      <w:r>
        <w:instrText xml:space="preserve"> HYPERLINK "https://www.nice.org.uk/guidance/ng43" </w:instrText>
      </w:r>
      <w:r>
        <w:fldChar w:fldCharType="separate"/>
      </w:r>
      <w:r>
        <w:rPr>
          <w:color w:val="1155CC"/>
          <w:u w:val="single"/>
        </w:rPr>
        <w:t>https://www.nice.org.uk/guidance/ng43</w:t>
      </w:r>
      <w:r>
        <w:fldChar w:fldCharType="end"/>
      </w:r>
      <w:r>
        <w:t xml:space="preserve"> </w:t>
      </w:r>
    </w:p>
    <w:p w:rsidR="00AC5C81">
      <w:pPr>
        <w:spacing w:before="240" w:after="240" w:line="240" w:lineRule="auto"/>
        <w:rPr>
          <w:color w:val="1155CC"/>
          <w:u w:val="single"/>
        </w:rPr>
      </w:pPr>
      <w:r>
        <w:t xml:space="preserve">[3] UK Parliament (2014) </w:t>
      </w:r>
      <w:r>
        <w:rPr>
          <w:i/>
          <w:iCs/>
        </w:rPr>
        <w:t>Care Act 2014</w:t>
      </w:r>
      <w:r>
        <w:t xml:space="preserve">. </w:t>
      </w:r>
      <w:r>
        <w:fldChar w:fldCharType="begin"/>
      </w:r>
      <w:r>
        <w:instrText xml:space="preserve"> HYPERLINK "https://www.legislation.gov.uk/ukpga/2014/23/contents" </w:instrText>
      </w:r>
      <w:r>
        <w:fldChar w:fldCharType="separate"/>
      </w:r>
      <w:r>
        <w:rPr>
          <w:color w:val="1155CC"/>
          <w:u w:val="single"/>
        </w:rPr>
        <w:t>https://www.legislation.gov.uk/ukpga/2014/23/contents</w:t>
      </w:r>
      <w:r>
        <w:fldChar w:fldCharType="end"/>
      </w:r>
      <w:r>
        <w:t xml:space="preserve"> </w:t>
      </w:r>
    </w:p>
    <w:p w:rsidR="00AC5C81">
      <w:pPr>
        <w:spacing w:before="240" w:after="240" w:line="240" w:lineRule="auto"/>
        <w:rPr>
          <w:color w:val="1155CC"/>
          <w:u w:val="single"/>
        </w:rPr>
      </w:pPr>
      <w:r>
        <w:t xml:space="preserve">[4] NHS England (2026) </w:t>
      </w:r>
      <w:r>
        <w:rPr>
          <w:i/>
          <w:iCs/>
        </w:rPr>
        <w:t>Supporting young people to transition into adolescent and adult services</w:t>
      </w:r>
      <w:r>
        <w:t xml:space="preserve">. </w:t>
      </w:r>
      <w:r>
        <w:fldChar w:fldCharType="begin"/>
      </w:r>
      <w:r>
        <w:instrText xml:space="preserve"> HYPERLINK "https://www.england.nhs.uk/publication/supporting-young-people-to-transition-into-adolescent-and-adult-services/" </w:instrText>
      </w:r>
      <w:r>
        <w:fldChar w:fldCharType="separate"/>
      </w:r>
      <w:r>
        <w:rPr>
          <w:color w:val="1155CC"/>
          <w:u w:val="single"/>
        </w:rPr>
        <w:t>https://www.england.nhs.uk/publication/supporting-young-people-to-transition-into-adolescent-and-adult-services/</w:t>
      </w:r>
      <w:r>
        <w:fldChar w:fldCharType="end"/>
      </w:r>
      <w:r>
        <w:t xml:space="preserve"> </w:t>
      </w:r>
    </w:p>
    <w:p w:rsidR="00AC5C81">
      <w:pPr>
        <w:spacing w:before="240" w:after="240" w:line="240" w:lineRule="auto"/>
        <w:rPr>
          <w:color w:val="1155CC"/>
          <w:u w:val="single"/>
        </w:rPr>
      </w:pPr>
      <w:r>
        <w:t xml:space="preserve">[5] Ofsted and Care Quality Commission (2024) </w:t>
      </w:r>
      <w:r>
        <w:rPr>
          <w:i/>
          <w:iCs/>
        </w:rPr>
        <w:t>Preparation for adulthood arrangements in local areas: a thematic review</w:t>
      </w:r>
      <w:r>
        <w:t xml:space="preserve">. </w:t>
      </w:r>
      <w:r>
        <w:fldChar w:fldCharType="begin"/>
      </w:r>
      <w:r>
        <w:instrText xml:space="preserve"> HYPERLINK "https://www.gov.uk/government/publications/preparation-for-adulthood-arrangements-in-local-areas-a-thematic-review" </w:instrText>
      </w:r>
      <w:r>
        <w:fldChar w:fldCharType="separate"/>
      </w:r>
      <w:r>
        <w:rPr>
          <w:color w:val="1155CC"/>
          <w:u w:val="single"/>
        </w:rPr>
        <w:t>https://www.gov.uk/government/publications/preparation-for-adulthood-arrangements-in-local-areas-a-thematic-review</w:t>
      </w:r>
      <w:r>
        <w:fldChar w:fldCharType="end"/>
      </w:r>
      <w:r>
        <w:t xml:space="preserve"> </w:t>
      </w:r>
    </w:p>
    <w:p w:rsidR="00AC5C81">
      <w:pPr>
        <w:spacing w:before="240" w:after="240" w:line="240" w:lineRule="auto"/>
        <w:rPr>
          <w:color w:val="1155CC"/>
          <w:u w:val="single"/>
        </w:rPr>
      </w:pPr>
      <w:r>
        <w:t xml:space="preserve">[6] HQIP/NCEPOD (2023) </w:t>
      </w:r>
      <w:r>
        <w:rPr>
          <w:i/>
          <w:iCs/>
        </w:rPr>
        <w:t>The Inbetweeners</w:t>
      </w:r>
      <w:r>
        <w:t xml:space="preserve">. </w:t>
      </w:r>
      <w:r>
        <w:fldChar w:fldCharType="begin"/>
      </w:r>
      <w:r>
        <w:instrText xml:space="preserve"> HYPERLINK "https://www.ncepod.org.uk/2023transition/The%20Inbetweeners_full%20report.pdf" </w:instrText>
      </w:r>
      <w:r>
        <w:fldChar w:fldCharType="separate"/>
      </w:r>
      <w:r>
        <w:rPr>
          <w:color w:val="1155CC"/>
          <w:u w:val="single"/>
        </w:rPr>
        <w:t>https://www.ncepod.org.uk/2023transition/The%20Inbetweeners_full%20report.pdf</w:t>
      </w:r>
      <w:r>
        <w:fldChar w:fldCharType="end"/>
      </w:r>
      <w:r>
        <w:t xml:space="preserve"> </w:t>
      </w:r>
    </w:p>
    <w:p w:rsidR="00AC5C81">
      <w:pPr>
        <w:spacing w:before="240" w:after="240" w:line="240" w:lineRule="auto"/>
        <w:rPr>
          <w:color w:val="1155CC"/>
          <w:u w:val="single"/>
        </w:rPr>
      </w:pPr>
      <w:r>
        <w:t xml:space="preserve">[7] Singh, S.P. et al. (2010) </w:t>
      </w:r>
      <w:r>
        <w:rPr>
          <w:i/>
          <w:iCs/>
        </w:rPr>
        <w:t xml:space="preserve">Process, outcome and experience of transition from child to adult mental healthcare: </w:t>
      </w:r>
      <w:r>
        <w:rPr>
          <w:i/>
          <w:iCs/>
        </w:rPr>
        <w:t>multiperspective</w:t>
      </w:r>
      <w:r>
        <w:rPr>
          <w:i/>
          <w:iCs/>
        </w:rPr>
        <w:t xml:space="preserve"> study</w:t>
      </w:r>
      <w:r>
        <w:t xml:space="preserve">. </w:t>
      </w:r>
      <w:r>
        <w:rPr>
          <w:i/>
          <w:iCs/>
        </w:rPr>
        <w:t>The British Journal of Psychiatry</w:t>
      </w:r>
      <w:r>
        <w:t xml:space="preserve">. </w:t>
      </w:r>
      <w:r>
        <w:fldChar w:fldCharType="begin"/>
      </w:r>
      <w:r>
        <w:instrText xml:space="preserve"> HYPERLINK "https://doi.org/10.1192/bjp.bp.109.075135" </w:instrText>
      </w:r>
      <w:r>
        <w:fldChar w:fldCharType="separate"/>
      </w:r>
      <w:r>
        <w:rPr>
          <w:color w:val="1155CC"/>
          <w:u w:val="single"/>
        </w:rPr>
        <w:t>https://doi.org/10.1192/bjp.bp.109.075135</w:t>
      </w:r>
      <w:r>
        <w:fldChar w:fldCharType="end"/>
      </w:r>
      <w:r>
        <w:t xml:space="preserve"> </w:t>
      </w:r>
    </w:p>
    <w:p w:rsidR="00AC5C81">
      <w:pPr>
        <w:spacing w:before="240" w:after="240" w:line="240" w:lineRule="auto"/>
        <w:rPr>
          <w:color w:val="1155CC"/>
          <w:u w:val="single"/>
        </w:rPr>
      </w:pPr>
      <w:r>
        <w:t xml:space="preserve">[8] Colver, A. et al. (2019) </w:t>
      </w:r>
      <w:r>
        <w:rPr>
          <w:i/>
          <w:iCs/>
        </w:rPr>
        <w:t>Facilitating the transition of young people with long-term conditions through health services from childhood to adulthood: the Transition research programme</w:t>
      </w:r>
      <w:r>
        <w:t xml:space="preserve">. NIHR Journals Library. </w:t>
      </w:r>
      <w:r>
        <w:fldChar w:fldCharType="begin"/>
      </w:r>
      <w:r>
        <w:instrText xml:space="preserve"> HYPERLINK "https://doi.org/10.3310/pgfar07040" </w:instrText>
      </w:r>
      <w:r>
        <w:fldChar w:fldCharType="separate"/>
      </w:r>
      <w:r>
        <w:rPr>
          <w:color w:val="1155CC"/>
          <w:u w:val="single"/>
        </w:rPr>
        <w:t>https://doi.org/10.3310/pgfar07040</w:t>
      </w:r>
      <w:r>
        <w:fldChar w:fldCharType="end"/>
      </w:r>
      <w:r>
        <w:t xml:space="preserve"> </w:t>
      </w:r>
    </w:p>
    <w:p w:rsidR="00AC5C81">
      <w:pPr>
        <w:spacing w:before="240" w:after="240" w:line="240" w:lineRule="auto"/>
        <w:rPr>
          <w:color w:val="1155CC"/>
          <w:u w:val="single"/>
        </w:rPr>
      </w:pPr>
      <w:r>
        <w:t xml:space="preserve">[9] Ofsted (2022) </w:t>
      </w:r>
      <w:r>
        <w:rPr>
          <w:i/>
          <w:iCs/>
        </w:rPr>
        <w:t>Ready or not: care leavers’ views of preparing to leave care</w:t>
      </w:r>
      <w:r>
        <w:t xml:space="preserve">. </w:t>
      </w:r>
      <w:r>
        <w:fldChar w:fldCharType="begin"/>
      </w:r>
      <w:r>
        <w:instrText xml:space="preserve"> HYPERLINK "https://www.gov.uk/government/publications/ready-or-not-care-leavers-views-of-preparing-to-leave-care" </w:instrText>
      </w:r>
      <w:r>
        <w:fldChar w:fldCharType="separate"/>
      </w:r>
      <w:r>
        <w:rPr>
          <w:color w:val="1155CC"/>
          <w:u w:val="single"/>
        </w:rPr>
        <w:t>https://www.gov.uk/government/publications/ready-or-not-care-leavers-views-of-preparing-to-leave-care</w:t>
      </w:r>
      <w:r>
        <w:fldChar w:fldCharType="end"/>
      </w:r>
      <w:r>
        <w:t xml:space="preserve"> </w:t>
      </w:r>
    </w:p>
    <w:p w:rsidR="00AC5C81">
      <w:pPr>
        <w:spacing w:before="240" w:after="240" w:line="240" w:lineRule="auto"/>
        <w:rPr>
          <w:color w:val="1155CC"/>
          <w:u w:val="single"/>
        </w:rPr>
      </w:pPr>
      <w:r>
        <w:t xml:space="preserve">[10] Local Government and Social Care Ombudsman (2024) </w:t>
      </w:r>
      <w:r>
        <w:rPr>
          <w:i/>
          <w:iCs/>
        </w:rPr>
        <w:t>London Borough of Haringey, 23 018 546</w:t>
      </w:r>
      <w:r>
        <w:t xml:space="preserve">. </w:t>
      </w:r>
      <w:r>
        <w:fldChar w:fldCharType="begin"/>
      </w:r>
      <w:r>
        <w:instrText xml:space="preserve"> HYPERLINK "https://www.lgo.org.uk/decisions/adult-care-services/transition-from-childrens-services/23-018-546" </w:instrText>
      </w:r>
      <w:r>
        <w:fldChar w:fldCharType="separate"/>
      </w:r>
      <w:r>
        <w:rPr>
          <w:color w:val="1155CC"/>
          <w:u w:val="single"/>
        </w:rPr>
        <w:t>https://www.lgo.org.uk/decisions/adult-care-services/transition-from-childrens-services/23-018-546</w:t>
      </w:r>
      <w:r>
        <w:fldChar w:fldCharType="end"/>
      </w:r>
      <w:r>
        <w:t xml:space="preserve"> </w:t>
      </w:r>
    </w:p>
    <w:p w:rsidR="00AC5C81">
      <w:pPr>
        <w:spacing w:before="240" w:after="240" w:line="240" w:lineRule="auto"/>
        <w:rPr>
          <w:color w:val="1155CC"/>
          <w:u w:val="single"/>
        </w:rPr>
      </w:pPr>
      <w:r>
        <w:t xml:space="preserve">[11] Health and Social Care Committee Expert Panel (2026) </w:t>
      </w:r>
      <w:r>
        <w:rPr>
          <w:i/>
          <w:iCs/>
        </w:rPr>
        <w:t>The Transition from Child to Adult Health and Social Care Services: planning grid</w:t>
      </w:r>
      <w:r>
        <w:t xml:space="preserve">. </w:t>
      </w:r>
      <w:r>
        <w:fldChar w:fldCharType="begin"/>
      </w:r>
      <w:r>
        <w:instrText xml:space="preserve"> HYPERLINK "https://committees.parliament.uk/publications/52546/documents/292554/default/" </w:instrText>
      </w:r>
      <w:r>
        <w:fldChar w:fldCharType="separate"/>
      </w:r>
      <w:r>
        <w:rPr>
          <w:color w:val="1155CC"/>
          <w:u w:val="single"/>
        </w:rPr>
        <w:t>https://committees.parliament.uk/publications/52546/documents/292554/default/</w:t>
      </w:r>
      <w:r>
        <w:fldChar w:fldCharType="end"/>
      </w:r>
      <w:r>
        <w:t xml:space="preserve"> </w:t>
      </w:r>
    </w:p>
    <w:p w:rsidR="00AC5C81">
      <w:pPr>
        <w:spacing w:before="240" w:after="240" w:line="240" w:lineRule="auto"/>
        <w:rPr>
          <w:color w:val="1155CC"/>
          <w:u w:val="single"/>
        </w:rPr>
      </w:pPr>
      <w:r>
        <w:t xml:space="preserve">[12] Care Quality Commission (2022) </w:t>
      </w:r>
      <w:r>
        <w:rPr>
          <w:i/>
          <w:iCs/>
        </w:rPr>
        <w:t xml:space="preserve">Transition arrangements for young people with complex health needs from </w:t>
      </w:r>
      <w:r>
        <w:rPr>
          <w:i/>
          <w:iCs/>
        </w:rPr>
        <w:t>children’s</w:t>
      </w:r>
      <w:r>
        <w:rPr>
          <w:i/>
          <w:iCs/>
        </w:rPr>
        <w:t xml:space="preserve"> to adult services</w:t>
      </w:r>
      <w:r>
        <w:t xml:space="preserve">. </w:t>
      </w:r>
      <w:r>
        <w:fldChar w:fldCharType="begin"/>
      </w:r>
      <w:r>
        <w:instrText xml:space="preserve"> HYPERLINK "https://www.cqc.org.uk/publications/themes-care/transition-arrangements-young-people-complex-health-needs-children%E2%80%99s-adult" </w:instrText>
      </w:r>
      <w:r>
        <w:fldChar w:fldCharType="separate"/>
      </w:r>
      <w:r>
        <w:rPr>
          <w:color w:val="1155CC"/>
          <w:u w:val="single"/>
        </w:rPr>
        <w:t>https://www.cqc.org.uk/publications/themes-care/transition-arrangements-young-people-complex-health-needs-children%E2%80%99s-adult</w:t>
      </w:r>
      <w:r>
        <w:fldChar w:fldCharType="end"/>
      </w:r>
      <w:r>
        <w:t xml:space="preserve"> </w:t>
      </w:r>
    </w:p>
    <w:p w:rsidR="00AC5C81">
      <w:pPr>
        <w:spacing w:before="240" w:after="240" w:line="240" w:lineRule="auto"/>
        <w:rPr>
          <w:color w:val="1155CC"/>
          <w:u w:val="single"/>
        </w:rPr>
      </w:pPr>
      <w:r>
        <w:t xml:space="preserve">[13] Department for Education and Department of Health (2015) </w:t>
      </w:r>
      <w:r>
        <w:rPr>
          <w:i/>
          <w:iCs/>
        </w:rPr>
        <w:t>Special educational needs and disability code of practice: 0 to 25 years</w:t>
      </w:r>
      <w:r>
        <w:t xml:space="preserve">. </w:t>
      </w:r>
      <w:r>
        <w:fldChar w:fldCharType="begin"/>
      </w:r>
      <w:r>
        <w:instrText xml:space="preserve"> HYPERLINK "https://www.gov.uk/government/publications/send-code-of-practice-0-to-25" </w:instrText>
      </w:r>
      <w:r>
        <w:fldChar w:fldCharType="separate"/>
      </w:r>
      <w:r>
        <w:rPr>
          <w:color w:val="1155CC"/>
          <w:u w:val="single"/>
        </w:rPr>
        <w:t>https://www.gov.uk/government/publications/send-code-of-practice-0-to-25</w:t>
      </w:r>
      <w:r>
        <w:fldChar w:fldCharType="end"/>
      </w:r>
      <w:r>
        <w:t xml:space="preserve"> </w:t>
      </w:r>
    </w:p>
    <w:p w:rsidR="00AC5C81">
      <w:pPr>
        <w:spacing w:before="240" w:after="240" w:line="240" w:lineRule="auto"/>
        <w:rPr>
          <w:color w:val="1155CC"/>
          <w:u w:val="single"/>
        </w:rPr>
      </w:pPr>
      <w:r>
        <w:t xml:space="preserve">[14] Office for Health Improvement and Disparities (2023) </w:t>
      </w:r>
      <w:r>
        <w:rPr>
          <w:i/>
          <w:iCs/>
        </w:rPr>
        <w:t>You’re Welcome: establishing youth-friendly health and care services</w:t>
      </w:r>
      <w:r>
        <w:t xml:space="preserve">. </w:t>
      </w:r>
      <w:r>
        <w:fldChar w:fldCharType="begin"/>
      </w:r>
      <w:r>
        <w:instrText xml:space="preserve"> HYPERLINK "https://www.gov.uk/government/publications/establishing-youth-friendly-health-and-care-services/youre-welcome-establishing-youth-friendly-health-and-care-services" </w:instrText>
      </w:r>
      <w:r>
        <w:fldChar w:fldCharType="separate"/>
      </w:r>
      <w:r>
        <w:rPr>
          <w:color w:val="1155CC"/>
          <w:u w:val="single"/>
        </w:rPr>
        <w:t>https://www.gov.uk/government/publications/establishing-youth-friendly-health-and-care-services/youre-welcome-establishing-youth-friendly-health-and-care-services</w:t>
      </w:r>
      <w:r>
        <w:fldChar w:fldCharType="end"/>
      </w:r>
      <w:r>
        <w:t xml:space="preserve"> </w:t>
      </w:r>
    </w:p>
    <w:p w:rsidR="00AC5C81">
      <w:pPr>
        <w:spacing w:before="240" w:after="240" w:line="240" w:lineRule="auto"/>
        <w:rPr>
          <w:b/>
          <w:bCs/>
        </w:rPr>
      </w:pPr>
      <w:r>
        <w:rPr>
          <w:b/>
          <w:bCs/>
        </w:rPr>
        <w:t>Annex A: minimal claims map</w:t>
      </w:r>
    </w:p>
    <w:tbl>
      <w:tblPr>
        <w:tblStyle w:val="Table1"/>
        <w:tblW w:w="9025" w:type="dxa"/>
        <w:tblInd w:w="0" w:type="dxa"/>
        <w:tblBorders>
          <w:top w:val="nil"/>
          <w:left w:val="nil"/>
          <w:bottom w:val="nil"/>
          <w:right w:val="nil"/>
          <w:insideH w:val="nil"/>
          <w:insideV w:val="nil"/>
        </w:tblBorders>
        <w:tblLayout w:type="fixed"/>
        <w:tblLook w:val="0600"/>
      </w:tblPr>
      <w:tblGrid>
        <w:gridCol w:w="2487"/>
        <w:gridCol w:w="1563"/>
        <w:gridCol w:w="2515"/>
        <w:gridCol w:w="2460"/>
      </w:tblGrid>
      <w:tr>
        <w:tblPrEx>
          <w:tblW w:w="9025" w:type="dxa"/>
          <w:tblInd w:w="0" w:type="dxa"/>
          <w:tblBorders>
            <w:top w:val="nil"/>
            <w:left w:val="nil"/>
            <w:bottom w:val="nil"/>
            <w:right w:val="nil"/>
            <w:insideH w:val="nil"/>
            <w:insideV w:val="nil"/>
          </w:tblBorders>
          <w:tblLayout w:type="fixed"/>
          <w:tblLook w:val="0600"/>
        </w:tblPrEx>
        <w:trPr>
          <w:trHeight w:val="785"/>
        </w:trPr>
        <w:tc>
          <w:tcPr>
            <w:tcW w:w="2487" w:type="dxa"/>
            <w:tcBorders>
              <w:top w:val="nil"/>
              <w:left w:val="nil"/>
              <w:bottom w:val="nil"/>
              <w:right w:val="nil"/>
            </w:tcBorders>
            <w:tcMar>
              <w:top w:w="100" w:type="dxa"/>
              <w:left w:w="100" w:type="dxa"/>
              <w:bottom w:w="100" w:type="dxa"/>
              <w:right w:w="100" w:type="dxa"/>
            </w:tcMar>
          </w:tcPr>
          <w:p w:rsidR="00AC5C81">
            <w:pPr>
              <w:jc w:val="center"/>
            </w:pPr>
            <w:r>
              <w:rPr>
                <w:b/>
                <w:bCs/>
              </w:rPr>
              <w:t>Claim</w:t>
            </w:r>
          </w:p>
        </w:tc>
        <w:tc>
          <w:tcPr>
            <w:tcW w:w="1563" w:type="dxa"/>
            <w:tcBorders>
              <w:top w:val="nil"/>
              <w:left w:val="nil"/>
              <w:bottom w:val="nil"/>
              <w:right w:val="nil"/>
            </w:tcBorders>
            <w:tcMar>
              <w:top w:w="100" w:type="dxa"/>
              <w:left w:w="100" w:type="dxa"/>
              <w:bottom w:w="100" w:type="dxa"/>
              <w:right w:w="100" w:type="dxa"/>
            </w:tcMar>
          </w:tcPr>
          <w:p w:rsidR="00AC5C81">
            <w:pPr>
              <w:jc w:val="center"/>
            </w:pPr>
            <w:r>
              <w:rPr>
                <w:b/>
                <w:bCs/>
              </w:rPr>
              <w:t>Anchors and evidence type</w:t>
            </w:r>
          </w:p>
        </w:tc>
        <w:tc>
          <w:tcPr>
            <w:tcW w:w="2515" w:type="dxa"/>
            <w:tcBorders>
              <w:top w:val="nil"/>
              <w:left w:val="nil"/>
              <w:bottom w:val="nil"/>
              <w:right w:val="nil"/>
            </w:tcBorders>
            <w:tcMar>
              <w:top w:w="100" w:type="dxa"/>
              <w:left w:w="100" w:type="dxa"/>
              <w:bottom w:w="100" w:type="dxa"/>
              <w:right w:w="100" w:type="dxa"/>
            </w:tcMar>
          </w:tcPr>
          <w:p w:rsidR="00AC5C81">
            <w:pPr>
              <w:jc w:val="center"/>
            </w:pPr>
            <w:r>
              <w:rPr>
                <w:b/>
                <w:bCs/>
              </w:rPr>
              <w:t>Limits and conditions</w:t>
            </w:r>
          </w:p>
        </w:tc>
        <w:tc>
          <w:tcPr>
            <w:tcW w:w="2460" w:type="dxa"/>
            <w:tcBorders>
              <w:top w:val="nil"/>
              <w:left w:val="nil"/>
              <w:bottom w:val="nil"/>
              <w:right w:val="nil"/>
            </w:tcBorders>
            <w:tcMar>
              <w:top w:w="100" w:type="dxa"/>
              <w:left w:w="100" w:type="dxa"/>
              <w:bottom w:w="100" w:type="dxa"/>
              <w:right w:w="100" w:type="dxa"/>
            </w:tcMar>
          </w:tcPr>
          <w:p w:rsidR="00AC5C81">
            <w:pPr>
              <w:jc w:val="center"/>
            </w:pPr>
            <w:r>
              <w:rPr>
                <w:b/>
                <w:bCs/>
              </w:rPr>
              <w:t>Strengthening evidence</w:t>
            </w:r>
          </w:p>
        </w:tc>
      </w:tr>
      <w:tr>
        <w:tblPrEx>
          <w:tblW w:w="9025" w:type="dxa"/>
          <w:tblInd w:w="0" w:type="dxa"/>
          <w:tblLayout w:type="fixed"/>
          <w:tblLook w:val="0600"/>
        </w:tblPrEx>
        <w:trPr>
          <w:trHeight w:val="1325"/>
        </w:trPr>
        <w:tc>
          <w:tcPr>
            <w:tcW w:w="2487" w:type="dxa"/>
            <w:tcBorders>
              <w:top w:val="nil"/>
              <w:left w:val="nil"/>
              <w:bottom w:val="nil"/>
              <w:right w:val="nil"/>
            </w:tcBorders>
            <w:tcMar>
              <w:top w:w="100" w:type="dxa"/>
              <w:left w:w="100" w:type="dxa"/>
              <w:bottom w:w="100" w:type="dxa"/>
              <w:right w:w="100" w:type="dxa"/>
            </w:tcMar>
          </w:tcPr>
          <w:p w:rsidR="00AC5C81">
            <w:r>
              <w:t>Existing standards are clear, but delivery depends on pathway readiness.</w:t>
            </w:r>
          </w:p>
        </w:tc>
        <w:tc>
          <w:tcPr>
            <w:tcW w:w="1563" w:type="dxa"/>
            <w:tcBorders>
              <w:top w:val="nil"/>
              <w:left w:val="nil"/>
              <w:bottom w:val="nil"/>
              <w:right w:val="nil"/>
            </w:tcBorders>
            <w:tcMar>
              <w:top w:w="100" w:type="dxa"/>
              <w:left w:w="100" w:type="dxa"/>
              <w:bottom w:w="100" w:type="dxa"/>
              <w:right w:w="100" w:type="dxa"/>
            </w:tcMar>
          </w:tcPr>
          <w:p w:rsidR="00AC5C81">
            <w:r>
              <w:t>[1] [2], guidance</w:t>
            </w:r>
          </w:p>
        </w:tc>
        <w:tc>
          <w:tcPr>
            <w:tcW w:w="2515" w:type="dxa"/>
            <w:tcBorders>
              <w:top w:val="nil"/>
              <w:left w:val="nil"/>
              <w:bottom w:val="nil"/>
              <w:right w:val="nil"/>
            </w:tcBorders>
            <w:tcMar>
              <w:top w:w="100" w:type="dxa"/>
              <w:left w:w="100" w:type="dxa"/>
              <w:bottom w:w="100" w:type="dxa"/>
              <w:right w:w="100" w:type="dxa"/>
            </w:tcMar>
          </w:tcPr>
          <w:p w:rsidR="00AC5C81">
            <w:r>
              <w:t>Guidance is a benchmark, not proof of local implementation.</w:t>
            </w:r>
          </w:p>
        </w:tc>
        <w:tc>
          <w:tcPr>
            <w:tcW w:w="2460" w:type="dxa"/>
            <w:tcBorders>
              <w:top w:val="nil"/>
              <w:left w:val="nil"/>
              <w:bottom w:val="nil"/>
              <w:right w:val="nil"/>
            </w:tcBorders>
            <w:tcMar>
              <w:top w:w="100" w:type="dxa"/>
              <w:left w:w="100" w:type="dxa"/>
              <w:bottom w:w="100" w:type="dxa"/>
              <w:right w:w="100" w:type="dxa"/>
            </w:tcMar>
          </w:tcPr>
          <w:p w:rsidR="00AC5C81">
            <w:r>
              <w:t>Local plan audits and first adult-contact data.</w:t>
            </w:r>
          </w:p>
        </w:tc>
      </w:tr>
      <w:tr>
        <w:tblPrEx>
          <w:tblW w:w="9025" w:type="dxa"/>
          <w:tblInd w:w="0" w:type="dxa"/>
          <w:tblLayout w:type="fixed"/>
          <w:tblLook w:val="0600"/>
        </w:tblPrEx>
        <w:trPr>
          <w:trHeight w:val="1325"/>
        </w:trPr>
        <w:tc>
          <w:tcPr>
            <w:tcW w:w="2487" w:type="dxa"/>
            <w:tcBorders>
              <w:top w:val="nil"/>
              <w:left w:val="nil"/>
              <w:bottom w:val="nil"/>
              <w:right w:val="nil"/>
            </w:tcBorders>
            <w:tcMar>
              <w:top w:w="100" w:type="dxa"/>
              <w:left w:w="100" w:type="dxa"/>
              <w:bottom w:w="100" w:type="dxa"/>
              <w:right w:w="100" w:type="dxa"/>
            </w:tcMar>
          </w:tcPr>
          <w:p w:rsidR="00AC5C81">
            <w:r>
              <w:t>A key failure mode is no viable receiving pathway.</w:t>
            </w:r>
          </w:p>
        </w:tc>
        <w:tc>
          <w:tcPr>
            <w:tcW w:w="1563" w:type="dxa"/>
            <w:tcBorders>
              <w:top w:val="nil"/>
              <w:left w:val="nil"/>
              <w:bottom w:val="nil"/>
              <w:right w:val="nil"/>
            </w:tcBorders>
            <w:tcMar>
              <w:top w:w="100" w:type="dxa"/>
              <w:left w:w="100" w:type="dxa"/>
              <w:bottom w:w="100" w:type="dxa"/>
              <w:right w:w="100" w:type="dxa"/>
            </w:tcMar>
          </w:tcPr>
          <w:p w:rsidR="00AC5C81">
            <w:r>
              <w:t>[5] [7], inspection and cohort study</w:t>
            </w:r>
          </w:p>
        </w:tc>
        <w:tc>
          <w:tcPr>
            <w:tcW w:w="2515" w:type="dxa"/>
            <w:tcBorders>
              <w:top w:val="nil"/>
              <w:left w:val="nil"/>
              <w:bottom w:val="nil"/>
              <w:right w:val="nil"/>
            </w:tcBorders>
            <w:tcMar>
              <w:top w:w="100" w:type="dxa"/>
              <w:left w:w="100" w:type="dxa"/>
              <w:bottom w:w="100" w:type="dxa"/>
              <w:right w:w="100" w:type="dxa"/>
            </w:tcMar>
          </w:tcPr>
          <w:p w:rsidR="00AC5C81">
            <w:r>
              <w:t>Strongest direct evidence is from SEND and mental health pathways.</w:t>
            </w:r>
          </w:p>
        </w:tc>
        <w:tc>
          <w:tcPr>
            <w:tcW w:w="2460" w:type="dxa"/>
            <w:tcBorders>
              <w:top w:val="nil"/>
              <w:left w:val="nil"/>
              <w:bottom w:val="nil"/>
              <w:right w:val="nil"/>
            </w:tcBorders>
            <w:tcMar>
              <w:top w:w="100" w:type="dxa"/>
              <w:left w:w="100" w:type="dxa"/>
              <w:bottom w:w="100" w:type="dxa"/>
              <w:right w:w="100" w:type="dxa"/>
            </w:tcMar>
          </w:tcPr>
          <w:p w:rsidR="00AC5C81">
            <w:r>
              <w:t>Denominator for GP-only, community-only and rejected adult referrals.</w:t>
            </w:r>
          </w:p>
        </w:tc>
      </w:tr>
      <w:tr>
        <w:tblPrEx>
          <w:tblW w:w="9025" w:type="dxa"/>
          <w:tblInd w:w="0" w:type="dxa"/>
          <w:tblLayout w:type="fixed"/>
          <w:tblLook w:val="0600"/>
        </w:tblPrEx>
        <w:trPr>
          <w:trHeight w:val="1055"/>
        </w:trPr>
        <w:tc>
          <w:tcPr>
            <w:tcW w:w="2487" w:type="dxa"/>
            <w:tcBorders>
              <w:top w:val="nil"/>
              <w:left w:val="nil"/>
              <w:bottom w:val="nil"/>
              <w:right w:val="nil"/>
            </w:tcBorders>
            <w:tcMar>
              <w:top w:w="100" w:type="dxa"/>
              <w:left w:w="100" w:type="dxa"/>
              <w:bottom w:w="100" w:type="dxa"/>
              <w:right w:w="100" w:type="dxa"/>
            </w:tcMar>
          </w:tcPr>
          <w:p w:rsidR="00AC5C81">
            <w:r>
              <w:t>Named workers need operating capacity.</w:t>
            </w:r>
          </w:p>
        </w:tc>
        <w:tc>
          <w:tcPr>
            <w:tcW w:w="1563" w:type="dxa"/>
            <w:tcBorders>
              <w:top w:val="nil"/>
              <w:left w:val="nil"/>
              <w:bottom w:val="nil"/>
              <w:right w:val="nil"/>
            </w:tcBorders>
            <w:tcMar>
              <w:top w:w="100" w:type="dxa"/>
              <w:left w:w="100" w:type="dxa"/>
              <w:bottom w:w="100" w:type="dxa"/>
              <w:right w:w="100" w:type="dxa"/>
            </w:tcMar>
          </w:tcPr>
          <w:p w:rsidR="00AC5C81">
            <w:r>
              <w:t>[1] [4] [6], guidance and audit</w:t>
            </w:r>
          </w:p>
        </w:tc>
        <w:tc>
          <w:tcPr>
            <w:tcW w:w="2515" w:type="dxa"/>
            <w:tcBorders>
              <w:top w:val="nil"/>
              <w:left w:val="nil"/>
              <w:bottom w:val="nil"/>
              <w:right w:val="nil"/>
            </w:tcBorders>
            <w:tcMar>
              <w:top w:w="100" w:type="dxa"/>
              <w:left w:w="100" w:type="dxa"/>
              <w:bottom w:w="100" w:type="dxa"/>
              <w:right w:w="100" w:type="dxa"/>
            </w:tcMar>
          </w:tcPr>
          <w:p w:rsidR="00AC5C81">
            <w:r>
              <w:t>Role allocation alone does not show protected time or authority.</w:t>
            </w:r>
          </w:p>
        </w:tc>
        <w:tc>
          <w:tcPr>
            <w:tcW w:w="2460" w:type="dxa"/>
            <w:tcBorders>
              <w:top w:val="nil"/>
              <w:left w:val="nil"/>
              <w:bottom w:val="nil"/>
              <w:right w:val="nil"/>
            </w:tcBorders>
            <w:tcMar>
              <w:top w:w="100" w:type="dxa"/>
              <w:left w:w="100" w:type="dxa"/>
              <w:bottom w:w="100" w:type="dxa"/>
              <w:right w:w="100" w:type="dxa"/>
            </w:tcMar>
          </w:tcPr>
          <w:p w:rsidR="00AC5C81">
            <w:r>
              <w:t>Caseload, job-plan and escalation data.</w:t>
            </w:r>
          </w:p>
        </w:tc>
      </w:tr>
      <w:tr>
        <w:tblPrEx>
          <w:tblW w:w="9025" w:type="dxa"/>
          <w:tblInd w:w="0" w:type="dxa"/>
          <w:tblLayout w:type="fixed"/>
          <w:tblLook w:val="0600"/>
        </w:tblPrEx>
        <w:trPr>
          <w:trHeight w:val="1610"/>
        </w:trPr>
        <w:tc>
          <w:tcPr>
            <w:tcW w:w="2487" w:type="dxa"/>
            <w:tcBorders>
              <w:top w:val="nil"/>
              <w:left w:val="nil"/>
              <w:bottom w:val="nil"/>
              <w:right w:val="nil"/>
            </w:tcBorders>
            <w:tcMar>
              <w:top w:w="100" w:type="dxa"/>
              <w:left w:w="100" w:type="dxa"/>
              <w:bottom w:w="100" w:type="dxa"/>
              <w:right w:w="100" w:type="dxa"/>
            </w:tcMar>
          </w:tcPr>
          <w:p w:rsidR="00AC5C81">
            <w:r>
              <w:t>Care-leaver transition should include health and mental health within wider adulthood planning.</w:t>
            </w:r>
          </w:p>
        </w:tc>
        <w:tc>
          <w:tcPr>
            <w:tcW w:w="1563" w:type="dxa"/>
            <w:tcBorders>
              <w:top w:val="nil"/>
              <w:left w:val="nil"/>
              <w:bottom w:val="nil"/>
              <w:right w:val="nil"/>
            </w:tcBorders>
            <w:tcMar>
              <w:top w:w="100" w:type="dxa"/>
              <w:left w:w="100" w:type="dxa"/>
              <w:bottom w:w="100" w:type="dxa"/>
              <w:right w:w="100" w:type="dxa"/>
            </w:tcMar>
          </w:tcPr>
          <w:p w:rsidR="00AC5C81">
            <w:r>
              <w:t>[1] [9], guidance and official research</w:t>
            </w:r>
          </w:p>
        </w:tc>
        <w:tc>
          <w:tcPr>
            <w:tcW w:w="2515" w:type="dxa"/>
            <w:tcBorders>
              <w:top w:val="nil"/>
              <w:left w:val="nil"/>
              <w:bottom w:val="nil"/>
              <w:right w:val="nil"/>
            </w:tcBorders>
            <w:tcMar>
              <w:top w:w="100" w:type="dxa"/>
              <w:left w:w="100" w:type="dxa"/>
              <w:bottom w:w="100" w:type="dxa"/>
              <w:right w:w="100" w:type="dxa"/>
            </w:tcMar>
          </w:tcPr>
          <w:p w:rsidR="00AC5C81">
            <w:r>
              <w:t>Experience evidence is not prevalence.</w:t>
            </w:r>
          </w:p>
        </w:tc>
        <w:tc>
          <w:tcPr>
            <w:tcW w:w="2460" w:type="dxa"/>
            <w:tcBorders>
              <w:top w:val="nil"/>
              <w:left w:val="nil"/>
              <w:bottom w:val="nil"/>
              <w:right w:val="nil"/>
            </w:tcBorders>
            <w:tcMar>
              <w:top w:w="100" w:type="dxa"/>
              <w:left w:w="100" w:type="dxa"/>
              <w:bottom w:w="100" w:type="dxa"/>
              <w:right w:w="100" w:type="dxa"/>
            </w:tcMar>
          </w:tcPr>
          <w:p w:rsidR="00AC5C81">
            <w:r>
              <w:t>Pathway Plan audit for named health and mental health actions.</w:t>
            </w:r>
          </w:p>
        </w:tc>
      </w:tr>
    </w:tbl>
    <w:p w:rsidR="00AC5C81"/>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54A89B7-4C16-44D7-977C-9A8DB15F024A}"/>
  </w:font>
  <w:font w:name="Cambria">
    <w:panose1 w:val="02040503050406030204"/>
    <w:charset w:val="00"/>
    <w:family w:val="roman"/>
    <w:pitch w:val="variable"/>
    <w:sig w:usb0="E00006FF" w:usb1="420024FF" w:usb2="02000000" w:usb3="00000000" w:csb0="0000019F" w:csb1="00000000"/>
    <w:embedRegular r:id="rId2" w:fontKey="{7DAEED3F-3EFE-483D-9B6A-A867466E907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00000006"/>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0000007"/>
    <w:multiLevelType w:val="hybridMultilevel"/>
    <w:tmpl w:val="0000000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00000008"/>
    <w:multiLevelType w:val="hybridMultilevel"/>
    <w:tmpl w:val="0000000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00000009"/>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0000000A"/>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0000000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0000000C"/>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0000000D"/>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nsid w:val="0000000E"/>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0000000F"/>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00000010"/>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0000001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00000012"/>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nsid w:val="00000013"/>
    <w:multiLevelType w:val="hybridMultilevel"/>
    <w:tmpl w:val="00000000"/>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table" w:customStyle="1" w:styleId="Table1">
    <w:name w:val="Table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TRN0003</dc:title>
  <cp:revision>0</cp:revision>
</cp:coreProperties>
</file>